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2D01" w14:textId="77777777" w:rsidR="002D2CD1" w:rsidRPr="000150DA" w:rsidRDefault="002D2CD1" w:rsidP="002D2CD1">
      <w:pPr>
        <w:spacing w:line="400" w:lineRule="exact"/>
        <w:jc w:val="center"/>
        <w:rPr>
          <w:rFonts w:ascii="Calibri" w:hAnsi="Calibri" w:cs="Calibri"/>
          <w:b/>
          <w:sz w:val="28"/>
          <w:szCs w:val="28"/>
        </w:rPr>
      </w:pPr>
      <w:r w:rsidRPr="000150DA">
        <w:rPr>
          <w:rFonts w:ascii="Calibri" w:hAnsi="Calibri" w:cs="Calibri"/>
          <w:b/>
          <w:sz w:val="28"/>
          <w:szCs w:val="28"/>
        </w:rPr>
        <w:t>Supplementary Methods</w:t>
      </w:r>
    </w:p>
    <w:p w14:paraId="6FD85E4B" w14:textId="77777777" w:rsidR="002D2CD1" w:rsidRPr="000150DA" w:rsidRDefault="002D2CD1" w:rsidP="002D2CD1">
      <w:pPr>
        <w:spacing w:line="400" w:lineRule="exact"/>
        <w:jc w:val="center"/>
        <w:rPr>
          <w:rFonts w:ascii="Calibri" w:hAnsi="Calibri" w:cs="Calibri"/>
          <w:b/>
          <w:sz w:val="24"/>
          <w:szCs w:val="24"/>
        </w:rPr>
      </w:pPr>
    </w:p>
    <w:p w14:paraId="5AA668D8"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Sensitivity analyses of GAMLSS</w:t>
      </w:r>
    </w:p>
    <w:p w14:paraId="3D10FB37"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 xml:space="preserve">The resulting models were evaluated using several sensitivity analyses and validation approaches: </w:t>
      </w:r>
    </w:p>
    <w:p w14:paraId="4F82312A"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b/>
          <w:sz w:val="24"/>
          <w:szCs w:val="24"/>
        </w:rPr>
        <w:t xml:space="preserve">1.Leave-one-site-out: </w:t>
      </w:r>
      <w:r w:rsidRPr="000150DA">
        <w:rPr>
          <w:rFonts w:ascii="Calibri" w:hAnsi="Calibri" w:cs="Calibri"/>
          <w:sz w:val="24"/>
          <w:szCs w:val="24"/>
        </w:rPr>
        <w:t>We performed a series of leave-one-site-out analyses to test whether our model's reliability was skewed toward any study. Specifically, we iteratively excluded the dataset from a single site (e.g., UESTC) from the primary studies, refitted the GAMLSS model, re-estimated all model parameters, and then extracted developmental trajectories. These alternative trajectories were then compared to those derived from the full dataset for all brain morphometry measures. Our results showed remarkable consistency (</w:t>
      </w:r>
      <w:r w:rsidRPr="000150DA">
        <w:rPr>
          <w:rFonts w:ascii="Calibri" w:hAnsi="Calibri" w:cs="Calibri"/>
          <w:b/>
          <w:bCs/>
          <w:sz w:val="24"/>
          <w:szCs w:val="24"/>
        </w:rPr>
        <w:t>Figure S1</w:t>
      </w:r>
      <w:r w:rsidRPr="000150DA">
        <w:rPr>
          <w:rFonts w:ascii="Calibri" w:hAnsi="Calibri" w:cs="Calibri"/>
          <w:sz w:val="24"/>
          <w:szCs w:val="24"/>
        </w:rPr>
        <w:t>), with a high degree of similarity between the trajectories derived from the full dataset and those from the subsets.</w:t>
      </w:r>
    </w:p>
    <w:p w14:paraId="50A4FD56"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b/>
          <w:sz w:val="24"/>
          <w:szCs w:val="24"/>
        </w:rPr>
        <w:t>2.Bootstrap analysis:</w:t>
      </w:r>
      <w:r w:rsidRPr="000150DA">
        <w:rPr>
          <w:rFonts w:ascii="Calibri" w:hAnsi="Calibri" w:cs="Calibri"/>
        </w:rPr>
        <w:t xml:space="preserve"> </w:t>
      </w:r>
      <w:r w:rsidRPr="000150DA">
        <w:rPr>
          <w:rFonts w:ascii="Calibri" w:hAnsi="Calibri" w:cs="Calibri"/>
          <w:sz w:val="24"/>
          <w:szCs w:val="24"/>
        </w:rPr>
        <w:t xml:space="preserve">To further assess the reliability of the GAMLSS-fitted trajectories and obtain their confidence intervals, we conducted a bootstrap resampling analysis. Specifically, we performed 1,000 bootstrap iterations with stratified sampling and replacement. The bootstrap replicates were stratified by site and sex, preserving the relative proportions of the original datasets. For each brain morphometry measure, we refitted 1,000 trajectories and computed 95% confidence intervals (CIs) for the 50th centile curve. Supplementary </w:t>
      </w:r>
      <w:r w:rsidRPr="000150DA">
        <w:rPr>
          <w:rFonts w:ascii="Calibri" w:hAnsi="Calibri" w:cs="Calibri"/>
          <w:b/>
          <w:bCs/>
          <w:sz w:val="24"/>
          <w:szCs w:val="24"/>
        </w:rPr>
        <w:t>Figure S2</w:t>
      </w:r>
      <w:r w:rsidRPr="000150DA">
        <w:rPr>
          <w:rFonts w:ascii="Calibri" w:hAnsi="Calibri" w:cs="Calibri"/>
          <w:sz w:val="24"/>
          <w:szCs w:val="24"/>
        </w:rPr>
        <w:t xml:space="preserve"> depicts the CIs for the developmental trajectories, underscoring the stability of our modeling framework.</w:t>
      </w:r>
    </w:p>
    <w:p w14:paraId="6497A75A"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3.Adjusted Lifespan Brain Chart Consortium (LBCC) brain chart:</w:t>
      </w:r>
      <w:r w:rsidRPr="000150DA">
        <w:rPr>
          <w:rFonts w:ascii="Calibri" w:hAnsi="Calibri" w:cs="Calibri"/>
          <w:sz w:val="24"/>
          <w:szCs w:val="24"/>
        </w:rPr>
        <w:t xml:space="preserve"> Based on the lifespan trajectory from the LBCC's seminal work, an online tool has been developed for the lifespan development of human brain morphology (https://brainchart.shinyapps.io/brainchart/). ASD and TDC samples were employed separately to update the LBCC charts. </w:t>
      </w:r>
    </w:p>
    <w:p w14:paraId="28FC231B"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b/>
          <w:sz w:val="24"/>
          <w:szCs w:val="24"/>
        </w:rPr>
        <w:t xml:space="preserve">4.Longitudinal </w:t>
      </w:r>
      <w:bookmarkStart w:id="0" w:name="_Hlk166748958"/>
      <w:r w:rsidRPr="000150DA">
        <w:rPr>
          <w:rFonts w:ascii="Calibri" w:hAnsi="Calibri" w:cs="Calibri"/>
          <w:b/>
          <w:sz w:val="24"/>
          <w:szCs w:val="24"/>
        </w:rPr>
        <w:t>variability</w:t>
      </w:r>
      <w:bookmarkEnd w:id="0"/>
      <w:r w:rsidRPr="000150DA">
        <w:rPr>
          <w:rFonts w:ascii="Calibri" w:hAnsi="Calibri" w:cs="Calibri"/>
          <w:b/>
          <w:sz w:val="24"/>
          <w:szCs w:val="24"/>
        </w:rPr>
        <w:t>:</w:t>
      </w:r>
      <w:r w:rsidRPr="000150DA">
        <w:rPr>
          <w:rFonts w:ascii="Calibri" w:hAnsi="Calibri" w:cs="Calibri"/>
        </w:rPr>
        <w:t xml:space="preserve"> </w:t>
      </w:r>
      <w:r w:rsidRPr="000150DA">
        <w:rPr>
          <w:rFonts w:ascii="Calibri" w:hAnsi="Calibri" w:cs="Calibri"/>
          <w:sz w:val="24"/>
          <w:szCs w:val="24"/>
        </w:rPr>
        <w:t xml:space="preserve">Due to the lack of longitudinal imaging data, normative models were estimated from cross-sectional data collected at a single time point. However, with the available longitudinal data from 28 TDCs from BJN (three follow-ups) and 17 autistic children from YZU (two follow-ups), we further tested the generalizability of different models to capture within-subject variation in centile scores over time, quantified as the interquartile range (IQR). Our findings revealed that the IQR for centile scores was consistently low (all median IQR &lt; 0.05 centile points), indicating highly stable centile scoring across multiple repeated scans. In addition to </w:t>
      </w:r>
      <w:r w:rsidRPr="000150DA">
        <w:rPr>
          <w:rFonts w:ascii="Calibri" w:hAnsi="Calibri" w:cs="Calibri"/>
          <w:sz w:val="24"/>
          <w:szCs w:val="24"/>
        </w:rPr>
        <w:lastRenderedPageBreak/>
        <w:t xml:space="preserve">the possibility of constructing own brain growth curves using our large-sample data, the LBCC provided an online tool (https://github.com/brainchart/lifespan) for uploading local data to update and enhance the LBCC normative brain growth charts. Here, we employed CABIC samples into this procedure to obtain an adjusted LBCC brain growth chart. We found that across all the morphometric phenotypes, the IQR of our CABIC brain growth chart was significantly decreased compared to the IQR of the upgraded LBCC brain growth chart (Two-sample T-test, </w:t>
      </w:r>
      <w:r w:rsidRPr="000150DA">
        <w:rPr>
          <w:rFonts w:ascii="Calibri" w:hAnsi="Calibri" w:cs="Calibri"/>
          <w:i/>
          <w:sz w:val="24"/>
          <w:szCs w:val="24"/>
        </w:rPr>
        <w:t>P</w:t>
      </w:r>
      <w:r w:rsidRPr="000150DA">
        <w:rPr>
          <w:rFonts w:ascii="Calibri" w:hAnsi="Calibri" w:cs="Calibri"/>
          <w:sz w:val="24"/>
          <w:szCs w:val="24"/>
        </w:rPr>
        <w:t xml:space="preserve"> &lt; 0.05) (</w:t>
      </w:r>
      <w:r w:rsidRPr="000150DA">
        <w:rPr>
          <w:rFonts w:ascii="Calibri" w:hAnsi="Calibri" w:cs="Calibri"/>
          <w:b/>
          <w:bCs/>
          <w:sz w:val="24"/>
          <w:szCs w:val="24"/>
        </w:rPr>
        <w:t>Figure S3</w:t>
      </w:r>
      <w:r w:rsidRPr="000150DA">
        <w:rPr>
          <w:rFonts w:ascii="Calibri" w:hAnsi="Calibri" w:cs="Calibri"/>
          <w:sz w:val="24"/>
          <w:szCs w:val="24"/>
        </w:rPr>
        <w:t>). These results indicated that our CABIC-generated brain growth charts show reliable stability and align more closely with the growth and developmental trajectories of Chinese children.</w:t>
      </w:r>
    </w:p>
    <w:p w14:paraId="6BDB7C80" w14:textId="77777777" w:rsidR="002D2CD1" w:rsidRPr="000150DA" w:rsidRDefault="002D2CD1" w:rsidP="002D2CD1">
      <w:pPr>
        <w:spacing w:line="400" w:lineRule="exact"/>
        <w:rPr>
          <w:rFonts w:ascii="Calibri" w:hAnsi="Calibri" w:cs="Calibri"/>
          <w:sz w:val="24"/>
          <w:szCs w:val="24"/>
        </w:rPr>
      </w:pPr>
    </w:p>
    <w:p w14:paraId="5E443575" w14:textId="77777777" w:rsidR="002D2CD1" w:rsidRPr="000150DA" w:rsidRDefault="002D2CD1" w:rsidP="002D2CD1">
      <w:pPr>
        <w:spacing w:line="400" w:lineRule="exact"/>
        <w:rPr>
          <w:rFonts w:ascii="Calibri" w:hAnsi="Calibri" w:cs="Calibri"/>
          <w:b/>
          <w:bCs/>
          <w:sz w:val="24"/>
          <w:szCs w:val="24"/>
        </w:rPr>
      </w:pPr>
      <w:r w:rsidRPr="000150DA">
        <w:rPr>
          <w:rFonts w:ascii="Calibri" w:hAnsi="Calibri" w:cs="Calibri"/>
          <w:b/>
          <w:bCs/>
          <w:sz w:val="24"/>
          <w:szCs w:val="24"/>
        </w:rPr>
        <w:t>Quality control</w:t>
      </w:r>
    </w:p>
    <w:p w14:paraId="79C3A630"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 xml:space="preserve">Initially, T1 images were visually inspected for quality by two experienced raters, and participants with lower-quality data were excluded. All remaining images passed this quality control process. Subsequently, any scan that could not be fully processed through the data pipeline was excluded, resulting in the removal of 66 participants. Finally, we assessed the impact of image quality on estimated brain phenotypes and the parameterization of the GAMLSS model using the Euler Index (EI), an automated and quantitative measure of data quality in scans processed by </w:t>
      </w:r>
      <w:proofErr w:type="spellStart"/>
      <w:r w:rsidRPr="000150DA">
        <w:rPr>
          <w:rFonts w:ascii="Calibri" w:hAnsi="Calibri" w:cs="Calibri"/>
          <w:sz w:val="24"/>
          <w:szCs w:val="24"/>
        </w:rPr>
        <w:t>FreeSurfer</w:t>
      </w:r>
      <w:proofErr w:type="spellEnd"/>
      <w:r w:rsidRPr="000150DA">
        <w:rPr>
          <w:rFonts w:ascii="Calibri" w:hAnsi="Calibri" w:cs="Calibri"/>
          <w:sz w:val="24"/>
          <w:szCs w:val="24"/>
        </w:rPr>
        <w:t>.</w:t>
      </w:r>
    </w:p>
    <w:p w14:paraId="61CB73B9"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 xml:space="preserve">The EI metric was defined as the sum across hemispheres of the number of surface "holes" or topological defects in the cortical surface reconstruction before the topological correction performed by the </w:t>
      </w:r>
      <w:proofErr w:type="spellStart"/>
      <w:r w:rsidRPr="000150DA">
        <w:rPr>
          <w:rFonts w:ascii="Calibri" w:hAnsi="Calibri" w:cs="Calibri"/>
          <w:sz w:val="24"/>
          <w:szCs w:val="24"/>
        </w:rPr>
        <w:t>FreeSurfer</w:t>
      </w:r>
      <w:proofErr w:type="spellEnd"/>
      <w:r w:rsidRPr="000150DA">
        <w:rPr>
          <w:rFonts w:ascii="Calibri" w:hAnsi="Calibri" w:cs="Calibri"/>
          <w:sz w:val="24"/>
          <w:szCs w:val="24"/>
        </w:rPr>
        <w:t xml:space="preserve"> pipeline. Significant differences in EI were observed across sites (</w:t>
      </w:r>
      <w:r w:rsidRPr="000150DA">
        <w:rPr>
          <w:rFonts w:ascii="Calibri" w:hAnsi="Calibri" w:cs="Calibri"/>
          <w:b/>
          <w:bCs/>
          <w:sz w:val="24"/>
          <w:szCs w:val="24"/>
        </w:rPr>
        <w:t>Figure S4a</w:t>
      </w:r>
      <w:r w:rsidRPr="000150DA">
        <w:rPr>
          <w:rFonts w:ascii="Calibri" w:hAnsi="Calibri" w:cs="Calibri"/>
          <w:sz w:val="24"/>
          <w:szCs w:val="24"/>
        </w:rPr>
        <w:t xml:space="preserve">, ANOVA, </w:t>
      </w:r>
      <w:r w:rsidRPr="000150DA">
        <w:rPr>
          <w:rFonts w:ascii="Calibri" w:hAnsi="Calibri" w:cs="Calibri"/>
          <w:i/>
          <w:iCs/>
          <w:sz w:val="24"/>
          <w:szCs w:val="24"/>
        </w:rPr>
        <w:t>p</w:t>
      </w:r>
      <w:r w:rsidRPr="000150DA">
        <w:rPr>
          <w:rFonts w:ascii="Calibri" w:hAnsi="Calibri" w:cs="Calibri"/>
          <w:sz w:val="24"/>
          <w:szCs w:val="24"/>
        </w:rPr>
        <w:t xml:space="preserve"> &lt; 0.0001) and between ASD and TDC groups (</w:t>
      </w:r>
      <w:r w:rsidRPr="000150DA">
        <w:rPr>
          <w:rFonts w:ascii="Calibri" w:hAnsi="Calibri" w:cs="Calibri"/>
          <w:b/>
          <w:bCs/>
          <w:sz w:val="24"/>
          <w:szCs w:val="24"/>
        </w:rPr>
        <w:t>Figure S4b</w:t>
      </w:r>
      <w:r w:rsidRPr="000150DA">
        <w:rPr>
          <w:rFonts w:ascii="Calibri" w:hAnsi="Calibri" w:cs="Calibri"/>
          <w:sz w:val="24"/>
          <w:szCs w:val="24"/>
        </w:rPr>
        <w:t xml:space="preserve">, two-sample </w:t>
      </w:r>
      <w:r w:rsidRPr="000150DA">
        <w:rPr>
          <w:rFonts w:ascii="Calibri" w:hAnsi="Calibri" w:cs="Calibri"/>
          <w:i/>
          <w:iCs/>
          <w:sz w:val="24"/>
          <w:szCs w:val="24"/>
        </w:rPr>
        <w:t>t</w:t>
      </w:r>
      <w:r w:rsidRPr="000150DA">
        <w:rPr>
          <w:rFonts w:ascii="Calibri" w:hAnsi="Calibri" w:cs="Calibri"/>
          <w:sz w:val="24"/>
          <w:szCs w:val="24"/>
        </w:rPr>
        <w:t xml:space="preserve">-test, </w:t>
      </w:r>
      <w:r w:rsidRPr="000150DA">
        <w:rPr>
          <w:rFonts w:ascii="Calibri" w:hAnsi="Calibri" w:cs="Calibri"/>
          <w:i/>
          <w:iCs/>
          <w:sz w:val="24"/>
          <w:szCs w:val="24"/>
        </w:rPr>
        <w:t>p</w:t>
      </w:r>
      <w:r w:rsidRPr="000150DA">
        <w:rPr>
          <w:rFonts w:ascii="Calibri" w:hAnsi="Calibri" w:cs="Calibri"/>
          <w:sz w:val="24"/>
          <w:szCs w:val="24"/>
        </w:rPr>
        <w:t xml:space="preserve"> &lt; 0.0001). We also examined the relationship between image quality, as measured by EI, and individual deviation centile scores of GMV using Spearman correlation analysis. No significant associations were found between EI and individual centile scores (</w:t>
      </w:r>
      <w:r w:rsidRPr="000150DA">
        <w:rPr>
          <w:rFonts w:ascii="Calibri" w:hAnsi="Calibri" w:cs="Calibri"/>
          <w:b/>
          <w:bCs/>
          <w:sz w:val="24"/>
          <w:szCs w:val="24"/>
        </w:rPr>
        <w:t>Figure S4c</w:t>
      </w:r>
      <w:r w:rsidRPr="000150DA">
        <w:rPr>
          <w:rFonts w:ascii="Calibri" w:hAnsi="Calibri" w:cs="Calibri"/>
          <w:sz w:val="24"/>
          <w:szCs w:val="24"/>
        </w:rPr>
        <w:t>). Notably, although there were significant between-group differences between ASD and TDC groups within CABIC, no significant differences were observed between the two large databases, ABIDE and CABIC (</w:t>
      </w:r>
      <w:r w:rsidRPr="000150DA">
        <w:rPr>
          <w:rFonts w:ascii="Calibri" w:hAnsi="Calibri" w:cs="Calibri"/>
          <w:b/>
          <w:bCs/>
          <w:sz w:val="24"/>
          <w:szCs w:val="24"/>
        </w:rPr>
        <w:t>Figure S4d</w:t>
      </w:r>
      <w:r w:rsidRPr="000150DA">
        <w:rPr>
          <w:rFonts w:ascii="Calibri" w:hAnsi="Calibri" w:cs="Calibri"/>
          <w:sz w:val="24"/>
          <w:szCs w:val="24"/>
        </w:rPr>
        <w:t xml:space="preserve">, ANOVA, </w:t>
      </w:r>
      <w:r w:rsidRPr="000150DA">
        <w:rPr>
          <w:rFonts w:ascii="Calibri" w:hAnsi="Calibri" w:cs="Calibri"/>
          <w:i/>
          <w:iCs/>
          <w:sz w:val="24"/>
          <w:szCs w:val="24"/>
        </w:rPr>
        <w:t>p</w:t>
      </w:r>
      <w:r w:rsidRPr="000150DA">
        <w:rPr>
          <w:rFonts w:ascii="Calibri" w:hAnsi="Calibri" w:cs="Calibri"/>
          <w:sz w:val="24"/>
          <w:szCs w:val="24"/>
        </w:rPr>
        <w:t xml:space="preserve"> = 0.65).</w:t>
      </w:r>
    </w:p>
    <w:p w14:paraId="55237CD0" w14:textId="77777777" w:rsidR="002D2CD1" w:rsidRPr="000150DA" w:rsidRDefault="002D2CD1" w:rsidP="002D2CD1">
      <w:pPr>
        <w:spacing w:line="400" w:lineRule="exact"/>
        <w:rPr>
          <w:rFonts w:ascii="Calibri" w:hAnsi="Calibri" w:cs="Calibri"/>
          <w:b/>
          <w:bCs/>
          <w:sz w:val="24"/>
          <w:szCs w:val="24"/>
        </w:rPr>
      </w:pPr>
    </w:p>
    <w:p w14:paraId="4D781406"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Sexual variability in trajectories</w:t>
      </w:r>
    </w:p>
    <w:p w14:paraId="12A50991"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In the GAMLSS modeling process, the sex effect was incorporated as a critical feature to establish sex-stratified growth curves for children. Male predominance is a well-</w:t>
      </w:r>
      <w:r w:rsidRPr="000150DA">
        <w:rPr>
          <w:rFonts w:ascii="Calibri" w:hAnsi="Calibri" w:cs="Calibri"/>
          <w:sz w:val="24"/>
          <w:szCs w:val="24"/>
        </w:rPr>
        <w:lastRenderedPageBreak/>
        <w:t xml:space="preserve">documented characteristic of ASD, with a reported male-to-female ratio of approximately 4:1. The data distribution in our study similarly exhibited a male preponderance among autistic children. Consequently, the primary results focus on the growth curves for males, which are presented in the main text, while those for females are provided in Supplementary </w:t>
      </w:r>
      <w:r w:rsidRPr="000150DA">
        <w:rPr>
          <w:rFonts w:ascii="Calibri" w:hAnsi="Calibri" w:cs="Calibri"/>
          <w:b/>
          <w:bCs/>
          <w:sz w:val="24"/>
          <w:szCs w:val="24"/>
        </w:rPr>
        <w:t>Figures S7-S8</w:t>
      </w:r>
      <w:r w:rsidRPr="000150DA">
        <w:rPr>
          <w:rFonts w:ascii="Calibri" w:hAnsi="Calibri" w:cs="Calibri"/>
          <w:sz w:val="24"/>
          <w:szCs w:val="24"/>
        </w:rPr>
        <w:t xml:space="preserve">. Furthermore, the regional sex-stratified growth curves for ASD are illustrated in </w:t>
      </w:r>
      <w:r w:rsidRPr="000150DA">
        <w:rPr>
          <w:rFonts w:ascii="Calibri" w:hAnsi="Calibri" w:cs="Calibri"/>
          <w:b/>
          <w:bCs/>
          <w:sz w:val="24"/>
          <w:szCs w:val="24"/>
        </w:rPr>
        <w:t>Figure S9</w:t>
      </w:r>
      <w:r w:rsidRPr="000150DA">
        <w:rPr>
          <w:rFonts w:ascii="Calibri" w:hAnsi="Calibri" w:cs="Calibri"/>
          <w:sz w:val="24"/>
          <w:szCs w:val="24"/>
        </w:rPr>
        <w:t xml:space="preserve">, while for TDC are illustrated in </w:t>
      </w:r>
      <w:r w:rsidRPr="000150DA">
        <w:rPr>
          <w:rFonts w:ascii="Calibri" w:hAnsi="Calibri" w:cs="Calibri"/>
          <w:b/>
          <w:bCs/>
          <w:sz w:val="24"/>
          <w:szCs w:val="24"/>
        </w:rPr>
        <w:t>Figure S10</w:t>
      </w:r>
      <w:r w:rsidRPr="000150DA">
        <w:rPr>
          <w:rFonts w:ascii="Calibri" w:hAnsi="Calibri" w:cs="Calibri"/>
          <w:sz w:val="24"/>
          <w:szCs w:val="24"/>
        </w:rPr>
        <w:t xml:space="preserve">, offering valuable insights into the differential effects of sex on ASD development. </w:t>
      </w:r>
    </w:p>
    <w:p w14:paraId="606CBBEB" w14:textId="77777777" w:rsidR="002D2CD1" w:rsidRPr="000150DA" w:rsidRDefault="002D2CD1" w:rsidP="002D2CD1">
      <w:pPr>
        <w:spacing w:line="400" w:lineRule="exact"/>
        <w:rPr>
          <w:rFonts w:ascii="Calibri" w:hAnsi="Calibri" w:cs="Calibri"/>
          <w:sz w:val="24"/>
          <w:szCs w:val="24"/>
        </w:rPr>
      </w:pPr>
    </w:p>
    <w:p w14:paraId="467201B5" w14:textId="77777777" w:rsidR="002D2CD1" w:rsidRPr="000150DA" w:rsidRDefault="002D2CD1" w:rsidP="002D2CD1">
      <w:pPr>
        <w:spacing w:line="400" w:lineRule="exact"/>
        <w:rPr>
          <w:rFonts w:ascii="Calibri" w:hAnsi="Calibri" w:cs="Calibri"/>
          <w:b/>
          <w:bCs/>
          <w:sz w:val="24"/>
          <w:szCs w:val="24"/>
        </w:rPr>
      </w:pPr>
      <w:r w:rsidRPr="000150DA">
        <w:rPr>
          <w:rFonts w:ascii="Calibri" w:hAnsi="Calibri" w:cs="Calibri"/>
          <w:b/>
          <w:bCs/>
          <w:sz w:val="24"/>
          <w:szCs w:val="24"/>
        </w:rPr>
        <w:t>Intelligence groupings</w:t>
      </w:r>
    </w:p>
    <w:p w14:paraId="1EB866B4"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To characterize intelligence-specific growth charts, we categorized all autistic children in the CABIC dataset into subgroups based on intelligence quotient (IQ) cutoff scores. It is important to note that IQ assessment methods vary across different sites, leading to potential inconsistencies. An IQ assessment was considered valid if it employed one of the following standardized measures: the Wechsler Intelligence Scale for Children (WISC), Gesell Developmental Schedules (GDS), or the Peabody Picture Vocabulary Test (PPVT).</w:t>
      </w:r>
    </w:p>
    <w:p w14:paraId="2348DB16"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To standardize groupings across these different scales, specific cutoff scores were applied. For the WISC, children with a Full-Scale Intelligence Quotient (FIQ) score below 90 were classified into the intellectual disability group, while those with scores of 90 or above were classified into the average intelligence group; For the GDS, children with a Developmental Quotient (DQ) score below 85 were placed in the intellectual disability group, while those with scores of 85 or above were classified into the average intelligence group; For the PPVT, children with standardized scores below 90 were categorized into the intellectual disability group, and those with scores of 90 or above were classified into the average intelligence group.</w:t>
      </w:r>
    </w:p>
    <w:p w14:paraId="3D09B0B6" w14:textId="77777777" w:rsidR="002D2CD1" w:rsidRPr="000150DA" w:rsidRDefault="002D2CD1" w:rsidP="002D2CD1">
      <w:pPr>
        <w:spacing w:line="400" w:lineRule="exact"/>
        <w:rPr>
          <w:rFonts w:ascii="Calibri" w:hAnsi="Calibri" w:cs="Calibri"/>
          <w:b/>
          <w:bCs/>
          <w:sz w:val="24"/>
          <w:szCs w:val="24"/>
        </w:rPr>
      </w:pPr>
    </w:p>
    <w:p w14:paraId="37CD082A" w14:textId="77777777" w:rsidR="002D2CD1" w:rsidRPr="000150DA" w:rsidRDefault="002D2CD1" w:rsidP="002D2CD1">
      <w:pPr>
        <w:widowControl/>
        <w:jc w:val="left"/>
        <w:rPr>
          <w:rFonts w:ascii="Calibri" w:hAnsi="Calibri" w:cs="Calibri"/>
          <w:b/>
          <w:bCs/>
          <w:sz w:val="24"/>
          <w:szCs w:val="24"/>
        </w:rPr>
      </w:pPr>
      <w:r w:rsidRPr="000150DA">
        <w:rPr>
          <w:rFonts w:ascii="Calibri" w:hAnsi="Calibri" w:cs="Calibri"/>
          <w:b/>
          <w:bCs/>
          <w:sz w:val="24"/>
          <w:szCs w:val="24"/>
        </w:rPr>
        <w:br w:type="page"/>
      </w:r>
    </w:p>
    <w:p w14:paraId="4FBF0920" w14:textId="77777777" w:rsidR="002D2CD1" w:rsidRPr="000150DA" w:rsidRDefault="002D2CD1" w:rsidP="002D2CD1">
      <w:pPr>
        <w:spacing w:line="400" w:lineRule="exact"/>
        <w:rPr>
          <w:rFonts w:ascii="Calibri" w:hAnsi="Calibri" w:cs="Calibri"/>
          <w:b/>
          <w:bCs/>
          <w:sz w:val="24"/>
          <w:szCs w:val="24"/>
        </w:rPr>
      </w:pPr>
      <w:r w:rsidRPr="000150DA">
        <w:rPr>
          <w:rFonts w:ascii="Calibri" w:hAnsi="Calibri" w:cs="Calibri"/>
          <w:b/>
          <w:bCs/>
          <w:sz w:val="24"/>
          <w:szCs w:val="24"/>
        </w:rPr>
        <w:lastRenderedPageBreak/>
        <w:t>Reference multi-sites database details</w:t>
      </w:r>
    </w:p>
    <w:p w14:paraId="6ECDF09B" w14:textId="77777777" w:rsidR="002D2CD1" w:rsidRPr="000150DA" w:rsidRDefault="002D2CD1" w:rsidP="002D2CD1">
      <w:pPr>
        <w:spacing w:line="400" w:lineRule="exact"/>
        <w:rPr>
          <w:rFonts w:ascii="Calibri" w:hAnsi="Calibri" w:cs="Calibri"/>
          <w:sz w:val="24"/>
          <w:szCs w:val="24"/>
        </w:rPr>
      </w:pPr>
      <w:r w:rsidRPr="000150DA">
        <w:rPr>
          <w:rFonts w:ascii="Calibri" w:hAnsi="Calibri" w:cs="Calibri"/>
          <w:sz w:val="24"/>
          <w:szCs w:val="24"/>
        </w:rPr>
        <w:t xml:space="preserve">Site-specific details for further information on ethics, diagnostics and assessments. are available at </w:t>
      </w:r>
      <w:hyperlink r:id="rId6" w:history="1">
        <w:r w:rsidRPr="000150DA">
          <w:rPr>
            <w:rStyle w:val="a3"/>
            <w:rFonts w:ascii="Calibri" w:hAnsi="Calibri" w:cs="Calibri"/>
            <w:sz w:val="24"/>
            <w:szCs w:val="24"/>
          </w:rPr>
          <w:t>https://php.bdnilab.com/sites/</w:t>
        </w:r>
      </w:hyperlink>
      <w:r w:rsidRPr="000150DA">
        <w:rPr>
          <w:rFonts w:ascii="Calibri" w:hAnsi="Calibri" w:cs="Calibri"/>
          <w:sz w:val="24"/>
          <w:szCs w:val="24"/>
        </w:rPr>
        <w:t>. The detailed acquisition parameters of each site are presented following:</w:t>
      </w:r>
    </w:p>
    <w:p w14:paraId="6D945E4C" w14:textId="77777777" w:rsidR="002D2CD1" w:rsidRPr="000150DA" w:rsidRDefault="002D2CD1" w:rsidP="002D2CD1">
      <w:pPr>
        <w:spacing w:line="400" w:lineRule="exact"/>
        <w:rPr>
          <w:rFonts w:ascii="Calibri" w:hAnsi="Calibri" w:cs="Calibri"/>
          <w:sz w:val="24"/>
          <w:szCs w:val="24"/>
        </w:rPr>
      </w:pPr>
    </w:p>
    <w:p w14:paraId="6FF26A57"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UESTC</w:t>
      </w:r>
    </w:p>
    <w:p w14:paraId="41E678A0" w14:textId="77777777" w:rsidR="002D2CD1" w:rsidRPr="000150DA" w:rsidRDefault="002D2CD1" w:rsidP="002D2CD1">
      <w:pPr>
        <w:widowControl/>
        <w:spacing w:line="400" w:lineRule="exact"/>
        <w:jc w:val="left"/>
        <w:rPr>
          <w:rFonts w:ascii="Calibri" w:hAnsi="Calibri" w:cs="Calibri"/>
          <w:sz w:val="22"/>
          <w:szCs w:val="24"/>
        </w:rPr>
      </w:pPr>
      <w:r w:rsidRPr="000150DA">
        <w:rPr>
          <w:rFonts w:ascii="Calibri" w:hAnsi="Calibri" w:cs="Calibri"/>
          <w:b/>
          <w:sz w:val="22"/>
          <w:szCs w:val="24"/>
        </w:rPr>
        <w:t xml:space="preserve">STUDY1: 3.0-T GE Discovery MR750 scanner: </w:t>
      </w:r>
      <w:r w:rsidRPr="000150DA">
        <w:rPr>
          <w:rFonts w:ascii="Calibri" w:hAnsi="Calibri" w:cs="Calibri"/>
          <w:sz w:val="22"/>
          <w:szCs w:val="24"/>
        </w:rPr>
        <w:t xml:space="preserve">High-resolution MR data of the whole brain were acquired using a 3D T1 sequence with the following parameters: repetition time (TR) = 6.02 </w:t>
      </w:r>
      <w:proofErr w:type="spellStart"/>
      <w:r w:rsidRPr="000150DA">
        <w:rPr>
          <w:rFonts w:ascii="Calibri" w:hAnsi="Calibri" w:cs="Calibri"/>
          <w:sz w:val="22"/>
          <w:szCs w:val="24"/>
        </w:rPr>
        <w:t>ms</w:t>
      </w:r>
      <w:proofErr w:type="spellEnd"/>
      <w:r w:rsidRPr="000150DA">
        <w:rPr>
          <w:rFonts w:ascii="Calibri" w:hAnsi="Calibri" w:cs="Calibri"/>
          <w:sz w:val="22"/>
          <w:szCs w:val="24"/>
        </w:rPr>
        <w:t xml:space="preserve">, echo time (TE) = 1.96 </w:t>
      </w:r>
      <w:proofErr w:type="spellStart"/>
      <w:r w:rsidRPr="000150DA">
        <w:rPr>
          <w:rFonts w:ascii="Calibri" w:hAnsi="Calibri" w:cs="Calibri"/>
          <w:sz w:val="22"/>
          <w:szCs w:val="24"/>
        </w:rPr>
        <w:t>ms</w:t>
      </w:r>
      <w:proofErr w:type="spellEnd"/>
      <w:r w:rsidRPr="000150DA">
        <w:rPr>
          <w:rFonts w:ascii="Calibri" w:hAnsi="Calibri" w:cs="Calibri"/>
          <w:sz w:val="22"/>
          <w:szCs w:val="24"/>
        </w:rPr>
        <w:t>, matrix size = 256 x 256, flip angle (FA) = 9°, field of view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and 156 axial slices.</w:t>
      </w:r>
    </w:p>
    <w:p w14:paraId="41AE770E" w14:textId="77777777" w:rsidR="002D2CD1" w:rsidRPr="000150DA" w:rsidRDefault="002D2CD1" w:rsidP="002D2CD1">
      <w:pPr>
        <w:widowControl/>
        <w:spacing w:line="400" w:lineRule="exact"/>
        <w:jc w:val="left"/>
        <w:rPr>
          <w:rFonts w:ascii="Calibri" w:hAnsi="Calibri" w:cs="Calibri"/>
          <w:b/>
          <w:sz w:val="22"/>
          <w:szCs w:val="24"/>
        </w:rPr>
      </w:pPr>
      <w:r w:rsidRPr="000150DA">
        <w:rPr>
          <w:rFonts w:ascii="Calibri" w:hAnsi="Calibri" w:cs="Calibri"/>
          <w:b/>
          <w:sz w:val="22"/>
          <w:szCs w:val="24"/>
        </w:rPr>
        <w:t xml:space="preserve">STUDY2: 3.0-T Siemens </w:t>
      </w:r>
      <w:proofErr w:type="spellStart"/>
      <w:r w:rsidRPr="000150DA">
        <w:rPr>
          <w:rFonts w:ascii="Calibri" w:hAnsi="Calibri" w:cs="Calibri"/>
          <w:b/>
          <w:sz w:val="22"/>
          <w:szCs w:val="24"/>
        </w:rPr>
        <w:t>Skyra</w:t>
      </w:r>
      <w:proofErr w:type="spellEnd"/>
      <w:r w:rsidRPr="000150DA">
        <w:rPr>
          <w:rFonts w:ascii="Calibri" w:hAnsi="Calibri" w:cs="Calibri"/>
          <w:b/>
          <w:sz w:val="22"/>
          <w:szCs w:val="24"/>
        </w:rPr>
        <w:t xml:space="preserve"> MRI scanner:</w:t>
      </w:r>
      <w:r w:rsidRPr="000150DA">
        <w:rPr>
          <w:rFonts w:ascii="Calibri" w:hAnsi="Calibri" w:cs="Calibri"/>
          <w:sz w:val="22"/>
          <w:szCs w:val="24"/>
        </w:rPr>
        <w:t xml:space="preserve"> High-resolution MR data of the whole brain were acquired using a 3DT1 sequence with the following parameters: TR = 1570ms, TE = 2.4ms; matrix size = 256 x 256; FA = 8°;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number=160.</w:t>
      </w:r>
    </w:p>
    <w:p w14:paraId="5D1A2143" w14:textId="77777777" w:rsidR="002D2CD1" w:rsidRPr="000150DA" w:rsidRDefault="002D2CD1" w:rsidP="002D2CD1">
      <w:pPr>
        <w:widowControl/>
        <w:spacing w:line="400" w:lineRule="exact"/>
        <w:jc w:val="left"/>
        <w:rPr>
          <w:rFonts w:ascii="Calibri" w:hAnsi="Calibri" w:cs="Calibri"/>
          <w:b/>
          <w:sz w:val="22"/>
          <w:szCs w:val="24"/>
        </w:rPr>
      </w:pPr>
      <w:r w:rsidRPr="000150DA">
        <w:rPr>
          <w:rFonts w:ascii="Calibri" w:hAnsi="Calibri" w:cs="Calibri"/>
          <w:b/>
          <w:sz w:val="22"/>
          <w:szCs w:val="24"/>
        </w:rPr>
        <w:t xml:space="preserve">STUDY3: 3.0-T Siemens </w:t>
      </w:r>
      <w:proofErr w:type="spellStart"/>
      <w:r w:rsidRPr="000150DA">
        <w:rPr>
          <w:rFonts w:ascii="Calibri" w:hAnsi="Calibri" w:cs="Calibri"/>
          <w:b/>
          <w:sz w:val="22"/>
          <w:szCs w:val="24"/>
        </w:rPr>
        <w:t>Skyra</w:t>
      </w:r>
      <w:proofErr w:type="spellEnd"/>
      <w:r w:rsidRPr="000150DA">
        <w:rPr>
          <w:rFonts w:ascii="Calibri" w:hAnsi="Calibri" w:cs="Calibri"/>
          <w:b/>
          <w:sz w:val="22"/>
          <w:szCs w:val="24"/>
        </w:rPr>
        <w:t xml:space="preserve"> MRI scanner: </w:t>
      </w:r>
      <w:r w:rsidRPr="000150DA">
        <w:rPr>
          <w:rFonts w:ascii="Calibri" w:hAnsi="Calibri" w:cs="Calibri"/>
          <w:sz w:val="22"/>
          <w:szCs w:val="24"/>
        </w:rPr>
        <w:t>High-resolution MR data of the whole brain were acquired using a 3DT1 sequence with the following parameters: TR = 1570ms, TE = 2.4ms; matrix size = 256 x 256; FA = 8°;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number=160.</w:t>
      </w:r>
    </w:p>
    <w:p w14:paraId="4E7AE4A0"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STUDY4: 3.0-T</w:t>
      </w:r>
      <w:r w:rsidRPr="000150DA">
        <w:rPr>
          <w:rFonts w:ascii="Calibri" w:hAnsi="Calibri" w:cs="Calibri"/>
          <w:color w:val="333333"/>
          <w:sz w:val="20"/>
          <w:szCs w:val="20"/>
          <w:shd w:val="clear" w:color="auto" w:fill="FFFFFF"/>
        </w:rPr>
        <w:t xml:space="preserve"> </w:t>
      </w:r>
      <w:r w:rsidRPr="000150DA">
        <w:rPr>
          <w:rFonts w:ascii="Calibri" w:hAnsi="Calibri" w:cs="Calibri"/>
          <w:b/>
          <w:sz w:val="22"/>
          <w:szCs w:val="24"/>
        </w:rPr>
        <w:t>UNITED IMAGING uMR780</w:t>
      </w:r>
      <w:r w:rsidRPr="000150DA">
        <w:rPr>
          <w:rFonts w:ascii="Calibri" w:hAnsi="Calibri" w:cs="Calibri"/>
          <w:b/>
          <w:sz w:val="22"/>
          <w:szCs w:val="24"/>
        </w:rPr>
        <w:t>：</w:t>
      </w:r>
      <w:r w:rsidRPr="000150DA">
        <w:rPr>
          <w:rFonts w:ascii="Calibri" w:hAnsi="Calibri" w:cs="Calibri"/>
          <w:sz w:val="22"/>
          <w:szCs w:val="24"/>
        </w:rPr>
        <w:t>High-resolution MR data of the whole brain were acquired using a 3DT1 sequence with the following parameters: TR = 6.9ms, TE = 3ms; matrix size = 256 x 256; FA = 10°;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number=176.</w:t>
      </w:r>
    </w:p>
    <w:p w14:paraId="5BA1AD6F" w14:textId="77777777" w:rsidR="002D2CD1" w:rsidRPr="000150DA" w:rsidRDefault="002D2CD1" w:rsidP="002D2CD1">
      <w:pPr>
        <w:widowControl/>
        <w:spacing w:line="400" w:lineRule="exact"/>
        <w:jc w:val="left"/>
        <w:rPr>
          <w:rFonts w:ascii="Calibri" w:hAnsi="Calibri" w:cs="Calibri"/>
          <w:sz w:val="22"/>
          <w:szCs w:val="24"/>
        </w:rPr>
      </w:pPr>
    </w:p>
    <w:p w14:paraId="648756F6"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SYSU</w:t>
      </w:r>
    </w:p>
    <w:p w14:paraId="371FFAD4"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Siemens </w:t>
      </w:r>
      <w:proofErr w:type="spellStart"/>
      <w:r w:rsidRPr="000150DA">
        <w:rPr>
          <w:rFonts w:ascii="Calibri" w:hAnsi="Calibri" w:cs="Calibri"/>
          <w:b/>
          <w:sz w:val="22"/>
          <w:szCs w:val="24"/>
        </w:rPr>
        <w:t>Skyra</w:t>
      </w:r>
      <w:proofErr w:type="spellEnd"/>
      <w:r w:rsidRPr="000150DA">
        <w:rPr>
          <w:rFonts w:ascii="Calibri" w:hAnsi="Calibri" w:cs="Calibri"/>
          <w:b/>
          <w:sz w:val="22"/>
          <w:szCs w:val="24"/>
        </w:rPr>
        <w:t xml:space="preserve"> MRI scanner: </w:t>
      </w:r>
      <w:r w:rsidRPr="000150DA">
        <w:rPr>
          <w:rFonts w:ascii="Calibri" w:hAnsi="Calibri" w:cs="Calibri"/>
          <w:sz w:val="22"/>
          <w:szCs w:val="24"/>
        </w:rPr>
        <w:t>High-resolution MR data of the whole brain were acquired using a 3DT1 sequence with the following parameters: TR = 1800ms, TE = 2.19ms; matrix size = 256 x 256; FA = 9°;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number=176.</w:t>
      </w:r>
    </w:p>
    <w:p w14:paraId="60E65A3A" w14:textId="77777777" w:rsidR="002D2CD1" w:rsidRPr="000150DA" w:rsidRDefault="002D2CD1" w:rsidP="002D2CD1">
      <w:pPr>
        <w:spacing w:line="400" w:lineRule="exact"/>
        <w:rPr>
          <w:rFonts w:ascii="Calibri" w:hAnsi="Calibri" w:cs="Calibri"/>
          <w:sz w:val="22"/>
          <w:szCs w:val="24"/>
        </w:rPr>
      </w:pPr>
    </w:p>
    <w:p w14:paraId="00203A4B"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WXCH</w:t>
      </w:r>
    </w:p>
    <w:p w14:paraId="6F68ECD7"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Siemens </w:t>
      </w:r>
      <w:proofErr w:type="spellStart"/>
      <w:r w:rsidRPr="000150DA">
        <w:rPr>
          <w:rFonts w:ascii="Calibri" w:hAnsi="Calibri" w:cs="Calibri"/>
          <w:b/>
          <w:sz w:val="22"/>
          <w:szCs w:val="24"/>
        </w:rPr>
        <w:t>Magnetom</w:t>
      </w:r>
      <w:proofErr w:type="spellEnd"/>
      <w:r w:rsidRPr="000150DA">
        <w:rPr>
          <w:rFonts w:ascii="Calibri" w:hAnsi="Calibri" w:cs="Calibri"/>
          <w:b/>
          <w:sz w:val="22"/>
          <w:szCs w:val="24"/>
        </w:rPr>
        <w:t xml:space="preserve"> Aera scanner:</w:t>
      </w:r>
      <w:r w:rsidRPr="000150DA">
        <w:rPr>
          <w:rFonts w:ascii="Calibri" w:hAnsi="Calibri" w:cs="Calibri"/>
          <w:sz w:val="22"/>
          <w:szCs w:val="24"/>
        </w:rPr>
        <w:t xml:space="preserve"> High-resolution MR data of the whole brain were acquired using a 3D T1W1 sequence with the following parameters: TR = 2200ms, TE = 3.06ms; FOV = 192 x 192 mm</w:t>
      </w:r>
      <w:r w:rsidRPr="000150DA">
        <w:rPr>
          <w:rFonts w:ascii="Calibri" w:hAnsi="Calibri" w:cs="Calibri"/>
          <w:sz w:val="22"/>
          <w:szCs w:val="24"/>
          <w:vertAlign w:val="superscript"/>
        </w:rPr>
        <w:t>2</w:t>
      </w:r>
      <w:r w:rsidRPr="000150DA">
        <w:rPr>
          <w:rFonts w:ascii="Calibri" w:hAnsi="Calibri" w:cs="Calibri"/>
          <w:sz w:val="22"/>
          <w:szCs w:val="24"/>
        </w:rPr>
        <w:t>; slice thickness =1mm.</w:t>
      </w:r>
    </w:p>
    <w:p w14:paraId="2752EAA5" w14:textId="77777777" w:rsidR="002D2CD1" w:rsidRPr="000150DA" w:rsidRDefault="002D2CD1" w:rsidP="002D2CD1">
      <w:pPr>
        <w:spacing w:line="400" w:lineRule="exact"/>
        <w:rPr>
          <w:rFonts w:ascii="Calibri" w:hAnsi="Calibri" w:cs="Calibri"/>
          <w:sz w:val="22"/>
          <w:szCs w:val="24"/>
        </w:rPr>
      </w:pPr>
    </w:p>
    <w:p w14:paraId="33008B71"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PKU</w:t>
      </w:r>
    </w:p>
    <w:p w14:paraId="36F23D2D"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GE Discovery MR750 scanner: </w:t>
      </w:r>
      <w:r w:rsidRPr="000150DA">
        <w:rPr>
          <w:rFonts w:ascii="Calibri" w:hAnsi="Calibri" w:cs="Calibri"/>
          <w:sz w:val="22"/>
          <w:szCs w:val="24"/>
        </w:rPr>
        <w:t xml:space="preserve">High-resolution MR data of the whole brain were acquired </w:t>
      </w:r>
      <w:r w:rsidRPr="000150DA">
        <w:rPr>
          <w:rFonts w:ascii="Calibri" w:hAnsi="Calibri" w:cs="Calibri"/>
          <w:sz w:val="22"/>
          <w:szCs w:val="24"/>
        </w:rPr>
        <w:lastRenderedPageBreak/>
        <w:t>using Ax FSPGER BRAVO sequence with the following parameters: TR = 8.2ms, TE = 3.2ms; matrix size = 256 x 256; FA = 9°; FOV = 256 x 256 mm</w:t>
      </w:r>
      <w:r w:rsidRPr="000150DA">
        <w:rPr>
          <w:rFonts w:ascii="Calibri" w:hAnsi="Calibri" w:cs="Calibri"/>
          <w:sz w:val="22"/>
          <w:szCs w:val="24"/>
          <w:vertAlign w:val="superscript"/>
        </w:rPr>
        <w:t>2</w:t>
      </w:r>
      <w:r w:rsidRPr="000150DA">
        <w:rPr>
          <w:rFonts w:ascii="Calibri" w:hAnsi="Calibri" w:cs="Calibri"/>
          <w:sz w:val="22"/>
          <w:szCs w:val="24"/>
        </w:rPr>
        <w:t>;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number=192, prep time = 600.</w:t>
      </w:r>
    </w:p>
    <w:p w14:paraId="0621B9FF" w14:textId="77777777" w:rsidR="002D2CD1" w:rsidRPr="000150DA" w:rsidRDefault="002D2CD1" w:rsidP="002D2CD1">
      <w:pPr>
        <w:spacing w:line="400" w:lineRule="exact"/>
        <w:rPr>
          <w:rFonts w:ascii="Calibri" w:hAnsi="Calibri" w:cs="Calibri"/>
          <w:sz w:val="22"/>
          <w:szCs w:val="24"/>
        </w:rPr>
      </w:pPr>
    </w:p>
    <w:p w14:paraId="56E92C86"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HMU</w:t>
      </w:r>
    </w:p>
    <w:p w14:paraId="4A5DF60F"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Philips </w:t>
      </w:r>
      <w:proofErr w:type="spellStart"/>
      <w:r w:rsidRPr="000150DA">
        <w:rPr>
          <w:rFonts w:ascii="Calibri" w:hAnsi="Calibri" w:cs="Calibri"/>
          <w:b/>
          <w:sz w:val="22"/>
          <w:szCs w:val="24"/>
        </w:rPr>
        <w:t>Achieva</w:t>
      </w:r>
      <w:proofErr w:type="spellEnd"/>
      <w:r w:rsidRPr="000150DA">
        <w:rPr>
          <w:rFonts w:ascii="Calibri" w:hAnsi="Calibri" w:cs="Calibri"/>
          <w:b/>
          <w:sz w:val="22"/>
          <w:szCs w:val="24"/>
        </w:rPr>
        <w:t xml:space="preserve"> MRI scanner: </w:t>
      </w:r>
      <w:r w:rsidRPr="000150DA">
        <w:rPr>
          <w:rFonts w:ascii="Calibri" w:hAnsi="Calibri" w:cs="Calibri"/>
          <w:sz w:val="22"/>
          <w:szCs w:val="24"/>
        </w:rPr>
        <w:t>High-resolution MR data of the whole brain were acquired using a 3DT1 sequence with the following parameters: TR = 8.4ms, TE = 3.87ms; matrix size = 256 x 256; FA = 9°;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number=176.</w:t>
      </w:r>
    </w:p>
    <w:p w14:paraId="11B56E13" w14:textId="77777777" w:rsidR="002D2CD1" w:rsidRPr="000150DA" w:rsidRDefault="002D2CD1" w:rsidP="002D2CD1">
      <w:pPr>
        <w:spacing w:line="400" w:lineRule="exact"/>
        <w:rPr>
          <w:rFonts w:ascii="Calibri" w:hAnsi="Calibri" w:cs="Calibri"/>
          <w:sz w:val="22"/>
          <w:szCs w:val="24"/>
        </w:rPr>
      </w:pPr>
    </w:p>
    <w:p w14:paraId="784C9375"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YZU</w:t>
      </w:r>
    </w:p>
    <w:p w14:paraId="2CC1F76D"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GE Discovery MR750 scanner: </w:t>
      </w:r>
      <w:r w:rsidRPr="000150DA">
        <w:rPr>
          <w:rFonts w:ascii="Calibri" w:hAnsi="Calibri" w:cs="Calibri"/>
          <w:sz w:val="22"/>
          <w:szCs w:val="24"/>
        </w:rPr>
        <w:t>High-resolution MR data of the whole brain were acquired using a 3DT1 sequence with the following parameters: TR = 7.2ms, TE = 3.06ms; matrix size = 256 x 256; FA = 12°;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number=166.</w:t>
      </w:r>
    </w:p>
    <w:p w14:paraId="283DD742" w14:textId="77777777" w:rsidR="002D2CD1" w:rsidRPr="000150DA" w:rsidRDefault="002D2CD1" w:rsidP="002D2CD1">
      <w:pPr>
        <w:spacing w:line="400" w:lineRule="exact"/>
        <w:rPr>
          <w:rFonts w:ascii="Calibri" w:hAnsi="Calibri" w:cs="Calibri"/>
          <w:b/>
          <w:sz w:val="24"/>
          <w:szCs w:val="24"/>
        </w:rPr>
      </w:pPr>
    </w:p>
    <w:p w14:paraId="6777BD77"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JLU</w:t>
      </w:r>
    </w:p>
    <w:p w14:paraId="77AC6ACC"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Philips </w:t>
      </w:r>
      <w:proofErr w:type="spellStart"/>
      <w:r w:rsidRPr="000150DA">
        <w:rPr>
          <w:rFonts w:ascii="Calibri" w:hAnsi="Calibri" w:cs="Calibri"/>
          <w:b/>
          <w:sz w:val="22"/>
          <w:szCs w:val="24"/>
        </w:rPr>
        <w:t>Ingenia</w:t>
      </w:r>
      <w:proofErr w:type="spellEnd"/>
      <w:r w:rsidRPr="000150DA">
        <w:rPr>
          <w:rFonts w:ascii="Calibri" w:hAnsi="Calibri" w:cs="Calibri"/>
          <w:b/>
          <w:sz w:val="22"/>
          <w:szCs w:val="24"/>
        </w:rPr>
        <w:t xml:space="preserve"> </w:t>
      </w:r>
      <w:proofErr w:type="spellStart"/>
      <w:r w:rsidRPr="000150DA">
        <w:rPr>
          <w:rFonts w:ascii="Calibri" w:hAnsi="Calibri" w:cs="Calibri"/>
          <w:b/>
          <w:sz w:val="22"/>
          <w:szCs w:val="24"/>
        </w:rPr>
        <w:t>Elition</w:t>
      </w:r>
      <w:proofErr w:type="spellEnd"/>
      <w:r w:rsidRPr="000150DA">
        <w:rPr>
          <w:rFonts w:ascii="Calibri" w:hAnsi="Calibri" w:cs="Calibri"/>
          <w:b/>
          <w:sz w:val="22"/>
          <w:szCs w:val="24"/>
        </w:rPr>
        <w:t xml:space="preserve"> scanner: </w:t>
      </w:r>
      <w:r w:rsidRPr="000150DA">
        <w:rPr>
          <w:rFonts w:ascii="Calibri" w:hAnsi="Calibri" w:cs="Calibri"/>
          <w:sz w:val="22"/>
          <w:szCs w:val="24"/>
        </w:rPr>
        <w:t>High-resolution MR data of the whole brain were acquired using a 3DT1 sequence with the following parameters: TR = 6.7ms, TE = 3.06ms; matrix size = 240 x 240; FA = 8°; FOV = 240 x 240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number=152.</w:t>
      </w:r>
    </w:p>
    <w:p w14:paraId="2C8A1BE2" w14:textId="77777777" w:rsidR="002D2CD1" w:rsidRPr="000150DA" w:rsidRDefault="002D2CD1" w:rsidP="002D2CD1">
      <w:pPr>
        <w:spacing w:line="400" w:lineRule="exact"/>
        <w:rPr>
          <w:rFonts w:ascii="Calibri" w:hAnsi="Calibri" w:cs="Calibri"/>
          <w:b/>
          <w:sz w:val="24"/>
          <w:szCs w:val="24"/>
        </w:rPr>
      </w:pPr>
    </w:p>
    <w:p w14:paraId="495C65AC"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CHCMU</w:t>
      </w:r>
    </w:p>
    <w:p w14:paraId="78B556A4"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Philips </w:t>
      </w:r>
      <w:proofErr w:type="spellStart"/>
      <w:r w:rsidRPr="000150DA">
        <w:rPr>
          <w:rFonts w:ascii="Calibri" w:hAnsi="Calibri" w:cs="Calibri"/>
          <w:b/>
          <w:sz w:val="22"/>
          <w:szCs w:val="24"/>
        </w:rPr>
        <w:t>Achieva</w:t>
      </w:r>
      <w:proofErr w:type="spellEnd"/>
      <w:r w:rsidRPr="000150DA">
        <w:rPr>
          <w:rFonts w:ascii="Calibri" w:hAnsi="Calibri" w:cs="Calibri"/>
          <w:b/>
          <w:sz w:val="22"/>
          <w:szCs w:val="24"/>
        </w:rPr>
        <w:t xml:space="preserve"> MRI scanner: </w:t>
      </w:r>
      <w:r w:rsidRPr="000150DA">
        <w:rPr>
          <w:rFonts w:ascii="Calibri" w:hAnsi="Calibri" w:cs="Calibri"/>
          <w:sz w:val="22"/>
          <w:szCs w:val="24"/>
        </w:rPr>
        <w:t>High-resolution MR data of the whole brain were acquired using a 3DT1 sequence with the following parameters: TR = 7.7ms, TE = 3.8ms; matrix size = 256 x 256; FA = 12°;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number=164.</w:t>
      </w:r>
    </w:p>
    <w:p w14:paraId="5FC9C5A4"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Siemens Trio MRI scanner: </w:t>
      </w:r>
      <w:r w:rsidRPr="000150DA">
        <w:rPr>
          <w:rFonts w:ascii="Calibri" w:hAnsi="Calibri" w:cs="Calibri"/>
          <w:sz w:val="22"/>
          <w:szCs w:val="24"/>
        </w:rPr>
        <w:t>High-resolution MR data of the whole brain were acquired using a 3DT1 sequence with the following parameters: TR = 8.22ms, TE = 3.19ms; matrix size = 256 x 256; FA = 12°;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number=164.</w:t>
      </w:r>
    </w:p>
    <w:p w14:paraId="5AB00C5A" w14:textId="77777777" w:rsidR="002D2CD1" w:rsidRPr="000150DA" w:rsidRDefault="002D2CD1" w:rsidP="002D2CD1">
      <w:pPr>
        <w:spacing w:line="400" w:lineRule="exact"/>
        <w:rPr>
          <w:rFonts w:ascii="Calibri" w:hAnsi="Calibri" w:cs="Calibri"/>
          <w:sz w:val="22"/>
          <w:szCs w:val="24"/>
        </w:rPr>
      </w:pPr>
    </w:p>
    <w:p w14:paraId="2ED6C87D"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PLAGH</w:t>
      </w:r>
    </w:p>
    <w:p w14:paraId="00D63D8E"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3.0-T GE Discovery MR750 scanner: </w:t>
      </w:r>
      <w:r w:rsidRPr="000150DA">
        <w:rPr>
          <w:rFonts w:ascii="Calibri" w:hAnsi="Calibri" w:cs="Calibri"/>
          <w:sz w:val="22"/>
          <w:szCs w:val="24"/>
        </w:rPr>
        <w:t xml:space="preserve">High-resolution MR data of the whole brain were acquired </w:t>
      </w:r>
      <w:r w:rsidRPr="000150DA">
        <w:rPr>
          <w:rFonts w:ascii="Calibri" w:hAnsi="Calibri" w:cs="Calibri"/>
          <w:sz w:val="22"/>
          <w:szCs w:val="24"/>
        </w:rPr>
        <w:lastRenderedPageBreak/>
        <w:t>using a 3DT1 sequence with the following parameters: TR = 7.9ms, TE = MIN FULL; matrix size = 256 x 256; FA = 12°;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number=156.</w:t>
      </w:r>
    </w:p>
    <w:p w14:paraId="36041168" w14:textId="77777777" w:rsidR="002D2CD1" w:rsidRPr="000150DA" w:rsidRDefault="002D2CD1" w:rsidP="002D2CD1">
      <w:pPr>
        <w:spacing w:line="400" w:lineRule="exact"/>
        <w:rPr>
          <w:rFonts w:ascii="Calibri" w:hAnsi="Calibri" w:cs="Calibri"/>
          <w:b/>
          <w:sz w:val="24"/>
          <w:szCs w:val="24"/>
        </w:rPr>
      </w:pPr>
    </w:p>
    <w:p w14:paraId="551C8BB0"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CMCMC</w:t>
      </w:r>
    </w:p>
    <w:p w14:paraId="4327BA20"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3.0-T Philips Healthcare scanner:</w:t>
      </w:r>
      <w:r w:rsidRPr="000150DA">
        <w:rPr>
          <w:rFonts w:ascii="Calibri" w:hAnsi="Calibri" w:cs="Calibri"/>
          <w:sz w:val="22"/>
          <w:szCs w:val="24"/>
        </w:rPr>
        <w:t xml:space="preserve"> High-resolution MR data of the whole brain were acquired using a 3DT1 sequence with the following parameters: TR = 8.1ms, TE = 3,7ms; matrix size = 256 x 240; FA = 8°; FOV = 256 x 240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number=160.</w:t>
      </w:r>
    </w:p>
    <w:p w14:paraId="661C39A3" w14:textId="77777777" w:rsidR="002D2CD1" w:rsidRPr="000150DA" w:rsidRDefault="002D2CD1" w:rsidP="002D2CD1">
      <w:pPr>
        <w:spacing w:line="400" w:lineRule="exact"/>
        <w:rPr>
          <w:rFonts w:ascii="Calibri" w:hAnsi="Calibri" w:cs="Calibri"/>
          <w:b/>
          <w:sz w:val="24"/>
          <w:szCs w:val="24"/>
        </w:rPr>
      </w:pPr>
    </w:p>
    <w:p w14:paraId="63DBFE26" w14:textId="77777777" w:rsidR="002D2CD1" w:rsidRPr="000150DA" w:rsidRDefault="002D2CD1" w:rsidP="002D2CD1">
      <w:pPr>
        <w:spacing w:line="400" w:lineRule="exact"/>
        <w:rPr>
          <w:rFonts w:ascii="Calibri" w:hAnsi="Calibri" w:cs="Calibri"/>
          <w:b/>
          <w:sz w:val="24"/>
          <w:szCs w:val="24"/>
        </w:rPr>
      </w:pPr>
      <w:r w:rsidRPr="000150DA">
        <w:rPr>
          <w:rFonts w:ascii="Calibri" w:hAnsi="Calibri" w:cs="Calibri"/>
          <w:b/>
          <w:sz w:val="24"/>
          <w:szCs w:val="24"/>
        </w:rPr>
        <w:t>BNU</w:t>
      </w:r>
    </w:p>
    <w:p w14:paraId="09B1F324" w14:textId="77777777" w:rsidR="002D2CD1" w:rsidRPr="000150DA" w:rsidRDefault="002D2CD1" w:rsidP="002D2CD1">
      <w:pPr>
        <w:spacing w:line="400" w:lineRule="exact"/>
        <w:rPr>
          <w:rFonts w:ascii="Calibri" w:hAnsi="Calibri" w:cs="Calibri"/>
          <w:sz w:val="22"/>
          <w:szCs w:val="24"/>
        </w:rPr>
      </w:pPr>
      <w:r w:rsidRPr="000150DA">
        <w:rPr>
          <w:rFonts w:ascii="Calibri" w:hAnsi="Calibri" w:cs="Calibri"/>
          <w:b/>
          <w:sz w:val="22"/>
          <w:szCs w:val="24"/>
        </w:rPr>
        <w:t xml:space="preserve">STUDY1:3.0-T Siemens Trio MRI scanner: </w:t>
      </w:r>
      <w:r w:rsidRPr="000150DA">
        <w:rPr>
          <w:rFonts w:ascii="Calibri" w:hAnsi="Calibri" w:cs="Calibri"/>
          <w:sz w:val="22"/>
          <w:szCs w:val="24"/>
        </w:rPr>
        <w:t xml:space="preserve">High-resolution MR data of the whole brain were acquired using 3D MPRAGE sequence with the following parameters: TR = 2600 </w:t>
      </w:r>
      <w:proofErr w:type="spellStart"/>
      <w:r w:rsidRPr="000150DA">
        <w:rPr>
          <w:rFonts w:ascii="Calibri" w:hAnsi="Calibri" w:cs="Calibri"/>
          <w:sz w:val="22"/>
          <w:szCs w:val="24"/>
        </w:rPr>
        <w:t>ms</w:t>
      </w:r>
      <w:proofErr w:type="spellEnd"/>
      <w:r w:rsidRPr="000150DA">
        <w:rPr>
          <w:rFonts w:ascii="Calibri" w:hAnsi="Calibri" w:cs="Calibri"/>
          <w:sz w:val="22"/>
          <w:szCs w:val="24"/>
        </w:rPr>
        <w:t>, TE = 3.02ms; matrix size = 256 x 256; FA = 8°; FOV = 256 x 256 mm</w:t>
      </w:r>
      <w:r w:rsidRPr="000150DA">
        <w:rPr>
          <w:rFonts w:ascii="Calibri" w:hAnsi="Calibri" w:cs="Calibri"/>
          <w:sz w:val="22"/>
          <w:szCs w:val="24"/>
          <w:vertAlign w:val="superscript"/>
        </w:rPr>
        <w:t>2</w:t>
      </w:r>
      <w:r w:rsidRPr="000150DA">
        <w:rPr>
          <w:rFonts w:ascii="Calibri" w:hAnsi="Calibri" w:cs="Calibri"/>
          <w:sz w:val="22"/>
          <w:szCs w:val="24"/>
        </w:rPr>
        <w:t>; slice thickness = 1mm, voxel size = 1 x 1 x 1 mm</w:t>
      </w:r>
      <w:r w:rsidRPr="000150DA">
        <w:rPr>
          <w:rFonts w:ascii="Calibri" w:hAnsi="Calibri" w:cs="Calibri"/>
          <w:sz w:val="22"/>
          <w:szCs w:val="24"/>
          <w:vertAlign w:val="superscript"/>
        </w:rPr>
        <w:t>3</w:t>
      </w:r>
      <w:r w:rsidRPr="000150DA">
        <w:rPr>
          <w:rFonts w:ascii="Calibri" w:hAnsi="Calibri" w:cs="Calibri"/>
          <w:sz w:val="22"/>
          <w:szCs w:val="24"/>
        </w:rPr>
        <w:t>, slice number=176.</w:t>
      </w:r>
    </w:p>
    <w:p w14:paraId="0AC95ECF" w14:textId="77777777" w:rsidR="002D2CD1" w:rsidRPr="000150DA" w:rsidRDefault="002D2CD1" w:rsidP="002D2CD1">
      <w:pPr>
        <w:widowControl/>
        <w:spacing w:line="400" w:lineRule="exact"/>
        <w:jc w:val="left"/>
        <w:rPr>
          <w:rFonts w:ascii="Calibri" w:hAnsi="Calibri" w:cs="Calibri"/>
          <w:sz w:val="22"/>
          <w:szCs w:val="24"/>
        </w:rPr>
      </w:pPr>
      <w:r w:rsidRPr="000150DA">
        <w:rPr>
          <w:rFonts w:ascii="Calibri" w:hAnsi="Calibri" w:cs="Calibri"/>
          <w:b/>
          <w:sz w:val="22"/>
          <w:szCs w:val="24"/>
        </w:rPr>
        <w:t>STUDY2:3.0-T GE Discovery MR750 scanner:</w:t>
      </w:r>
      <w:r w:rsidRPr="000150DA">
        <w:rPr>
          <w:rFonts w:ascii="Calibri" w:hAnsi="Calibri" w:cs="Calibri"/>
          <w:sz w:val="22"/>
          <w:szCs w:val="24"/>
        </w:rPr>
        <w:t xml:space="preserve"> High-resolution MR data of the whole brain were acquired using 3D SPGR sequence with the following parameters: TR = 6.7 </w:t>
      </w:r>
      <w:proofErr w:type="spellStart"/>
      <w:r w:rsidRPr="000150DA">
        <w:rPr>
          <w:rFonts w:ascii="Calibri" w:hAnsi="Calibri" w:cs="Calibri"/>
          <w:sz w:val="22"/>
          <w:szCs w:val="24"/>
        </w:rPr>
        <w:t>ms</w:t>
      </w:r>
      <w:proofErr w:type="spellEnd"/>
      <w:r w:rsidRPr="000150DA">
        <w:rPr>
          <w:rFonts w:ascii="Calibri" w:hAnsi="Calibri" w:cs="Calibri"/>
          <w:sz w:val="22"/>
          <w:szCs w:val="24"/>
        </w:rPr>
        <w:t xml:space="preserve">, TE = 2.9 </w:t>
      </w:r>
      <w:proofErr w:type="spellStart"/>
      <w:r w:rsidRPr="000150DA">
        <w:rPr>
          <w:rFonts w:ascii="Calibri" w:hAnsi="Calibri" w:cs="Calibri"/>
          <w:sz w:val="22"/>
          <w:szCs w:val="24"/>
        </w:rPr>
        <w:t>ms</w:t>
      </w:r>
      <w:proofErr w:type="spellEnd"/>
      <w:r w:rsidRPr="000150DA">
        <w:rPr>
          <w:rFonts w:ascii="Calibri" w:hAnsi="Calibri" w:cs="Calibri"/>
          <w:sz w:val="22"/>
          <w:szCs w:val="24"/>
        </w:rPr>
        <w:t>; matrix size = 256 x 256; FA = 12°; FOV = 256 x 256 mm2; slice thickness = 1mm, voxel size = 1 x 1 x 1 mm3, slice number=176.</w:t>
      </w:r>
    </w:p>
    <w:p w14:paraId="6A46DD8C" w14:textId="77777777" w:rsidR="002D2CD1" w:rsidRPr="000150DA" w:rsidRDefault="002D2CD1" w:rsidP="002D2CD1">
      <w:pPr>
        <w:widowControl/>
        <w:spacing w:line="400" w:lineRule="exact"/>
        <w:jc w:val="left"/>
        <w:rPr>
          <w:rFonts w:ascii="Calibri" w:hAnsi="Calibri" w:cs="Calibri"/>
          <w:sz w:val="22"/>
          <w:szCs w:val="24"/>
        </w:rPr>
      </w:pPr>
      <w:r w:rsidRPr="000150DA">
        <w:rPr>
          <w:rFonts w:ascii="Calibri" w:hAnsi="Calibri" w:cs="Calibri"/>
          <w:sz w:val="22"/>
          <w:szCs w:val="24"/>
        </w:rPr>
        <w:br w:type="page"/>
      </w:r>
    </w:p>
    <w:p w14:paraId="3BAE4676" w14:textId="77777777" w:rsidR="002D2CD1" w:rsidRPr="000150DA" w:rsidRDefault="002D2CD1" w:rsidP="002D2CD1">
      <w:pPr>
        <w:jc w:val="center"/>
        <w:rPr>
          <w:rFonts w:ascii="Calibri" w:hAnsi="Calibri" w:cs="Calibri"/>
          <w:b/>
          <w:sz w:val="28"/>
          <w:szCs w:val="28"/>
        </w:rPr>
      </w:pPr>
      <w:r w:rsidRPr="000150DA">
        <w:rPr>
          <w:rFonts w:ascii="Calibri" w:hAnsi="Calibri" w:cs="Calibri"/>
          <w:b/>
          <w:sz w:val="28"/>
          <w:szCs w:val="28"/>
        </w:rPr>
        <w:lastRenderedPageBreak/>
        <w:t>Supplementary Figures</w:t>
      </w:r>
    </w:p>
    <w:p w14:paraId="27D1E759"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noProof/>
        </w:rPr>
        <w:drawing>
          <wp:inline distT="0" distB="0" distL="0" distR="0" wp14:anchorId="0238F1B5" wp14:editId="5D9D664C">
            <wp:extent cx="5274310" cy="2223135"/>
            <wp:effectExtent l="0" t="0" r="2540" b="5715"/>
            <wp:docPr id="8094555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223135"/>
                    </a:xfrm>
                    <a:prstGeom prst="rect">
                      <a:avLst/>
                    </a:prstGeom>
                    <a:noFill/>
                    <a:ln>
                      <a:noFill/>
                    </a:ln>
                  </pic:spPr>
                </pic:pic>
              </a:graphicData>
            </a:graphic>
          </wp:inline>
        </w:drawing>
      </w:r>
    </w:p>
    <w:p w14:paraId="3AA509F0" w14:textId="77777777" w:rsidR="002D2CD1" w:rsidRPr="000150DA" w:rsidRDefault="002D2CD1" w:rsidP="002D2CD1">
      <w:pPr>
        <w:widowControl/>
        <w:jc w:val="left"/>
        <w:rPr>
          <w:rFonts w:ascii="Calibri" w:hAnsi="Calibri" w:cs="Calibri"/>
          <w:b/>
          <w:szCs w:val="28"/>
        </w:rPr>
      </w:pPr>
      <w:r w:rsidRPr="000150DA">
        <w:rPr>
          <w:rFonts w:ascii="Calibri" w:hAnsi="Calibri" w:cs="Calibri"/>
          <w:b/>
          <w:szCs w:val="28"/>
        </w:rPr>
        <w:t xml:space="preserve">Figure S1. Leave-one-site-out (LOSO) analyses of typical and atypical trajectories in males for global morphometric phenotypes. </w:t>
      </w:r>
      <w:r w:rsidRPr="000150DA">
        <w:rPr>
          <w:rFonts w:ascii="Calibri" w:hAnsi="Calibri" w:cs="Calibri"/>
          <w:bCs/>
          <w:szCs w:val="28"/>
        </w:rPr>
        <w:t>The solid lines represent the 95% confidence intervals, computed from the mean and standard deviation of normative trajectories, repeatedly estimated after systematically excluding data from each contributing site in turn.</w:t>
      </w:r>
    </w:p>
    <w:p w14:paraId="687B1666"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55173B91"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noProof/>
        </w:rPr>
        <w:lastRenderedPageBreak/>
        <w:drawing>
          <wp:inline distT="0" distB="0" distL="0" distR="0" wp14:anchorId="7A6A5EA1" wp14:editId="5DBD4258">
            <wp:extent cx="5274310" cy="2301875"/>
            <wp:effectExtent l="0" t="0" r="2540" b="3175"/>
            <wp:docPr id="582634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01875"/>
                    </a:xfrm>
                    <a:prstGeom prst="rect">
                      <a:avLst/>
                    </a:prstGeom>
                    <a:noFill/>
                    <a:ln>
                      <a:noFill/>
                    </a:ln>
                  </pic:spPr>
                </pic:pic>
              </a:graphicData>
            </a:graphic>
          </wp:inline>
        </w:drawing>
      </w:r>
    </w:p>
    <w:p w14:paraId="775514D2" w14:textId="77777777" w:rsidR="002D2CD1" w:rsidRPr="000150DA" w:rsidRDefault="002D2CD1" w:rsidP="002D2CD1">
      <w:pPr>
        <w:widowControl/>
        <w:jc w:val="left"/>
        <w:rPr>
          <w:rFonts w:ascii="Calibri" w:hAnsi="Calibri" w:cs="Calibri"/>
          <w:b/>
          <w:szCs w:val="28"/>
        </w:rPr>
      </w:pPr>
      <w:r w:rsidRPr="000150DA">
        <w:rPr>
          <w:rFonts w:ascii="Calibri" w:hAnsi="Calibri" w:cs="Calibri"/>
          <w:b/>
          <w:szCs w:val="28"/>
        </w:rPr>
        <w:t xml:space="preserve">Figure S2. Bootstrap resampling of confidence intervals on typical and atypical trajectories in males for global </w:t>
      </w:r>
      <w:r w:rsidRPr="000150DA">
        <w:rPr>
          <w:rFonts w:ascii="Calibri" w:hAnsi="Calibri" w:cs="Calibri"/>
          <w:b/>
          <w:kern w:val="0"/>
        </w:rPr>
        <w:t xml:space="preserve">morphometric phenotypes. </w:t>
      </w:r>
      <w:r w:rsidRPr="000150DA">
        <w:rPr>
          <w:rFonts w:ascii="Calibri" w:hAnsi="Calibri" w:cs="Calibri"/>
          <w:bCs/>
          <w:kern w:val="0"/>
        </w:rPr>
        <w:t>The median (50% centile) is represented by a solid line, while the 95% centiles are indicated by dotted lines.</w:t>
      </w:r>
      <w:r w:rsidRPr="000150DA">
        <w:rPr>
          <w:rFonts w:ascii="Calibri" w:hAnsi="Calibri" w:cs="Calibri"/>
          <w:b/>
          <w:kern w:val="0"/>
        </w:rPr>
        <w:t xml:space="preserve"> </w:t>
      </w:r>
      <w:r w:rsidRPr="000150DA">
        <w:rPr>
          <w:rFonts w:ascii="Calibri" w:hAnsi="Calibri" w:cs="Calibri"/>
          <w:kern w:val="0"/>
        </w:rPr>
        <w:t>95% confidence intervals (estimated across random bootstrap iterations resampling with replacement) were computed from the mean and standard deviation of trajectories after 1000 iterations of a bootstrapping procedure designed to conserve the relative proportion of primary sites in each resampling with replacement from the representative dataset.</w:t>
      </w:r>
    </w:p>
    <w:p w14:paraId="160CB2C1"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00325056" w14:textId="77777777" w:rsidR="002D2CD1" w:rsidRPr="000150DA" w:rsidRDefault="002D2CD1" w:rsidP="002D2CD1">
      <w:pPr>
        <w:widowControl/>
        <w:jc w:val="center"/>
        <w:rPr>
          <w:rFonts w:ascii="Calibri" w:hAnsi="Calibri" w:cs="Calibri"/>
          <w:b/>
          <w:sz w:val="28"/>
          <w:szCs w:val="28"/>
        </w:rPr>
      </w:pPr>
      <w:r w:rsidRPr="000150DA">
        <w:rPr>
          <w:rFonts w:ascii="Calibri" w:hAnsi="Calibri" w:cs="Calibri"/>
          <w:noProof/>
        </w:rPr>
        <w:lastRenderedPageBreak/>
        <w:drawing>
          <wp:inline distT="0" distB="0" distL="0" distR="0" wp14:anchorId="40A70D8C" wp14:editId="63BF9D0F">
            <wp:extent cx="4275800" cy="4228440"/>
            <wp:effectExtent l="0" t="0" r="0" b="1270"/>
            <wp:docPr id="1401712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8666" cy="4231274"/>
                    </a:xfrm>
                    <a:prstGeom prst="rect">
                      <a:avLst/>
                    </a:prstGeom>
                    <a:noFill/>
                    <a:ln>
                      <a:noFill/>
                    </a:ln>
                  </pic:spPr>
                </pic:pic>
              </a:graphicData>
            </a:graphic>
          </wp:inline>
        </w:drawing>
      </w:r>
    </w:p>
    <w:p w14:paraId="2540ABE4"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Cs w:val="28"/>
        </w:rPr>
        <w:t>Figure S3.</w:t>
      </w:r>
      <w:r w:rsidRPr="000150DA">
        <w:rPr>
          <w:rFonts w:ascii="Calibri" w:hAnsi="Calibri" w:cs="Calibri"/>
        </w:rPr>
        <w:t xml:space="preserve"> </w:t>
      </w:r>
      <w:r w:rsidRPr="000150DA">
        <w:rPr>
          <w:rFonts w:ascii="Calibri" w:hAnsi="Calibri" w:cs="Calibri"/>
          <w:b/>
          <w:szCs w:val="28"/>
        </w:rPr>
        <w:t xml:space="preserve">Comparison of brain charts independently estimated from the CABIC dataset with previously published brain charts from the Lifespan Brain Chart Consortium (LBCC). </w:t>
      </w:r>
      <w:r w:rsidRPr="000150DA">
        <w:rPr>
          <w:rFonts w:ascii="Calibri" w:hAnsi="Calibri" w:cs="Calibri"/>
          <w:bCs/>
          <w:szCs w:val="28"/>
        </w:rPr>
        <w:t>Left: Trajectories of global morphometric phenotypes. Right: Within-subject variation, quantified as the interquartile range (IQR) in longitudinal centile scores for global morphometric phenotypes, comparing different brain chart curves.</w:t>
      </w:r>
      <w:r w:rsidRPr="000150DA">
        <w:rPr>
          <w:rFonts w:ascii="Calibri" w:hAnsi="Calibri" w:cs="Calibri"/>
          <w:b/>
          <w:sz w:val="28"/>
          <w:szCs w:val="28"/>
        </w:rPr>
        <w:br w:type="page"/>
      </w:r>
    </w:p>
    <w:p w14:paraId="3D0F0998"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noProof/>
        </w:rPr>
        <w:lastRenderedPageBreak/>
        <w:drawing>
          <wp:inline distT="0" distB="0" distL="0" distR="0" wp14:anchorId="48F92330" wp14:editId="18C7C101">
            <wp:extent cx="4472824" cy="3853543"/>
            <wp:effectExtent l="0" t="0" r="4445" b="0"/>
            <wp:docPr id="326743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3959" cy="3854521"/>
                    </a:xfrm>
                    <a:prstGeom prst="rect">
                      <a:avLst/>
                    </a:prstGeom>
                    <a:noFill/>
                    <a:ln>
                      <a:noFill/>
                    </a:ln>
                  </pic:spPr>
                </pic:pic>
              </a:graphicData>
            </a:graphic>
          </wp:inline>
        </w:drawing>
      </w:r>
    </w:p>
    <w:p w14:paraId="04EFE430" w14:textId="77777777" w:rsidR="002D2CD1" w:rsidRPr="000150DA" w:rsidRDefault="002D2CD1" w:rsidP="002D2CD1">
      <w:pPr>
        <w:spacing w:line="400" w:lineRule="exact"/>
        <w:rPr>
          <w:rFonts w:ascii="Calibri" w:hAnsi="Calibri" w:cs="Calibri"/>
          <w:szCs w:val="28"/>
        </w:rPr>
      </w:pPr>
      <w:r w:rsidRPr="000150DA">
        <w:rPr>
          <w:rFonts w:ascii="Calibri" w:hAnsi="Calibri" w:cs="Calibri"/>
          <w:b/>
          <w:szCs w:val="28"/>
        </w:rPr>
        <w:t>Figure S4.</w:t>
      </w:r>
      <w:r w:rsidRPr="000150DA">
        <w:rPr>
          <w:rFonts w:ascii="Calibri" w:hAnsi="Calibri" w:cs="Calibri"/>
          <w:b/>
          <w:bCs/>
          <w:szCs w:val="28"/>
        </w:rPr>
        <w:t xml:space="preserve"> Complementary analyses of quality control metrics defined by the Euler Index (EI). (a) </w:t>
      </w:r>
      <w:r w:rsidRPr="000150DA">
        <w:rPr>
          <w:rFonts w:ascii="Calibri" w:hAnsi="Calibri" w:cs="Calibri"/>
          <w:szCs w:val="28"/>
        </w:rPr>
        <w:t xml:space="preserve">Bar plots showing the distribution of EI across all sites. </w:t>
      </w:r>
      <w:r w:rsidRPr="000150DA">
        <w:rPr>
          <w:rFonts w:ascii="Calibri" w:hAnsi="Calibri" w:cs="Calibri"/>
          <w:b/>
          <w:bCs/>
          <w:szCs w:val="28"/>
        </w:rPr>
        <w:t>(b)</w:t>
      </w:r>
      <w:r w:rsidRPr="000150DA">
        <w:rPr>
          <w:rFonts w:ascii="Calibri" w:hAnsi="Calibri" w:cs="Calibri"/>
          <w:szCs w:val="28"/>
        </w:rPr>
        <w:t xml:space="preserve"> Significant between-group differences in EI between ASD and TDC groups. </w:t>
      </w:r>
      <w:r w:rsidRPr="000150DA">
        <w:rPr>
          <w:rFonts w:ascii="Calibri" w:hAnsi="Calibri" w:cs="Calibri"/>
          <w:b/>
          <w:bCs/>
          <w:szCs w:val="28"/>
        </w:rPr>
        <w:t>(c)</w:t>
      </w:r>
      <w:r w:rsidRPr="000150DA">
        <w:rPr>
          <w:rFonts w:ascii="Calibri" w:hAnsi="Calibri" w:cs="Calibri"/>
          <w:szCs w:val="28"/>
        </w:rPr>
        <w:t xml:space="preserve"> Associations between individual deviation centile scores of GMV and MRI scan quality, as defined by EI. The Spearman correlations between EI and individual centile scores of GMV were negligible (ASD, </w:t>
      </w:r>
      <w:r w:rsidRPr="000150DA">
        <w:rPr>
          <w:rFonts w:ascii="Calibri" w:hAnsi="Calibri" w:cs="Calibri"/>
          <w:i/>
          <w:iCs/>
          <w:szCs w:val="28"/>
        </w:rPr>
        <w:t>p</w:t>
      </w:r>
      <w:r w:rsidRPr="000150DA">
        <w:rPr>
          <w:rFonts w:ascii="Calibri" w:hAnsi="Calibri" w:cs="Calibri"/>
          <w:szCs w:val="28"/>
        </w:rPr>
        <w:t xml:space="preserve"> = 0.18; TDC, </w:t>
      </w:r>
      <w:r w:rsidRPr="000150DA">
        <w:rPr>
          <w:rFonts w:ascii="Calibri" w:hAnsi="Calibri" w:cs="Calibri"/>
          <w:i/>
          <w:iCs/>
          <w:szCs w:val="28"/>
        </w:rPr>
        <w:t>p</w:t>
      </w:r>
      <w:r w:rsidRPr="000150DA">
        <w:rPr>
          <w:rFonts w:ascii="Calibri" w:hAnsi="Calibri" w:cs="Calibri"/>
          <w:szCs w:val="28"/>
        </w:rPr>
        <w:t xml:space="preserve"> = 0.45). </w:t>
      </w:r>
      <w:r w:rsidRPr="000150DA">
        <w:rPr>
          <w:rFonts w:ascii="Calibri" w:hAnsi="Calibri" w:cs="Calibri"/>
          <w:b/>
          <w:bCs/>
          <w:szCs w:val="28"/>
        </w:rPr>
        <w:t xml:space="preserve">(d) </w:t>
      </w:r>
      <w:r w:rsidRPr="000150DA">
        <w:rPr>
          <w:rFonts w:ascii="Calibri" w:hAnsi="Calibri" w:cs="Calibri"/>
          <w:szCs w:val="28"/>
        </w:rPr>
        <w:t>Differences in EI between the ABIDE and CABIC databases.</w:t>
      </w:r>
    </w:p>
    <w:p w14:paraId="0211C25C" w14:textId="77777777" w:rsidR="002D2CD1" w:rsidRPr="000150DA" w:rsidRDefault="002D2CD1" w:rsidP="002D2CD1">
      <w:pPr>
        <w:widowControl/>
        <w:jc w:val="left"/>
        <w:rPr>
          <w:rFonts w:ascii="Calibri" w:hAnsi="Calibri" w:cs="Calibri"/>
          <w:szCs w:val="28"/>
        </w:rPr>
      </w:pPr>
      <w:r w:rsidRPr="000150DA">
        <w:rPr>
          <w:rFonts w:ascii="Calibri" w:hAnsi="Calibri" w:cs="Calibri"/>
          <w:szCs w:val="28"/>
        </w:rPr>
        <w:br w:type="page"/>
      </w:r>
    </w:p>
    <w:p w14:paraId="7E59EA62" w14:textId="77777777" w:rsidR="002D2CD1" w:rsidRPr="000150DA" w:rsidRDefault="002D2CD1" w:rsidP="002D2CD1">
      <w:pPr>
        <w:widowControl/>
        <w:jc w:val="center"/>
        <w:rPr>
          <w:rFonts w:ascii="Calibri" w:hAnsi="Calibri" w:cs="Calibri"/>
          <w:b/>
          <w:sz w:val="28"/>
          <w:szCs w:val="28"/>
        </w:rPr>
      </w:pPr>
      <w:r w:rsidRPr="000150DA">
        <w:rPr>
          <w:rFonts w:ascii="Calibri" w:hAnsi="Calibri" w:cs="Calibri"/>
          <w:noProof/>
        </w:rPr>
        <w:lastRenderedPageBreak/>
        <w:drawing>
          <wp:inline distT="0" distB="0" distL="0" distR="0" wp14:anchorId="424411AA" wp14:editId="4866797A">
            <wp:extent cx="4087737" cy="6265469"/>
            <wp:effectExtent l="0" t="0" r="825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8517" cy="6266665"/>
                    </a:xfrm>
                    <a:prstGeom prst="rect">
                      <a:avLst/>
                    </a:prstGeom>
                    <a:noFill/>
                    <a:ln>
                      <a:noFill/>
                    </a:ln>
                  </pic:spPr>
                </pic:pic>
              </a:graphicData>
            </a:graphic>
          </wp:inline>
        </w:drawing>
      </w:r>
    </w:p>
    <w:p w14:paraId="5A819CD3" w14:textId="77777777" w:rsidR="002D2CD1" w:rsidRPr="000150DA" w:rsidRDefault="002D2CD1" w:rsidP="002D2CD1">
      <w:pPr>
        <w:spacing w:line="400" w:lineRule="exact"/>
        <w:rPr>
          <w:rFonts w:ascii="Calibri" w:hAnsi="Calibri" w:cs="Calibri"/>
          <w:b/>
          <w:bCs/>
          <w:sz w:val="24"/>
          <w:szCs w:val="24"/>
        </w:rPr>
      </w:pPr>
      <w:r w:rsidRPr="000150DA">
        <w:rPr>
          <w:rFonts w:ascii="Calibri" w:hAnsi="Calibri" w:cs="Calibri"/>
          <w:b/>
          <w:bCs/>
          <w:szCs w:val="28"/>
        </w:rPr>
        <w:t>Figure S5.</w:t>
      </w:r>
      <w:r w:rsidRPr="000150DA">
        <w:rPr>
          <w:rFonts w:ascii="Calibri" w:hAnsi="Calibri" w:cs="Calibri"/>
          <w:b/>
          <w:szCs w:val="28"/>
        </w:rPr>
        <w:t xml:space="preserve"> Typical and atypical trajectories of median regional volumes in males for 34 bilateral brain regions as defined by the </w:t>
      </w:r>
      <w:proofErr w:type="spellStart"/>
      <w:r w:rsidRPr="000150DA">
        <w:rPr>
          <w:rFonts w:ascii="Calibri" w:hAnsi="Calibri" w:cs="Calibri"/>
          <w:b/>
          <w:szCs w:val="28"/>
        </w:rPr>
        <w:t>Desikan-Killiany</w:t>
      </w:r>
      <w:proofErr w:type="spellEnd"/>
      <w:r w:rsidRPr="000150DA">
        <w:rPr>
          <w:rFonts w:ascii="Calibri" w:hAnsi="Calibri" w:cs="Calibri"/>
          <w:b/>
          <w:szCs w:val="28"/>
        </w:rPr>
        <w:t xml:space="preserve"> parcellation and 12 subcortical regions (with volumes normalized to 10,000 mm³). </w:t>
      </w:r>
      <w:r w:rsidRPr="000150DA">
        <w:rPr>
          <w:rFonts w:ascii="Calibri" w:hAnsi="Calibri" w:cs="Calibri"/>
          <w:bCs/>
          <w:szCs w:val="28"/>
        </w:rPr>
        <w:t>These trajectories were fitted to the raw data using the same GAMLSS model applied to estimate the global morphometric phenotype trajectories, as illustrated in Figure 2.</w:t>
      </w:r>
    </w:p>
    <w:p w14:paraId="396A38B9"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r w:rsidRPr="000150DA">
        <w:rPr>
          <w:rFonts w:ascii="Calibri" w:hAnsi="Calibri" w:cs="Calibri"/>
          <w:noProof/>
        </w:rPr>
        <w:lastRenderedPageBreak/>
        <w:drawing>
          <wp:inline distT="0" distB="0" distL="0" distR="0" wp14:anchorId="1E4F2B8B" wp14:editId="5E462E63">
            <wp:extent cx="5274310" cy="38131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13175"/>
                    </a:xfrm>
                    <a:prstGeom prst="rect">
                      <a:avLst/>
                    </a:prstGeom>
                    <a:noFill/>
                    <a:ln>
                      <a:noFill/>
                    </a:ln>
                  </pic:spPr>
                </pic:pic>
              </a:graphicData>
            </a:graphic>
          </wp:inline>
        </w:drawing>
      </w:r>
    </w:p>
    <w:p w14:paraId="3B0EE487" w14:textId="77777777" w:rsidR="002D2CD1" w:rsidRPr="000150DA" w:rsidRDefault="002D2CD1" w:rsidP="002D2CD1">
      <w:pPr>
        <w:widowControl/>
        <w:jc w:val="left"/>
        <w:rPr>
          <w:rFonts w:ascii="Calibri" w:hAnsi="Calibri" w:cs="Calibri"/>
          <w:bCs/>
          <w:szCs w:val="28"/>
        </w:rPr>
      </w:pPr>
      <w:r w:rsidRPr="000150DA">
        <w:rPr>
          <w:rFonts w:ascii="Calibri" w:hAnsi="Calibri" w:cs="Calibri"/>
          <w:b/>
          <w:szCs w:val="28"/>
        </w:rPr>
        <w:t>Figure S6.</w:t>
      </w:r>
      <w:r w:rsidRPr="000150DA">
        <w:rPr>
          <w:rFonts w:ascii="Calibri" w:hAnsi="Calibri" w:cs="Calibri"/>
        </w:rPr>
        <w:t xml:space="preserve"> </w:t>
      </w:r>
      <w:r w:rsidRPr="000150DA">
        <w:rPr>
          <w:rFonts w:ascii="Calibri" w:hAnsi="Calibri" w:cs="Calibri"/>
          <w:b/>
          <w:szCs w:val="28"/>
        </w:rPr>
        <w:t xml:space="preserve">Brain areas that contributed significantly to social cognition deficit scores (a), age(b) and sex(c), based on </w:t>
      </w:r>
      <w:proofErr w:type="spellStart"/>
      <w:r w:rsidRPr="000150DA">
        <w:rPr>
          <w:rFonts w:ascii="Calibri" w:hAnsi="Calibri" w:cs="Calibri"/>
          <w:b/>
          <w:szCs w:val="28"/>
        </w:rPr>
        <w:t>Glmnet</w:t>
      </w:r>
      <w:proofErr w:type="spellEnd"/>
      <w:r w:rsidRPr="000150DA">
        <w:rPr>
          <w:rFonts w:ascii="Calibri" w:hAnsi="Calibri" w:cs="Calibri"/>
          <w:b/>
          <w:szCs w:val="28"/>
        </w:rPr>
        <w:t xml:space="preserve"> regression analysis. Left: </w:t>
      </w:r>
      <w:r w:rsidRPr="000150DA">
        <w:rPr>
          <w:rFonts w:ascii="Calibri" w:hAnsi="Calibri" w:cs="Calibri"/>
          <w:bCs/>
          <w:szCs w:val="28"/>
        </w:rPr>
        <w:t xml:space="preserve">Solution paths from the penalized regression with a lasso penalty were used to select the optimal model for the relationship between individualized deviation scores and social cognition deficit scores. The red box highlights the optimal lambda, as determined by cross-validation. </w:t>
      </w:r>
      <w:r w:rsidRPr="000150DA">
        <w:rPr>
          <w:rFonts w:ascii="Calibri" w:hAnsi="Calibri" w:cs="Calibri"/>
          <w:b/>
          <w:szCs w:val="28"/>
        </w:rPr>
        <w:t xml:space="preserve">Right: </w:t>
      </w:r>
      <w:r w:rsidRPr="000150DA">
        <w:rPr>
          <w:rFonts w:ascii="Calibri" w:hAnsi="Calibri" w:cs="Calibri"/>
          <w:bCs/>
          <w:szCs w:val="28"/>
        </w:rPr>
        <w:t>The complete solution path for all coefficients is shown as a function of the logarithmic tuning parameter, lambda, for the lasso penalty.</w:t>
      </w:r>
    </w:p>
    <w:p w14:paraId="4561E848"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5818F8CF"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noProof/>
        </w:rPr>
        <w:lastRenderedPageBreak/>
        <w:drawing>
          <wp:inline distT="0" distB="0" distL="0" distR="0" wp14:anchorId="456E8353" wp14:editId="3BB0EE8E">
            <wp:extent cx="5274310" cy="1621155"/>
            <wp:effectExtent l="0" t="0" r="2540" b="0"/>
            <wp:docPr id="562190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621155"/>
                    </a:xfrm>
                    <a:prstGeom prst="rect">
                      <a:avLst/>
                    </a:prstGeom>
                    <a:noFill/>
                    <a:ln>
                      <a:noFill/>
                    </a:ln>
                  </pic:spPr>
                </pic:pic>
              </a:graphicData>
            </a:graphic>
          </wp:inline>
        </w:drawing>
      </w:r>
    </w:p>
    <w:p w14:paraId="510DF131"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bCs/>
          <w:kern w:val="0"/>
        </w:rPr>
        <w:t>Figure S7. Typical and atypical brain growth chart of females.</w:t>
      </w:r>
      <w:r w:rsidRPr="000150DA">
        <w:rPr>
          <w:rFonts w:ascii="Calibri" w:hAnsi="Calibri" w:cs="Calibri"/>
          <w:kern w:val="0"/>
        </w:rPr>
        <w:t xml:space="preserve"> Top, typical and atypical trajectories of global morphometric phenotype. The median (50% centile) is represented by a solid line, while the 2.5%</w:t>
      </w:r>
      <w:r w:rsidRPr="000150DA">
        <w:rPr>
          <w:rFonts w:ascii="Calibri" w:hAnsi="Calibri" w:cs="Calibri"/>
        </w:rPr>
        <w:t xml:space="preserve"> </w:t>
      </w:r>
      <w:r w:rsidRPr="000150DA">
        <w:rPr>
          <w:rFonts w:ascii="Calibri" w:hAnsi="Calibri" w:cs="Calibri"/>
          <w:kern w:val="0"/>
        </w:rPr>
        <w:t>and 97.5% centiles are indicated by dotted lines. Bottom, rate of growth (the first derivatives of the median trajectory). y axes are scaled in units of the corresponding MRI metrics (10,000 mm</w:t>
      </w:r>
      <w:r w:rsidRPr="000150DA">
        <w:rPr>
          <w:rFonts w:ascii="Calibri" w:hAnsi="Calibri" w:cs="Calibri"/>
          <w:kern w:val="0"/>
          <w:vertAlign w:val="superscript"/>
        </w:rPr>
        <w:t>3</w:t>
      </w:r>
      <w:r w:rsidRPr="000150DA">
        <w:rPr>
          <w:rFonts w:ascii="Calibri" w:hAnsi="Calibri" w:cs="Calibri"/>
          <w:kern w:val="0"/>
        </w:rPr>
        <w:t xml:space="preserve"> for volume value, 10,000 mm</w:t>
      </w:r>
      <w:r w:rsidRPr="000150DA">
        <w:rPr>
          <w:rFonts w:ascii="Calibri" w:hAnsi="Calibri" w:cs="Calibri"/>
          <w:kern w:val="0"/>
          <w:vertAlign w:val="superscript"/>
        </w:rPr>
        <w:t>2</w:t>
      </w:r>
      <w:r w:rsidRPr="000150DA">
        <w:rPr>
          <w:rFonts w:ascii="Calibri" w:hAnsi="Calibri" w:cs="Calibri"/>
          <w:kern w:val="0"/>
        </w:rPr>
        <w:t xml:space="preserve"> for surface area and mm for cortical thickness).</w:t>
      </w:r>
    </w:p>
    <w:p w14:paraId="1EEAD665"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322FA241" w14:textId="77777777" w:rsidR="002D2CD1" w:rsidRPr="000150DA" w:rsidRDefault="002D2CD1" w:rsidP="002D2CD1">
      <w:pPr>
        <w:widowControl/>
        <w:jc w:val="center"/>
        <w:rPr>
          <w:rFonts w:ascii="Calibri" w:hAnsi="Calibri" w:cs="Calibri"/>
          <w:b/>
          <w:sz w:val="28"/>
          <w:szCs w:val="28"/>
        </w:rPr>
      </w:pPr>
      <w:r w:rsidRPr="000150DA">
        <w:rPr>
          <w:rFonts w:ascii="Calibri" w:hAnsi="Calibri" w:cs="Calibri"/>
          <w:noProof/>
        </w:rPr>
        <w:lastRenderedPageBreak/>
        <w:drawing>
          <wp:inline distT="0" distB="0" distL="0" distR="0" wp14:anchorId="0DBC8A8A" wp14:editId="151B9884">
            <wp:extent cx="4671868" cy="7161919"/>
            <wp:effectExtent l="0" t="0" r="0" b="1270"/>
            <wp:docPr id="4551611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2567" cy="7162991"/>
                    </a:xfrm>
                    <a:prstGeom prst="rect">
                      <a:avLst/>
                    </a:prstGeom>
                    <a:noFill/>
                    <a:ln>
                      <a:noFill/>
                    </a:ln>
                  </pic:spPr>
                </pic:pic>
              </a:graphicData>
            </a:graphic>
          </wp:inline>
        </w:drawing>
      </w:r>
    </w:p>
    <w:p w14:paraId="68706EFA" w14:textId="77777777" w:rsidR="002D2CD1" w:rsidRPr="000150DA" w:rsidRDefault="002D2CD1" w:rsidP="002D2CD1">
      <w:pPr>
        <w:widowControl/>
        <w:jc w:val="left"/>
        <w:rPr>
          <w:rFonts w:ascii="Calibri" w:hAnsi="Calibri" w:cs="Calibri"/>
          <w:b/>
          <w:szCs w:val="28"/>
        </w:rPr>
      </w:pPr>
      <w:r w:rsidRPr="000150DA">
        <w:rPr>
          <w:rFonts w:ascii="Calibri" w:hAnsi="Calibri" w:cs="Calibri"/>
          <w:b/>
          <w:szCs w:val="28"/>
        </w:rPr>
        <w:t xml:space="preserve">Figure S8. Typical and atypical trajectories of median regional volumes in females for 34 bilateral brain regions as defined in the </w:t>
      </w:r>
      <w:proofErr w:type="spellStart"/>
      <w:r w:rsidRPr="000150DA">
        <w:rPr>
          <w:rFonts w:ascii="Calibri" w:hAnsi="Calibri" w:cs="Calibri"/>
          <w:b/>
          <w:szCs w:val="28"/>
        </w:rPr>
        <w:t>Desikan-Killiany</w:t>
      </w:r>
      <w:proofErr w:type="spellEnd"/>
      <w:r w:rsidRPr="000150DA">
        <w:rPr>
          <w:rFonts w:ascii="Calibri" w:hAnsi="Calibri" w:cs="Calibri"/>
          <w:b/>
          <w:szCs w:val="28"/>
        </w:rPr>
        <w:t xml:space="preserve"> parcellation and 12 subcortical regions (</w:t>
      </w:r>
      <w:r w:rsidRPr="000150DA">
        <w:rPr>
          <w:rFonts w:ascii="Calibri" w:hAnsi="Calibri" w:cs="Calibri"/>
          <w:b/>
          <w:kern w:val="0"/>
        </w:rPr>
        <w:t xml:space="preserve">10,000 </w:t>
      </w:r>
      <w:r w:rsidRPr="000150DA">
        <w:rPr>
          <w:rFonts w:ascii="Calibri" w:hAnsi="Calibri" w:cs="Calibri"/>
          <w:b/>
          <w:szCs w:val="28"/>
        </w:rPr>
        <w:t>mm</w:t>
      </w:r>
      <w:r w:rsidRPr="000150DA">
        <w:rPr>
          <w:rFonts w:ascii="Calibri" w:hAnsi="Calibri" w:cs="Calibri"/>
          <w:b/>
          <w:szCs w:val="28"/>
          <w:vertAlign w:val="superscript"/>
        </w:rPr>
        <w:t>3</w:t>
      </w:r>
      <w:r w:rsidRPr="000150DA">
        <w:rPr>
          <w:rFonts w:ascii="Calibri" w:hAnsi="Calibri" w:cs="Calibri"/>
          <w:b/>
          <w:szCs w:val="28"/>
        </w:rPr>
        <w:t xml:space="preserve">). </w:t>
      </w:r>
      <w:r w:rsidRPr="000150DA">
        <w:rPr>
          <w:rFonts w:ascii="Calibri" w:hAnsi="Calibri" w:cs="Calibri"/>
          <w:szCs w:val="28"/>
        </w:rPr>
        <w:t xml:space="preserve">These trajectories were fitted to the raw data using the same GAMLSS model used for estimation of global </w:t>
      </w:r>
      <w:r w:rsidRPr="000150DA">
        <w:rPr>
          <w:rFonts w:ascii="Calibri" w:hAnsi="Calibri" w:cs="Calibri"/>
          <w:kern w:val="0"/>
        </w:rPr>
        <w:t xml:space="preserve">morphometric phenotype </w:t>
      </w:r>
      <w:r w:rsidRPr="000150DA">
        <w:rPr>
          <w:rFonts w:ascii="Calibri" w:hAnsi="Calibri" w:cs="Calibri"/>
          <w:szCs w:val="28"/>
        </w:rPr>
        <w:t>trajectories, as shown in Figure S7.</w:t>
      </w:r>
    </w:p>
    <w:p w14:paraId="3C5E6515"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0C589E90" w14:textId="77777777" w:rsidR="002D2CD1" w:rsidRPr="000150DA" w:rsidRDefault="002D2CD1" w:rsidP="002D2CD1">
      <w:pPr>
        <w:widowControl/>
        <w:jc w:val="center"/>
        <w:rPr>
          <w:rFonts w:ascii="Calibri" w:hAnsi="Calibri" w:cs="Calibri"/>
          <w:b/>
          <w:sz w:val="28"/>
          <w:szCs w:val="28"/>
        </w:rPr>
      </w:pPr>
      <w:r w:rsidRPr="000150DA">
        <w:rPr>
          <w:rFonts w:ascii="Calibri" w:hAnsi="Calibri" w:cs="Calibri"/>
          <w:noProof/>
        </w:rPr>
        <w:lastRenderedPageBreak/>
        <w:drawing>
          <wp:inline distT="0" distB="0" distL="0" distR="0" wp14:anchorId="5EB6C543" wp14:editId="24BA75DB">
            <wp:extent cx="4102186" cy="62910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625" cy="6294813"/>
                    </a:xfrm>
                    <a:prstGeom prst="rect">
                      <a:avLst/>
                    </a:prstGeom>
                    <a:noFill/>
                    <a:ln>
                      <a:noFill/>
                    </a:ln>
                  </pic:spPr>
                </pic:pic>
              </a:graphicData>
            </a:graphic>
          </wp:inline>
        </w:drawing>
      </w:r>
    </w:p>
    <w:p w14:paraId="3EC7BC2D" w14:textId="77777777" w:rsidR="002D2CD1" w:rsidRPr="000150DA" w:rsidRDefault="002D2CD1" w:rsidP="002D2CD1">
      <w:pPr>
        <w:widowControl/>
        <w:jc w:val="left"/>
        <w:rPr>
          <w:rFonts w:ascii="Calibri" w:hAnsi="Calibri" w:cs="Calibri"/>
          <w:b/>
          <w:szCs w:val="28"/>
        </w:rPr>
      </w:pPr>
      <w:r w:rsidRPr="000150DA">
        <w:rPr>
          <w:rFonts w:ascii="Calibri" w:hAnsi="Calibri" w:cs="Calibri"/>
          <w:b/>
          <w:szCs w:val="28"/>
        </w:rPr>
        <w:t>Figure S9. Sex-stratified atypical trajectories of median regional volumes in ASD (</w:t>
      </w:r>
      <w:r w:rsidRPr="000150DA">
        <w:rPr>
          <w:rFonts w:ascii="Calibri" w:hAnsi="Calibri" w:cs="Calibri"/>
          <w:b/>
          <w:kern w:val="0"/>
        </w:rPr>
        <w:t xml:space="preserve">10,000 </w:t>
      </w:r>
      <w:r w:rsidRPr="000150DA">
        <w:rPr>
          <w:rFonts w:ascii="Calibri" w:hAnsi="Calibri" w:cs="Calibri"/>
          <w:b/>
          <w:szCs w:val="28"/>
        </w:rPr>
        <w:t>mm</w:t>
      </w:r>
      <w:r w:rsidRPr="000150DA">
        <w:rPr>
          <w:rFonts w:ascii="Calibri" w:hAnsi="Calibri" w:cs="Calibri"/>
          <w:b/>
          <w:szCs w:val="28"/>
          <w:vertAlign w:val="superscript"/>
        </w:rPr>
        <w:t>3</w:t>
      </w:r>
      <w:r w:rsidRPr="000150DA">
        <w:rPr>
          <w:rFonts w:ascii="Calibri" w:hAnsi="Calibri" w:cs="Calibri"/>
          <w:b/>
          <w:szCs w:val="28"/>
        </w:rPr>
        <w:t>).</w:t>
      </w:r>
    </w:p>
    <w:p w14:paraId="0F8AD73A"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5C6F8D7B" w14:textId="77777777" w:rsidR="002D2CD1" w:rsidRPr="000150DA" w:rsidRDefault="002D2CD1" w:rsidP="002D2CD1">
      <w:pPr>
        <w:widowControl/>
        <w:jc w:val="center"/>
        <w:rPr>
          <w:rFonts w:ascii="Calibri" w:hAnsi="Calibri" w:cs="Calibri"/>
          <w:b/>
          <w:sz w:val="28"/>
          <w:szCs w:val="28"/>
        </w:rPr>
      </w:pPr>
      <w:r w:rsidRPr="000150DA">
        <w:rPr>
          <w:rFonts w:ascii="Calibri" w:hAnsi="Calibri" w:cs="Calibri"/>
          <w:noProof/>
        </w:rPr>
        <w:lastRenderedPageBreak/>
        <w:drawing>
          <wp:inline distT="0" distB="0" distL="0" distR="0" wp14:anchorId="20481639" wp14:editId="08893D03">
            <wp:extent cx="4247275" cy="6078932"/>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5" cy="6080192"/>
                    </a:xfrm>
                    <a:prstGeom prst="rect">
                      <a:avLst/>
                    </a:prstGeom>
                    <a:noFill/>
                    <a:ln>
                      <a:noFill/>
                    </a:ln>
                  </pic:spPr>
                </pic:pic>
              </a:graphicData>
            </a:graphic>
          </wp:inline>
        </w:drawing>
      </w:r>
    </w:p>
    <w:p w14:paraId="3E93977A" w14:textId="77777777" w:rsidR="002D2CD1" w:rsidRPr="000150DA" w:rsidRDefault="002D2CD1" w:rsidP="002D2CD1">
      <w:pPr>
        <w:widowControl/>
        <w:jc w:val="left"/>
        <w:rPr>
          <w:rFonts w:ascii="Calibri" w:hAnsi="Calibri" w:cs="Calibri"/>
          <w:b/>
          <w:szCs w:val="28"/>
        </w:rPr>
      </w:pPr>
      <w:r w:rsidRPr="000150DA">
        <w:rPr>
          <w:rFonts w:ascii="Calibri" w:hAnsi="Calibri" w:cs="Calibri"/>
          <w:b/>
          <w:szCs w:val="28"/>
        </w:rPr>
        <w:t>Figure S10. Sex-stratified atypical trajectories of median regional volumes in TDC (</w:t>
      </w:r>
      <w:r w:rsidRPr="000150DA">
        <w:rPr>
          <w:rFonts w:ascii="Calibri" w:hAnsi="Calibri" w:cs="Calibri"/>
          <w:b/>
          <w:kern w:val="0"/>
        </w:rPr>
        <w:t xml:space="preserve">10,000 </w:t>
      </w:r>
      <w:r w:rsidRPr="000150DA">
        <w:rPr>
          <w:rFonts w:ascii="Calibri" w:hAnsi="Calibri" w:cs="Calibri"/>
          <w:b/>
          <w:szCs w:val="28"/>
        </w:rPr>
        <w:t>mm</w:t>
      </w:r>
      <w:r w:rsidRPr="000150DA">
        <w:rPr>
          <w:rFonts w:ascii="Calibri" w:hAnsi="Calibri" w:cs="Calibri"/>
          <w:b/>
          <w:szCs w:val="28"/>
          <w:vertAlign w:val="superscript"/>
        </w:rPr>
        <w:t>3</w:t>
      </w:r>
      <w:r w:rsidRPr="000150DA">
        <w:rPr>
          <w:rFonts w:ascii="Calibri" w:hAnsi="Calibri" w:cs="Calibri"/>
          <w:b/>
          <w:szCs w:val="28"/>
        </w:rPr>
        <w:t>).</w:t>
      </w:r>
    </w:p>
    <w:p w14:paraId="3F26FD76"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55D65F0C"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noProof/>
        </w:rPr>
        <w:lastRenderedPageBreak/>
        <w:drawing>
          <wp:inline distT="0" distB="0" distL="0" distR="0" wp14:anchorId="13F64754" wp14:editId="6A1B0D92">
            <wp:extent cx="5274310" cy="32473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47390"/>
                    </a:xfrm>
                    <a:prstGeom prst="rect">
                      <a:avLst/>
                    </a:prstGeom>
                    <a:noFill/>
                    <a:ln>
                      <a:noFill/>
                    </a:ln>
                  </pic:spPr>
                </pic:pic>
              </a:graphicData>
            </a:graphic>
          </wp:inline>
        </w:drawing>
      </w:r>
    </w:p>
    <w:p w14:paraId="1C093EA1" w14:textId="77777777" w:rsidR="002D2CD1" w:rsidRPr="000150DA" w:rsidRDefault="002D2CD1" w:rsidP="002D2CD1">
      <w:pPr>
        <w:rPr>
          <w:rFonts w:ascii="Calibri" w:hAnsi="Calibri" w:cs="Calibri"/>
          <w:b/>
          <w:bCs/>
        </w:rPr>
      </w:pPr>
      <w:r w:rsidRPr="000150DA">
        <w:rPr>
          <w:rFonts w:ascii="Calibri" w:hAnsi="Calibri" w:cs="Calibri"/>
          <w:b/>
          <w:bCs/>
        </w:rPr>
        <w:t xml:space="preserve">Figure S11. ABIDE Sample Characteristics (a) </w:t>
      </w:r>
      <w:r w:rsidRPr="000150DA">
        <w:rPr>
          <w:rFonts w:ascii="Calibri" w:hAnsi="Calibri" w:cs="Calibri"/>
        </w:rPr>
        <w:t>The distributions of age in ASD and TDC group</w:t>
      </w:r>
      <w:r w:rsidRPr="000150DA">
        <w:rPr>
          <w:rFonts w:ascii="Calibri" w:hAnsi="Calibri" w:cs="Calibri"/>
          <w:b/>
          <w:bCs/>
        </w:rPr>
        <w:t xml:space="preserve"> (b)</w:t>
      </w:r>
      <w:r w:rsidRPr="000150DA">
        <w:rPr>
          <w:rFonts w:ascii="Calibri" w:hAnsi="Calibri" w:cs="Calibri"/>
        </w:rPr>
        <w:t xml:space="preserve"> Total number of participants per group for each site. </w:t>
      </w:r>
      <w:r w:rsidRPr="000150DA">
        <w:rPr>
          <w:rFonts w:ascii="Calibri" w:hAnsi="Calibri" w:cs="Calibri"/>
          <w:b/>
          <w:bCs/>
        </w:rPr>
        <w:t>(c)</w:t>
      </w:r>
      <w:r w:rsidRPr="000150DA">
        <w:rPr>
          <w:rFonts w:ascii="Calibri" w:hAnsi="Calibri" w:cs="Calibri"/>
        </w:rPr>
        <w:t xml:space="preserve"> Age (in years) for all individuals per site irrespective of diagnostic group. </w:t>
      </w:r>
      <w:r w:rsidRPr="000150DA">
        <w:rPr>
          <w:rFonts w:ascii="Calibri" w:hAnsi="Calibri" w:cs="Calibri"/>
          <w:b/>
          <w:bCs/>
        </w:rPr>
        <w:t>(d)</w:t>
      </w:r>
      <w:r w:rsidRPr="000150DA">
        <w:rPr>
          <w:rFonts w:ascii="Calibri" w:hAnsi="Calibri" w:cs="Calibri"/>
        </w:rPr>
        <w:t xml:space="preserve"> Number of males and females for each site irrespective of diagnostic group. </w:t>
      </w:r>
    </w:p>
    <w:p w14:paraId="29B47637" w14:textId="77777777" w:rsidR="002D2CD1" w:rsidRPr="000150DA" w:rsidRDefault="002D2CD1" w:rsidP="002D2CD1">
      <w:pPr>
        <w:widowControl/>
        <w:jc w:val="left"/>
        <w:rPr>
          <w:rFonts w:ascii="Calibri" w:hAnsi="Calibri" w:cs="Calibri"/>
          <w:b/>
          <w:sz w:val="28"/>
          <w:szCs w:val="28"/>
        </w:rPr>
      </w:pPr>
    </w:p>
    <w:p w14:paraId="0B27D9A6" w14:textId="77777777" w:rsidR="002D2CD1" w:rsidRPr="000150DA" w:rsidRDefault="002D2CD1" w:rsidP="002D2CD1">
      <w:pPr>
        <w:widowControl/>
        <w:jc w:val="left"/>
        <w:rPr>
          <w:rFonts w:ascii="Calibri" w:hAnsi="Calibri" w:cs="Calibri"/>
          <w:b/>
          <w:sz w:val="28"/>
          <w:szCs w:val="28"/>
        </w:rPr>
      </w:pPr>
      <w:r w:rsidRPr="000150DA">
        <w:rPr>
          <w:rFonts w:ascii="Calibri" w:hAnsi="Calibri" w:cs="Calibri"/>
          <w:b/>
          <w:sz w:val="28"/>
          <w:szCs w:val="28"/>
        </w:rPr>
        <w:br w:type="page"/>
      </w:r>
    </w:p>
    <w:p w14:paraId="12D57B97" w14:textId="77777777" w:rsidR="002D2CD1" w:rsidRPr="000150DA" w:rsidRDefault="002D2CD1" w:rsidP="002D2CD1">
      <w:pPr>
        <w:jc w:val="center"/>
        <w:rPr>
          <w:rFonts w:ascii="Calibri" w:hAnsi="Calibri" w:cs="Calibri"/>
          <w:b/>
          <w:sz w:val="28"/>
          <w:szCs w:val="28"/>
        </w:rPr>
      </w:pPr>
      <w:r w:rsidRPr="000150DA">
        <w:rPr>
          <w:rFonts w:ascii="Calibri" w:hAnsi="Calibri" w:cs="Calibri"/>
          <w:b/>
          <w:sz w:val="28"/>
          <w:szCs w:val="28"/>
        </w:rPr>
        <w:lastRenderedPageBreak/>
        <w:t>Supplementary Tables</w:t>
      </w:r>
    </w:p>
    <w:p w14:paraId="22F311DF" w14:textId="77777777" w:rsidR="002D2CD1" w:rsidRPr="000150DA" w:rsidRDefault="002D2CD1" w:rsidP="002D2CD1">
      <w:pPr>
        <w:rPr>
          <w:rFonts w:ascii="Calibri" w:hAnsi="Calibri" w:cs="Calibri"/>
          <w:b/>
          <w:sz w:val="28"/>
          <w:szCs w:val="28"/>
        </w:rPr>
      </w:pPr>
      <w:r w:rsidRPr="000150DA">
        <w:rPr>
          <w:rFonts w:ascii="Calibri" w:hAnsi="Calibri" w:cs="Calibri"/>
          <w:b/>
          <w:szCs w:val="21"/>
        </w:rPr>
        <w:t>Table S1 Demographics and clinical characteristics of all participants in CABIC.</w:t>
      </w:r>
    </w:p>
    <w:tbl>
      <w:tblPr>
        <w:tblW w:w="8784" w:type="dxa"/>
        <w:tblCellMar>
          <w:left w:w="0" w:type="dxa"/>
          <w:right w:w="0" w:type="dxa"/>
        </w:tblCellMar>
        <w:tblLook w:val="0600" w:firstRow="0" w:lastRow="0" w:firstColumn="0" w:lastColumn="0" w:noHBand="1" w:noVBand="1"/>
      </w:tblPr>
      <w:tblGrid>
        <w:gridCol w:w="1008"/>
        <w:gridCol w:w="613"/>
        <w:gridCol w:w="580"/>
        <w:gridCol w:w="1309"/>
        <w:gridCol w:w="1456"/>
        <w:gridCol w:w="1692"/>
        <w:gridCol w:w="850"/>
        <w:gridCol w:w="1276"/>
      </w:tblGrid>
      <w:tr w:rsidR="002D2CD1" w:rsidRPr="000150DA" w14:paraId="634F75F9" w14:textId="77777777" w:rsidTr="003678E8">
        <w:trPr>
          <w:trHeight w:val="261"/>
        </w:trPr>
        <w:tc>
          <w:tcPr>
            <w:tcW w:w="1008"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62014C76" w14:textId="77777777" w:rsidR="002D2CD1" w:rsidRPr="000150DA" w:rsidRDefault="002D2CD1" w:rsidP="003678E8">
            <w:pPr>
              <w:jc w:val="center"/>
              <w:rPr>
                <w:rFonts w:ascii="Calibri" w:hAnsi="Calibri" w:cs="Calibri"/>
                <w:b/>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66DF2A66" w14:textId="77777777" w:rsidR="002D2CD1" w:rsidRPr="000150DA" w:rsidRDefault="002D2CD1" w:rsidP="003678E8">
            <w:pPr>
              <w:jc w:val="center"/>
              <w:rPr>
                <w:rFonts w:ascii="Calibri" w:hAnsi="Calibri" w:cs="Calibri"/>
                <w:b/>
                <w:sz w:val="18"/>
                <w:szCs w:val="18"/>
              </w:rPr>
            </w:pPr>
          </w:p>
        </w:tc>
        <w:tc>
          <w:tcPr>
            <w:tcW w:w="580"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1A6A7B99"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N</w:t>
            </w:r>
          </w:p>
        </w:tc>
        <w:tc>
          <w:tcPr>
            <w:tcW w:w="1309"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02146FAE"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AGE</w:t>
            </w:r>
          </w:p>
          <w:p w14:paraId="650D2A8B"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(year)</w:t>
            </w:r>
          </w:p>
        </w:tc>
        <w:tc>
          <w:tcPr>
            <w:tcW w:w="1456"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45260983"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SEX</w:t>
            </w:r>
          </w:p>
          <w:p w14:paraId="5F47D076"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w:t>
            </w:r>
            <w:r w:rsidRPr="000150DA">
              <w:rPr>
                <w:rFonts w:ascii="Calibri" w:hAnsi="Calibri" w:cs="Calibri"/>
                <w:b/>
                <w:sz w:val="18"/>
                <w:szCs w:val="18"/>
              </w:rPr>
              <w:t>M/F</w:t>
            </w:r>
            <w:r w:rsidRPr="000150DA">
              <w:rPr>
                <w:rFonts w:ascii="Calibri" w:hAnsi="Calibri" w:cs="Calibri"/>
                <w:b/>
                <w:sz w:val="18"/>
                <w:szCs w:val="18"/>
              </w:rPr>
              <w:t>）</w:t>
            </w:r>
          </w:p>
        </w:tc>
        <w:tc>
          <w:tcPr>
            <w:tcW w:w="1692"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611531F5"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HANDEDNESS</w:t>
            </w:r>
          </w:p>
          <w:p w14:paraId="052A5DD9"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(L/R/M)</w:t>
            </w:r>
          </w:p>
        </w:tc>
        <w:tc>
          <w:tcPr>
            <w:tcW w:w="850"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455EF924"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IQ</w:t>
            </w:r>
          </w:p>
          <w:p w14:paraId="6788B377"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 (N)</w:t>
            </w:r>
          </w:p>
        </w:tc>
        <w:tc>
          <w:tcPr>
            <w:tcW w:w="1276" w:type="dxa"/>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0259D0D3"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DIGNOSIS</w:t>
            </w:r>
          </w:p>
          <w:p w14:paraId="4AACD40B"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 (N)</w:t>
            </w:r>
          </w:p>
        </w:tc>
      </w:tr>
      <w:tr w:rsidR="002D2CD1" w:rsidRPr="000150DA" w14:paraId="68D2030A"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7A6DC957"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TOTAL</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0D2006B"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36705C6"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1451</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2557544"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1.00~12.41</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38080C1"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1150/301</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3D837CA"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30/837/46</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8E12BC0"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286</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158701D"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727</w:t>
            </w:r>
          </w:p>
        </w:tc>
      </w:tr>
      <w:tr w:rsidR="002D2CD1" w:rsidRPr="000150DA" w14:paraId="0B2A1293"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BCB963C" w14:textId="77777777" w:rsidR="002D2CD1" w:rsidRPr="000150DA" w:rsidRDefault="002D2CD1" w:rsidP="003678E8">
            <w:pPr>
              <w:jc w:val="center"/>
              <w:rPr>
                <w:rFonts w:ascii="Calibri" w:hAnsi="Calibri" w:cs="Calibri"/>
                <w:b/>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C4F6273"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C80A9C5"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1119</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EFDDC28"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1.00~12.92</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BF3D276"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692/427</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3DDA9F1"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18/763/35</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9CD81C8"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259</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BF8999D" w14:textId="77777777" w:rsidR="002D2CD1" w:rsidRPr="000150DA" w:rsidRDefault="002D2CD1" w:rsidP="003678E8">
            <w:pPr>
              <w:jc w:val="center"/>
              <w:rPr>
                <w:rFonts w:ascii="Calibri" w:hAnsi="Calibri" w:cs="Calibri"/>
                <w:b/>
                <w:sz w:val="18"/>
                <w:szCs w:val="18"/>
              </w:rPr>
            </w:pPr>
            <w:r w:rsidRPr="000150DA">
              <w:rPr>
                <w:rFonts w:ascii="Calibri" w:hAnsi="Calibri" w:cs="Calibri"/>
                <w:b/>
                <w:sz w:val="18"/>
                <w:szCs w:val="18"/>
              </w:rPr>
              <w:t>/</w:t>
            </w:r>
          </w:p>
        </w:tc>
      </w:tr>
      <w:tr w:rsidR="002D2CD1" w:rsidRPr="000150DA" w14:paraId="3AC918BB"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681752A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UESTC</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1CB259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96EDA6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293</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CBE014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1.99~11.00</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044DD4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224/69</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CEA0C1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11/272/10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9DEAEA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37</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EDE8CB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124</w:t>
            </w:r>
          </w:p>
        </w:tc>
      </w:tr>
      <w:tr w:rsidR="002D2CD1" w:rsidRPr="000150DA" w14:paraId="4EBE4397"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FC68617"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E12F72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89F472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172</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178F29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1.00~12.07</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800564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115/57</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3FFA316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3/158/10</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C45964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127</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4A3108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3A49A01A"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7433E04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JLU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530F21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1C5446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312</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7DD5B7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1.00~8.00</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20B95D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229/83</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18115C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02C581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201</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03D49E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208</w:t>
            </w:r>
          </w:p>
        </w:tc>
      </w:tr>
      <w:tr w:rsidR="002D2CD1" w:rsidRPr="000150DA" w14:paraId="315F7F12"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58FD638"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A19F4D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0D2B56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48</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E86B77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1.00~12.9</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13A2CA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31/17</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FCFB36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E228FD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EF4D36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58F4F6C6"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379AAF2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CHCMU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43E4E4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54E9F5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146</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4447FE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2.00~6.92</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2EAFDC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407/31</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C16C51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093B84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E1078B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74F715B7"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8ABFD8B"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92AA1C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38C1DF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100</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1655C3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1.25~10.25</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88EEC7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32/68</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E12664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2EA6B7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62A6F2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67D1C197"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4608F28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PLAGH</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04E332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30CA1B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135</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6A5388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1.52~12.40</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B75A83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108/27</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BC25F4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0/135/0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ACD195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95187C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4567CE8F"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4FCACD2"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C7EF4D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D84B6C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79</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7659B4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3.96~11.00</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002031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52/27</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383CD07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0/135/0</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017040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E03733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4B587E0D"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3A6C2C0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WXCH</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2E1C77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AAEA9B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111</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9B1271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1.82~10.01</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C34BEB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83/28</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E85893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0/111/0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3EEAE5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106</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6A24C5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92</w:t>
            </w:r>
          </w:p>
        </w:tc>
      </w:tr>
      <w:tr w:rsidR="002D2CD1" w:rsidRPr="000150DA" w14:paraId="6CC23C94"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CE892B7"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1512FB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2A0C3B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89</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C8138D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1.14~12.80</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46D94F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47/42</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AF9EA2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0/45/0</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097D89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C5DFD1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20B22F80"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729AFE0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SYSU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F0FA9D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6F41EA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109</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E48122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2.15~11.69</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DED522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94/15</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476C43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9/74/26</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B5173F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106</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EDA1DB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109</w:t>
            </w:r>
          </w:p>
        </w:tc>
      </w:tr>
      <w:tr w:rsidR="002D2CD1" w:rsidRPr="000150DA" w14:paraId="68DA3A76"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ED5024F"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CC6957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96117B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81</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CD718A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5.26~12.64</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2D9845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47/34</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DB747B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6/68/7</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B46006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81</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78B5F7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4319569A"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17019FB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GWCMC</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4597AC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7C75CA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79</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63AA6B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3.05~12.00</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31ACD3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63/16</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63E9D4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B257E5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86CDAF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7DE9720E"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E1C2B1C"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9AEB0D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DC399A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95</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3EB4CB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2.8~9.00</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4EA5A7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59/36</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D9DC01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37DE9D3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2428B5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6DF5CE17"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7FC98C4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PKU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217701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834C6C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98</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BBB7E3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3.00~5.81</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2E5D25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87/11</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5C3C6E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3/82/10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2B2373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9FD857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96</w:t>
            </w:r>
          </w:p>
        </w:tc>
      </w:tr>
      <w:tr w:rsidR="002D2CD1" w:rsidRPr="000150DA" w14:paraId="638FE7A9"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9F03A7A"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000000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7B0D349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30</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4A6E22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3.94~5.57</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13F3B5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24/6</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1D4BA3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0/23/7</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8F8DDF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5E6854F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00662DDD"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22B7222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YZU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6A4F66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18D798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125</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B7CEF8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3.05~12.25</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2FE486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111/14</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02BF43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0/125/0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1443A7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184D82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55</w:t>
            </w:r>
          </w:p>
        </w:tc>
      </w:tr>
      <w:tr w:rsidR="002D2CD1" w:rsidRPr="000150DA" w14:paraId="43FF224C"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AFA1FE5"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18A67F4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66D2B4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309"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6522C30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45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1A1854B"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692"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2C83513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44D02D1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F0F0F0"/>
            <w:tcMar>
              <w:top w:w="47" w:type="dxa"/>
              <w:left w:w="95" w:type="dxa"/>
              <w:bottom w:w="47" w:type="dxa"/>
              <w:right w:w="95" w:type="dxa"/>
            </w:tcMar>
            <w:vAlign w:val="center"/>
            <w:hideMark/>
          </w:tcPr>
          <w:p w14:paraId="015F670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3B9BE34D" w14:textId="77777777" w:rsidTr="003678E8">
        <w:trPr>
          <w:trHeight w:val="170"/>
        </w:trPr>
        <w:tc>
          <w:tcPr>
            <w:tcW w:w="1008" w:type="dxa"/>
            <w:vMerge w:val="restart"/>
            <w:tcBorders>
              <w:top w:val="single" w:sz="4" w:space="0" w:color="FFFFFF"/>
              <w:left w:val="single" w:sz="4" w:space="0" w:color="FFFFFF"/>
              <w:bottom w:val="single" w:sz="4" w:space="0" w:color="FFFFFF"/>
              <w:right w:val="single" w:sz="4" w:space="0" w:color="FFFFFF"/>
            </w:tcBorders>
            <w:shd w:val="clear" w:color="auto" w:fill="A5A5A5"/>
            <w:tcMar>
              <w:top w:w="47" w:type="dxa"/>
              <w:left w:w="95" w:type="dxa"/>
              <w:bottom w:w="47" w:type="dxa"/>
              <w:right w:w="95" w:type="dxa"/>
            </w:tcMar>
            <w:vAlign w:val="center"/>
            <w:hideMark/>
          </w:tcPr>
          <w:p w14:paraId="2DD3996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HMU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9B0B08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A71EA8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43</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F3F776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2.92~7.94</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0D4074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36/7</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128017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7/36/0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6CC0CF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37</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2D193891"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43</w:t>
            </w:r>
          </w:p>
        </w:tc>
      </w:tr>
      <w:tr w:rsidR="002D2CD1" w:rsidRPr="000150DA" w14:paraId="13BFF2A8" w14:textId="77777777" w:rsidTr="003678E8">
        <w:trPr>
          <w:trHeight w:val="1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66BC588"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F85D3F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C21713D"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58</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A02081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3.18~8.04</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AFCB5B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48/10</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BD40E2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3/55/0</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312F3AB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51</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BEB7A4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54B3E6DA" w14:textId="77777777" w:rsidTr="003678E8">
        <w:trPr>
          <w:trHeight w:val="170"/>
        </w:trPr>
        <w:tc>
          <w:tcPr>
            <w:tcW w:w="1008" w:type="dxa"/>
            <w:vMerge w:val="restart"/>
            <w:tcBorders>
              <w:top w:val="single" w:sz="4" w:space="0" w:color="FFFFFF"/>
              <w:left w:val="single" w:sz="4" w:space="0" w:color="FFFFFF"/>
              <w:bottom w:val="single" w:sz="4" w:space="0" w:color="000000"/>
              <w:right w:val="single" w:sz="4" w:space="0" w:color="FFFFFF"/>
            </w:tcBorders>
            <w:shd w:val="clear" w:color="auto" w:fill="A5A5A5"/>
            <w:tcMar>
              <w:top w:w="47" w:type="dxa"/>
              <w:left w:w="95" w:type="dxa"/>
              <w:bottom w:w="47" w:type="dxa"/>
              <w:right w:w="95" w:type="dxa"/>
            </w:tcMar>
            <w:vAlign w:val="center"/>
            <w:hideMark/>
          </w:tcPr>
          <w:p w14:paraId="45CCD54C"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BNU</w:t>
            </w:r>
          </w:p>
        </w:tc>
        <w:tc>
          <w:tcPr>
            <w:tcW w:w="613"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5E1F9C4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ASD</w:t>
            </w:r>
          </w:p>
        </w:tc>
        <w:tc>
          <w:tcPr>
            <w:tcW w:w="58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DBB173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309"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0D75DD57"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45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7DB915F6"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692"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408C89E2"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850"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6A928555"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FFFFFF"/>
              <w:right w:val="single" w:sz="4" w:space="0" w:color="FFFFFF"/>
            </w:tcBorders>
            <w:shd w:val="clear" w:color="auto" w:fill="E1E1E1"/>
            <w:tcMar>
              <w:top w:w="47" w:type="dxa"/>
              <w:left w:w="95" w:type="dxa"/>
              <w:bottom w:w="47" w:type="dxa"/>
              <w:right w:w="95" w:type="dxa"/>
            </w:tcMar>
            <w:vAlign w:val="center"/>
            <w:hideMark/>
          </w:tcPr>
          <w:p w14:paraId="1211ECBE"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r w:rsidR="002D2CD1" w:rsidRPr="000150DA" w14:paraId="249F48B8" w14:textId="77777777" w:rsidTr="003678E8">
        <w:trPr>
          <w:trHeight w:val="170"/>
        </w:trPr>
        <w:tc>
          <w:tcPr>
            <w:tcW w:w="0" w:type="auto"/>
            <w:vMerge/>
            <w:tcBorders>
              <w:top w:val="single" w:sz="4" w:space="0" w:color="FFFFFF"/>
              <w:left w:val="single" w:sz="4" w:space="0" w:color="FFFFFF"/>
              <w:bottom w:val="single" w:sz="4" w:space="0" w:color="000000"/>
              <w:right w:val="single" w:sz="4" w:space="0" w:color="FFFFFF"/>
            </w:tcBorders>
            <w:vAlign w:val="center"/>
            <w:hideMark/>
          </w:tcPr>
          <w:p w14:paraId="14AC0B05" w14:textId="77777777" w:rsidR="002D2CD1" w:rsidRPr="000150DA" w:rsidRDefault="002D2CD1" w:rsidP="003678E8">
            <w:pPr>
              <w:jc w:val="center"/>
              <w:rPr>
                <w:rFonts w:ascii="Calibri" w:hAnsi="Calibri" w:cs="Calibri"/>
                <w:bCs/>
                <w:sz w:val="18"/>
                <w:szCs w:val="18"/>
              </w:rPr>
            </w:pPr>
          </w:p>
        </w:tc>
        <w:tc>
          <w:tcPr>
            <w:tcW w:w="613"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272F7FC8"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TDC</w:t>
            </w:r>
          </w:p>
        </w:tc>
        <w:tc>
          <w:tcPr>
            <w:tcW w:w="580"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6445E1A3"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367</w:t>
            </w:r>
          </w:p>
        </w:tc>
        <w:tc>
          <w:tcPr>
            <w:tcW w:w="1309"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67EE1D14"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4.5~12.9</w:t>
            </w:r>
          </w:p>
        </w:tc>
        <w:tc>
          <w:tcPr>
            <w:tcW w:w="1456"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34DE7390"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207/160</w:t>
            </w:r>
          </w:p>
        </w:tc>
        <w:tc>
          <w:tcPr>
            <w:tcW w:w="1692"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55043959"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6/355/11</w:t>
            </w:r>
          </w:p>
        </w:tc>
        <w:tc>
          <w:tcPr>
            <w:tcW w:w="850"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1E18E39A"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c>
          <w:tcPr>
            <w:tcW w:w="1276" w:type="dxa"/>
            <w:tcBorders>
              <w:top w:val="single" w:sz="4" w:space="0" w:color="FFFFFF"/>
              <w:left w:val="single" w:sz="4" w:space="0" w:color="FFFFFF"/>
              <w:bottom w:val="single" w:sz="4" w:space="0" w:color="000000"/>
              <w:right w:val="single" w:sz="4" w:space="0" w:color="FFFFFF"/>
            </w:tcBorders>
            <w:shd w:val="clear" w:color="auto" w:fill="F0F0F0"/>
            <w:tcMar>
              <w:top w:w="47" w:type="dxa"/>
              <w:left w:w="95" w:type="dxa"/>
              <w:bottom w:w="47" w:type="dxa"/>
              <w:right w:w="95" w:type="dxa"/>
            </w:tcMar>
            <w:vAlign w:val="center"/>
            <w:hideMark/>
          </w:tcPr>
          <w:p w14:paraId="3BE03D5F" w14:textId="77777777" w:rsidR="002D2CD1" w:rsidRPr="000150DA" w:rsidRDefault="002D2CD1" w:rsidP="003678E8">
            <w:pPr>
              <w:jc w:val="center"/>
              <w:rPr>
                <w:rFonts w:ascii="Calibri" w:hAnsi="Calibri" w:cs="Calibri"/>
                <w:bCs/>
                <w:sz w:val="18"/>
                <w:szCs w:val="18"/>
              </w:rPr>
            </w:pPr>
            <w:r w:rsidRPr="000150DA">
              <w:rPr>
                <w:rFonts w:ascii="Calibri" w:hAnsi="Calibri" w:cs="Calibri"/>
                <w:bCs/>
                <w:sz w:val="18"/>
                <w:szCs w:val="18"/>
              </w:rPr>
              <w:t>/</w:t>
            </w:r>
          </w:p>
        </w:tc>
      </w:tr>
    </w:tbl>
    <w:p w14:paraId="0DB58134" w14:textId="77777777" w:rsidR="002D2CD1" w:rsidRPr="000150DA" w:rsidRDefault="002D2CD1" w:rsidP="002D2CD1">
      <w:pPr>
        <w:rPr>
          <w:rFonts w:ascii="Calibri" w:hAnsi="Calibri" w:cs="Calibri"/>
          <w:szCs w:val="21"/>
        </w:rPr>
      </w:pPr>
      <w:r w:rsidRPr="000150DA">
        <w:rPr>
          <w:rFonts w:ascii="Calibri" w:hAnsi="Calibri" w:cs="Calibri"/>
          <w:szCs w:val="21"/>
        </w:rPr>
        <w:t>Note:</w:t>
      </w:r>
      <w:r w:rsidRPr="000150DA">
        <w:rPr>
          <w:rFonts w:ascii="Calibri" w:hAnsi="Calibri" w:cs="Calibri"/>
        </w:rPr>
        <w:t xml:space="preserve"> </w:t>
      </w:r>
      <w:r w:rsidRPr="000150DA">
        <w:rPr>
          <w:rFonts w:ascii="Calibri" w:hAnsi="Calibri" w:cs="Calibri"/>
          <w:szCs w:val="21"/>
        </w:rPr>
        <w:t>An assessment is considered to include an intelligence quotient (IQ) score if it involves one of the following measures: the Wechsler Intelligence Scale for Children (WISC), Gesell Developmental Schedules (GDS), or the Peabody Picture Vocabulary Test (PPVT). A clinical symptom score is recorded if the assessment includes one of the following: The Autism Diagnostic Interview-Revised (ADI-R), Autism Diagnostic Observation Schedule (ADOS), Childhood Autism Rating Scale (CARS), or Autism Behavior Checklist (ABC).</w:t>
      </w:r>
    </w:p>
    <w:p w14:paraId="3084BDE4" w14:textId="77777777" w:rsidR="00EA1342" w:rsidRPr="002D2CD1" w:rsidRDefault="00EA1342" w:rsidP="002D2CD1"/>
    <w:sectPr w:rsidR="00EA1342" w:rsidRPr="002D2C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F8E6" w14:textId="77777777" w:rsidR="00E51EAE" w:rsidRDefault="00E51EAE" w:rsidP="00293E1D">
      <w:r>
        <w:separator/>
      </w:r>
    </w:p>
  </w:endnote>
  <w:endnote w:type="continuationSeparator" w:id="0">
    <w:p w14:paraId="412F9DE8" w14:textId="77777777" w:rsidR="00E51EAE" w:rsidRDefault="00E51EAE" w:rsidP="0029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533F" w14:textId="77777777" w:rsidR="00E51EAE" w:rsidRDefault="00E51EAE" w:rsidP="00293E1D">
      <w:r>
        <w:separator/>
      </w:r>
    </w:p>
  </w:footnote>
  <w:footnote w:type="continuationSeparator" w:id="0">
    <w:p w14:paraId="41615FD0" w14:textId="77777777" w:rsidR="00E51EAE" w:rsidRDefault="00E51EAE" w:rsidP="00293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0t2deaadsestezztipax0uw2ta5dasdx0z&quot;&gt;My EndNote Library&lt;record-ids&gt;&lt;item&gt;1023&lt;/item&gt;&lt;/record-ids&gt;&lt;/item&gt;&lt;/Libraries&gt;"/>
  </w:docVars>
  <w:rsids>
    <w:rsidRoot w:val="00FF2811"/>
    <w:rsid w:val="00041B85"/>
    <w:rsid w:val="00073165"/>
    <w:rsid w:val="00085877"/>
    <w:rsid w:val="0008671F"/>
    <w:rsid w:val="000A2C1A"/>
    <w:rsid w:val="000A60B9"/>
    <w:rsid w:val="000E6C3E"/>
    <w:rsid w:val="000F22E4"/>
    <w:rsid w:val="001159F9"/>
    <w:rsid w:val="00156D86"/>
    <w:rsid w:val="00160DF9"/>
    <w:rsid w:val="001611FF"/>
    <w:rsid w:val="001744A1"/>
    <w:rsid w:val="0019079E"/>
    <w:rsid w:val="001A4E6B"/>
    <w:rsid w:val="001B54A5"/>
    <w:rsid w:val="001D2059"/>
    <w:rsid w:val="001E092D"/>
    <w:rsid w:val="0023483A"/>
    <w:rsid w:val="002455B6"/>
    <w:rsid w:val="00293E1D"/>
    <w:rsid w:val="002D2CD1"/>
    <w:rsid w:val="002D777A"/>
    <w:rsid w:val="00364219"/>
    <w:rsid w:val="00372D06"/>
    <w:rsid w:val="00377B39"/>
    <w:rsid w:val="003E17B7"/>
    <w:rsid w:val="003E44BC"/>
    <w:rsid w:val="00401D70"/>
    <w:rsid w:val="00417B9D"/>
    <w:rsid w:val="0042550A"/>
    <w:rsid w:val="004458CD"/>
    <w:rsid w:val="0044601C"/>
    <w:rsid w:val="004635F5"/>
    <w:rsid w:val="00472DD2"/>
    <w:rsid w:val="00473EAE"/>
    <w:rsid w:val="004906EA"/>
    <w:rsid w:val="004A2241"/>
    <w:rsid w:val="004B74A8"/>
    <w:rsid w:val="004C5FCD"/>
    <w:rsid w:val="004D2EDB"/>
    <w:rsid w:val="004E3C99"/>
    <w:rsid w:val="004F4ADC"/>
    <w:rsid w:val="005344DF"/>
    <w:rsid w:val="00541935"/>
    <w:rsid w:val="00553B6E"/>
    <w:rsid w:val="00556FF6"/>
    <w:rsid w:val="00593A39"/>
    <w:rsid w:val="005A3F3D"/>
    <w:rsid w:val="005D2DA0"/>
    <w:rsid w:val="00602A77"/>
    <w:rsid w:val="00625DF3"/>
    <w:rsid w:val="006760CF"/>
    <w:rsid w:val="00686B97"/>
    <w:rsid w:val="00717E90"/>
    <w:rsid w:val="00726DF4"/>
    <w:rsid w:val="00755407"/>
    <w:rsid w:val="007935AA"/>
    <w:rsid w:val="007951A0"/>
    <w:rsid w:val="007D3EF7"/>
    <w:rsid w:val="007F48B2"/>
    <w:rsid w:val="00814F08"/>
    <w:rsid w:val="00863CDD"/>
    <w:rsid w:val="008A4F4A"/>
    <w:rsid w:val="008A700B"/>
    <w:rsid w:val="008D1A5C"/>
    <w:rsid w:val="00901612"/>
    <w:rsid w:val="00902F47"/>
    <w:rsid w:val="00911389"/>
    <w:rsid w:val="009915E9"/>
    <w:rsid w:val="009A23F4"/>
    <w:rsid w:val="009C05DA"/>
    <w:rsid w:val="009D1194"/>
    <w:rsid w:val="009E1194"/>
    <w:rsid w:val="009E6144"/>
    <w:rsid w:val="009F5417"/>
    <w:rsid w:val="00A2684F"/>
    <w:rsid w:val="00A74DD0"/>
    <w:rsid w:val="00A84E94"/>
    <w:rsid w:val="00A9362B"/>
    <w:rsid w:val="00AE1DD3"/>
    <w:rsid w:val="00B410D6"/>
    <w:rsid w:val="00B5761D"/>
    <w:rsid w:val="00B663FB"/>
    <w:rsid w:val="00BC5FF8"/>
    <w:rsid w:val="00BC7027"/>
    <w:rsid w:val="00BD5F00"/>
    <w:rsid w:val="00BF0970"/>
    <w:rsid w:val="00C32085"/>
    <w:rsid w:val="00C418B9"/>
    <w:rsid w:val="00C96392"/>
    <w:rsid w:val="00CF74C5"/>
    <w:rsid w:val="00D025D8"/>
    <w:rsid w:val="00D0451A"/>
    <w:rsid w:val="00D470E3"/>
    <w:rsid w:val="00D5087C"/>
    <w:rsid w:val="00D518F9"/>
    <w:rsid w:val="00D52AEE"/>
    <w:rsid w:val="00D9278C"/>
    <w:rsid w:val="00DD3BA7"/>
    <w:rsid w:val="00DD76CB"/>
    <w:rsid w:val="00E212DE"/>
    <w:rsid w:val="00E235CA"/>
    <w:rsid w:val="00E40799"/>
    <w:rsid w:val="00E41067"/>
    <w:rsid w:val="00E51D2F"/>
    <w:rsid w:val="00E51EAE"/>
    <w:rsid w:val="00E52BF1"/>
    <w:rsid w:val="00E53991"/>
    <w:rsid w:val="00E5649C"/>
    <w:rsid w:val="00E91682"/>
    <w:rsid w:val="00EA1342"/>
    <w:rsid w:val="00EE7592"/>
    <w:rsid w:val="00F22D01"/>
    <w:rsid w:val="00F30A50"/>
    <w:rsid w:val="00F46278"/>
    <w:rsid w:val="00F61228"/>
    <w:rsid w:val="00F90F89"/>
    <w:rsid w:val="00F95A39"/>
    <w:rsid w:val="00F97D0A"/>
    <w:rsid w:val="00FB1E4D"/>
    <w:rsid w:val="00FF2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C01EE0"/>
  <w15:chartTrackingRefBased/>
  <w15:docId w15:val="{69843774-D93C-401C-BE6A-C7170320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2C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2811"/>
    <w:rPr>
      <w:color w:val="0563C1" w:themeColor="hyperlink"/>
      <w:u w:val="single"/>
    </w:rPr>
  </w:style>
  <w:style w:type="paragraph" w:styleId="a4">
    <w:name w:val="header"/>
    <w:basedOn w:val="a"/>
    <w:link w:val="a5"/>
    <w:uiPriority w:val="99"/>
    <w:unhideWhenUsed/>
    <w:rsid w:val="00293E1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93E1D"/>
    <w:rPr>
      <w:sz w:val="18"/>
      <w:szCs w:val="18"/>
    </w:rPr>
  </w:style>
  <w:style w:type="paragraph" w:styleId="a6">
    <w:name w:val="footer"/>
    <w:basedOn w:val="a"/>
    <w:link w:val="a7"/>
    <w:uiPriority w:val="99"/>
    <w:unhideWhenUsed/>
    <w:rsid w:val="00293E1D"/>
    <w:pPr>
      <w:tabs>
        <w:tab w:val="center" w:pos="4153"/>
        <w:tab w:val="right" w:pos="8306"/>
      </w:tabs>
      <w:snapToGrid w:val="0"/>
      <w:jc w:val="left"/>
    </w:pPr>
    <w:rPr>
      <w:sz w:val="18"/>
      <w:szCs w:val="18"/>
    </w:rPr>
  </w:style>
  <w:style w:type="character" w:customStyle="1" w:styleId="a7">
    <w:name w:val="页脚 字符"/>
    <w:basedOn w:val="a0"/>
    <w:link w:val="a6"/>
    <w:uiPriority w:val="99"/>
    <w:rsid w:val="00293E1D"/>
    <w:rPr>
      <w:sz w:val="18"/>
      <w:szCs w:val="18"/>
    </w:rPr>
  </w:style>
  <w:style w:type="character" w:styleId="a8">
    <w:name w:val="annotation reference"/>
    <w:basedOn w:val="a0"/>
    <w:uiPriority w:val="99"/>
    <w:semiHidden/>
    <w:unhideWhenUsed/>
    <w:rsid w:val="00293E1D"/>
    <w:rPr>
      <w:sz w:val="21"/>
      <w:szCs w:val="21"/>
    </w:rPr>
  </w:style>
  <w:style w:type="paragraph" w:styleId="a9">
    <w:name w:val="annotation text"/>
    <w:basedOn w:val="a"/>
    <w:link w:val="aa"/>
    <w:uiPriority w:val="99"/>
    <w:semiHidden/>
    <w:unhideWhenUsed/>
    <w:rsid w:val="00293E1D"/>
    <w:pPr>
      <w:jc w:val="left"/>
    </w:pPr>
  </w:style>
  <w:style w:type="character" w:customStyle="1" w:styleId="aa">
    <w:name w:val="批注文字 字符"/>
    <w:basedOn w:val="a0"/>
    <w:link w:val="a9"/>
    <w:uiPriority w:val="99"/>
    <w:semiHidden/>
    <w:rsid w:val="00293E1D"/>
  </w:style>
  <w:style w:type="paragraph" w:styleId="ab">
    <w:name w:val="annotation subject"/>
    <w:basedOn w:val="a9"/>
    <w:next w:val="a9"/>
    <w:link w:val="ac"/>
    <w:uiPriority w:val="99"/>
    <w:semiHidden/>
    <w:unhideWhenUsed/>
    <w:rsid w:val="00293E1D"/>
    <w:rPr>
      <w:b/>
      <w:bCs/>
    </w:rPr>
  </w:style>
  <w:style w:type="character" w:customStyle="1" w:styleId="ac">
    <w:name w:val="批注主题 字符"/>
    <w:basedOn w:val="aa"/>
    <w:link w:val="ab"/>
    <w:uiPriority w:val="99"/>
    <w:semiHidden/>
    <w:rsid w:val="00293E1D"/>
    <w:rPr>
      <w:b/>
      <w:bCs/>
    </w:rPr>
  </w:style>
  <w:style w:type="paragraph" w:styleId="ad">
    <w:name w:val="Balloon Text"/>
    <w:basedOn w:val="a"/>
    <w:link w:val="ae"/>
    <w:uiPriority w:val="99"/>
    <w:semiHidden/>
    <w:unhideWhenUsed/>
    <w:rsid w:val="00293E1D"/>
    <w:rPr>
      <w:sz w:val="18"/>
      <w:szCs w:val="18"/>
    </w:rPr>
  </w:style>
  <w:style w:type="character" w:customStyle="1" w:styleId="ae">
    <w:name w:val="批注框文本 字符"/>
    <w:basedOn w:val="a0"/>
    <w:link w:val="ad"/>
    <w:uiPriority w:val="99"/>
    <w:semiHidden/>
    <w:rsid w:val="00293E1D"/>
    <w:rPr>
      <w:sz w:val="18"/>
      <w:szCs w:val="18"/>
    </w:rPr>
  </w:style>
  <w:style w:type="paragraph" w:customStyle="1" w:styleId="EndNoteBibliographyTitle">
    <w:name w:val="EndNote Bibliography Title"/>
    <w:basedOn w:val="a"/>
    <w:link w:val="EndNoteBibliographyTitle0"/>
    <w:rsid w:val="00EA134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A1342"/>
    <w:rPr>
      <w:rFonts w:ascii="等线" w:eastAsia="等线" w:hAnsi="等线"/>
      <w:noProof/>
      <w:sz w:val="20"/>
    </w:rPr>
  </w:style>
  <w:style w:type="paragraph" w:customStyle="1" w:styleId="EndNoteBibliography">
    <w:name w:val="EndNote Bibliography"/>
    <w:basedOn w:val="a"/>
    <w:link w:val="EndNoteBibliography0"/>
    <w:rsid w:val="00EA1342"/>
    <w:rPr>
      <w:rFonts w:ascii="等线" w:eastAsia="等线" w:hAnsi="等线"/>
      <w:noProof/>
      <w:sz w:val="20"/>
    </w:rPr>
  </w:style>
  <w:style w:type="character" w:customStyle="1" w:styleId="EndNoteBibliography0">
    <w:name w:val="EndNote Bibliography 字符"/>
    <w:basedOn w:val="a0"/>
    <w:link w:val="EndNoteBibliography"/>
    <w:rsid w:val="00EA1342"/>
    <w:rPr>
      <w:rFonts w:ascii="等线" w:eastAsia="等线" w:hAnsi="等线"/>
      <w:noProof/>
      <w:sz w:val="20"/>
    </w:rPr>
  </w:style>
  <w:style w:type="character" w:customStyle="1" w:styleId="1">
    <w:name w:val="未处理的提及1"/>
    <w:basedOn w:val="a0"/>
    <w:uiPriority w:val="99"/>
    <w:semiHidden/>
    <w:unhideWhenUsed/>
    <w:rsid w:val="001A4E6B"/>
    <w:rPr>
      <w:color w:val="605E5C"/>
      <w:shd w:val="clear" w:color="auto" w:fill="E1DFDD"/>
    </w:rPr>
  </w:style>
  <w:style w:type="paragraph" w:styleId="af">
    <w:name w:val="Revision"/>
    <w:hidden/>
    <w:uiPriority w:val="99"/>
    <w:semiHidden/>
    <w:rsid w:val="00FB1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8658">
      <w:bodyDiv w:val="1"/>
      <w:marLeft w:val="0"/>
      <w:marRight w:val="0"/>
      <w:marTop w:val="0"/>
      <w:marBottom w:val="0"/>
      <w:divBdr>
        <w:top w:val="none" w:sz="0" w:space="0" w:color="auto"/>
        <w:left w:val="none" w:sz="0" w:space="0" w:color="auto"/>
        <w:bottom w:val="none" w:sz="0" w:space="0" w:color="auto"/>
        <w:right w:val="none" w:sz="0" w:space="0" w:color="auto"/>
      </w:divBdr>
    </w:div>
    <w:div w:id="431826431">
      <w:bodyDiv w:val="1"/>
      <w:marLeft w:val="0"/>
      <w:marRight w:val="0"/>
      <w:marTop w:val="0"/>
      <w:marBottom w:val="0"/>
      <w:divBdr>
        <w:top w:val="none" w:sz="0" w:space="0" w:color="auto"/>
        <w:left w:val="none" w:sz="0" w:space="0" w:color="auto"/>
        <w:bottom w:val="none" w:sz="0" w:space="0" w:color="auto"/>
        <w:right w:val="none" w:sz="0" w:space="0" w:color="auto"/>
      </w:divBdr>
    </w:div>
    <w:div w:id="828209892">
      <w:bodyDiv w:val="1"/>
      <w:marLeft w:val="0"/>
      <w:marRight w:val="0"/>
      <w:marTop w:val="0"/>
      <w:marBottom w:val="0"/>
      <w:divBdr>
        <w:top w:val="none" w:sz="0" w:space="0" w:color="auto"/>
        <w:left w:val="none" w:sz="0" w:space="0" w:color="auto"/>
        <w:bottom w:val="none" w:sz="0" w:space="0" w:color="auto"/>
        <w:right w:val="none" w:sz="0" w:space="0" w:color="auto"/>
      </w:divBdr>
    </w:div>
    <w:div w:id="1015377112">
      <w:bodyDiv w:val="1"/>
      <w:marLeft w:val="0"/>
      <w:marRight w:val="0"/>
      <w:marTop w:val="0"/>
      <w:marBottom w:val="0"/>
      <w:divBdr>
        <w:top w:val="none" w:sz="0" w:space="0" w:color="auto"/>
        <w:left w:val="none" w:sz="0" w:space="0" w:color="auto"/>
        <w:bottom w:val="none" w:sz="0" w:space="0" w:color="auto"/>
        <w:right w:val="none" w:sz="0" w:space="0" w:color="auto"/>
      </w:divBdr>
    </w:div>
    <w:div w:id="1042443348">
      <w:bodyDiv w:val="1"/>
      <w:marLeft w:val="0"/>
      <w:marRight w:val="0"/>
      <w:marTop w:val="0"/>
      <w:marBottom w:val="0"/>
      <w:divBdr>
        <w:top w:val="none" w:sz="0" w:space="0" w:color="auto"/>
        <w:left w:val="none" w:sz="0" w:space="0" w:color="auto"/>
        <w:bottom w:val="none" w:sz="0" w:space="0" w:color="auto"/>
        <w:right w:val="none" w:sz="0" w:space="0" w:color="auto"/>
      </w:divBdr>
    </w:div>
    <w:div w:id="106125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php.bdnilab.com/sites/"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2639</Words>
  <Characters>15048</Characters>
  <Application>Microsoft Office Word</Application>
  <DocSecurity>0</DocSecurity>
  <Lines>125</Lines>
  <Paragraphs>35</Paragraphs>
  <ScaleCrop>false</ScaleCrop>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lilei</dc:creator>
  <cp:keywords/>
  <dc:description/>
  <cp:lastModifiedBy>Lei Li</cp:lastModifiedBy>
  <cp:revision>8</cp:revision>
  <dcterms:created xsi:type="dcterms:W3CDTF">2025-02-13T06:57:00Z</dcterms:created>
  <dcterms:modified xsi:type="dcterms:W3CDTF">2025-02-25T06:47:00Z</dcterms:modified>
</cp:coreProperties>
</file>