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71" w:rsidRPr="0058253A" w:rsidRDefault="00F013A8" w:rsidP="00FE7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3A">
        <w:rPr>
          <w:rFonts w:ascii="Times New Roman" w:hAnsi="Times New Roman" w:cs="Times New Roman"/>
          <w:b/>
          <w:sz w:val="28"/>
          <w:szCs w:val="28"/>
        </w:rPr>
        <w:t>Appendix S1</w:t>
      </w:r>
    </w:p>
    <w:p w:rsidR="00D21B2C" w:rsidRPr="0058253A" w:rsidRDefault="00FE76EF" w:rsidP="00FE76EF">
      <w:pPr>
        <w:pStyle w:val="KeinLeerraum"/>
        <w:jc w:val="center"/>
        <w:rPr>
          <w:rFonts w:ascii="Times New Roman" w:hAnsi="Times New Roman" w:cs="Times New Roman"/>
          <w:b/>
          <w:i/>
          <w:color w:val="E7E6E6" w:themeColor="background2"/>
        </w:rPr>
      </w:pPr>
      <w:r w:rsidRPr="0058253A">
        <w:rPr>
          <w:rFonts w:ascii="Times New Roman" w:hAnsi="Times New Roman" w:cs="Times New Roman"/>
          <w:b/>
          <w:i/>
        </w:rPr>
        <w:t>Beyond Dispersal Limitation:</w:t>
      </w:r>
      <w:r w:rsidR="005C22AA">
        <w:rPr>
          <w:rFonts w:ascii="Times New Roman" w:hAnsi="Times New Roman" w:cs="Times New Roman"/>
          <w:b/>
          <w:i/>
        </w:rPr>
        <w:t xml:space="preserve"> Drivers of</w:t>
      </w:r>
      <w:r w:rsidRPr="0058253A">
        <w:rPr>
          <w:rFonts w:ascii="Times New Roman" w:hAnsi="Times New Roman" w:cs="Times New Roman"/>
          <w:b/>
          <w:i/>
        </w:rPr>
        <w:t xml:space="preserve"> Fine-Scale Population Structure in Two Common Solitary Wild Bees</w:t>
      </w:r>
      <w:r w:rsidRPr="0058253A">
        <w:rPr>
          <w:rFonts w:ascii="Times New Roman" w:hAnsi="Times New Roman" w:cs="Times New Roman"/>
          <w:b/>
          <w:i/>
          <w:color w:val="AEAAAA" w:themeColor="background2" w:themeShade="BF"/>
        </w:rPr>
        <w:t xml:space="preserve"> </w:t>
      </w:r>
    </w:p>
    <w:p w:rsidR="002D2341" w:rsidRPr="0058253A" w:rsidRDefault="002D2341" w:rsidP="00D21B2C">
      <w:pPr>
        <w:pStyle w:val="berschrift1"/>
        <w:shd w:val="clear" w:color="auto" w:fill="FFFFFF"/>
        <w:spacing w:before="161" w:beforeAutospacing="0" w:after="240" w:afterAutospacing="0"/>
        <w:jc w:val="both"/>
        <w:rPr>
          <w:b w:val="0"/>
          <w:color w:val="222222"/>
          <w:sz w:val="22"/>
          <w:szCs w:val="22"/>
        </w:rPr>
      </w:pPr>
      <w:r w:rsidRPr="0058253A">
        <w:rPr>
          <w:sz w:val="22"/>
          <w:szCs w:val="22"/>
        </w:rPr>
        <w:t xml:space="preserve">Table </w:t>
      </w:r>
      <w:r w:rsidR="00C426E5" w:rsidRPr="0058253A">
        <w:rPr>
          <w:sz w:val="22"/>
          <w:szCs w:val="22"/>
        </w:rPr>
        <w:t>S</w:t>
      </w:r>
      <w:r w:rsidRPr="0058253A">
        <w:rPr>
          <w:sz w:val="22"/>
          <w:szCs w:val="22"/>
        </w:rPr>
        <w:fldChar w:fldCharType="begin"/>
      </w:r>
      <w:r w:rsidRPr="0058253A">
        <w:rPr>
          <w:sz w:val="22"/>
          <w:szCs w:val="22"/>
        </w:rPr>
        <w:instrText xml:space="preserve"> SEQ Table \* ARABIC </w:instrText>
      </w:r>
      <w:r w:rsidRPr="0058253A">
        <w:rPr>
          <w:sz w:val="22"/>
          <w:szCs w:val="22"/>
        </w:rPr>
        <w:fldChar w:fldCharType="separate"/>
      </w:r>
      <w:r w:rsidRPr="0058253A">
        <w:rPr>
          <w:noProof/>
          <w:sz w:val="22"/>
          <w:szCs w:val="22"/>
        </w:rPr>
        <w:t>1</w:t>
      </w:r>
      <w:r w:rsidRPr="0058253A">
        <w:rPr>
          <w:sz w:val="22"/>
          <w:szCs w:val="22"/>
        </w:rPr>
        <w:fldChar w:fldCharType="end"/>
      </w:r>
      <w:r w:rsidRPr="0058253A">
        <w:rPr>
          <w:color w:val="222222"/>
          <w:sz w:val="22"/>
          <w:szCs w:val="22"/>
        </w:rPr>
        <w:t xml:space="preserve"> </w:t>
      </w:r>
      <w:r w:rsidRPr="0058253A">
        <w:rPr>
          <w:b w:val="0"/>
          <w:color w:val="222222"/>
          <w:sz w:val="22"/>
          <w:szCs w:val="22"/>
        </w:rPr>
        <w:t>Overview of sampled </w:t>
      </w:r>
      <w:r w:rsidRPr="0058253A">
        <w:rPr>
          <w:b w:val="0"/>
          <w:i/>
          <w:iCs/>
          <w:color w:val="222222"/>
          <w:sz w:val="22"/>
          <w:szCs w:val="22"/>
        </w:rPr>
        <w:t xml:space="preserve">Andrena haemorrhoa </w:t>
      </w:r>
      <w:r w:rsidRPr="0058253A">
        <w:rPr>
          <w:b w:val="0"/>
          <w:iCs/>
          <w:color w:val="222222"/>
          <w:sz w:val="22"/>
          <w:szCs w:val="22"/>
        </w:rPr>
        <w:t xml:space="preserve">and </w:t>
      </w:r>
      <w:r w:rsidRPr="0058253A">
        <w:rPr>
          <w:b w:val="0"/>
          <w:i/>
          <w:iCs/>
          <w:color w:val="222222"/>
          <w:sz w:val="22"/>
          <w:szCs w:val="22"/>
        </w:rPr>
        <w:t>Andrena nigroaenea</w:t>
      </w:r>
      <w:r w:rsidRPr="0058253A">
        <w:rPr>
          <w:b w:val="0"/>
          <w:color w:val="222222"/>
          <w:sz w:val="22"/>
          <w:szCs w:val="22"/>
        </w:rPr>
        <w:t> at kettle-holes grouped by spatial cluster in the </w:t>
      </w:r>
      <w:r w:rsidRPr="0058253A">
        <w:rPr>
          <w:b w:val="0"/>
          <w:i/>
          <w:iCs/>
          <w:color w:val="222222"/>
          <w:sz w:val="22"/>
          <w:szCs w:val="22"/>
        </w:rPr>
        <w:t>Agroscapelab</w:t>
      </w:r>
      <w:r w:rsidRPr="0058253A">
        <w:rPr>
          <w:b w:val="0"/>
          <w:color w:val="222222"/>
          <w:sz w:val="22"/>
          <w:szCs w:val="22"/>
        </w:rPr>
        <w:t> research area in northeastern Germany (see Methods),</w:t>
      </w:r>
      <w:r w:rsidR="00D21B2C" w:rsidRPr="0058253A">
        <w:rPr>
          <w:b w:val="0"/>
          <w:color w:val="222222"/>
          <w:sz w:val="22"/>
          <w:szCs w:val="22"/>
        </w:rPr>
        <w:t xml:space="preserve"> including</w:t>
      </w:r>
      <w:r w:rsidRPr="0058253A">
        <w:rPr>
          <w:b w:val="0"/>
          <w:color w:val="222222"/>
          <w:sz w:val="22"/>
          <w:szCs w:val="22"/>
        </w:rPr>
        <w:t xml:space="preserve"> </w:t>
      </w:r>
      <w:r w:rsidR="00D21B2C" w:rsidRPr="0058253A">
        <w:rPr>
          <w:b w:val="0"/>
          <w:color w:val="222222"/>
          <w:sz w:val="22"/>
          <w:szCs w:val="22"/>
        </w:rPr>
        <w:t>spat</w:t>
      </w:r>
      <w:r w:rsidR="001B2D9F" w:rsidRPr="0058253A">
        <w:rPr>
          <w:b w:val="0"/>
          <w:color w:val="222222"/>
          <w:sz w:val="22"/>
          <w:szCs w:val="22"/>
        </w:rPr>
        <w:t>ial cluster, kettle-hole ID, coordinates (WGS84), and individual count (n)</w:t>
      </w:r>
      <w:r w:rsidR="00183A15">
        <w:rPr>
          <w:b w:val="0"/>
          <w:color w:val="222222"/>
          <w:sz w:val="22"/>
          <w:szCs w:val="22"/>
        </w:rPr>
        <w:t>.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1010"/>
        <w:gridCol w:w="829"/>
        <w:gridCol w:w="1169"/>
        <w:gridCol w:w="1325"/>
        <w:gridCol w:w="445"/>
        <w:gridCol w:w="937"/>
        <w:gridCol w:w="832"/>
        <w:gridCol w:w="1169"/>
        <w:gridCol w:w="1366"/>
        <w:gridCol w:w="416"/>
      </w:tblGrid>
      <w:tr w:rsidR="00EF3EF6" w:rsidRPr="0058253A" w:rsidTr="005438E7">
        <w:trPr>
          <w:trHeight w:val="290"/>
        </w:trPr>
        <w:tc>
          <w:tcPr>
            <w:tcW w:w="477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Andrena haemorrhoa</w:t>
            </w:r>
          </w:p>
        </w:tc>
        <w:tc>
          <w:tcPr>
            <w:tcW w:w="47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Andrena nigroaenea</w:t>
            </w:r>
          </w:p>
        </w:tc>
      </w:tr>
      <w:tr w:rsidR="00EF3EF6" w:rsidRPr="0058253A" w:rsidTr="005438E7">
        <w:trPr>
          <w:trHeight w:val="450"/>
        </w:trPr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Spatial Cluster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Ketlle</w:t>
            </w:r>
            <w:proofErr w:type="spellEnd"/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-hole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Spatial Cluster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Kettle-hole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758482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349858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758482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349858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727117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362444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727117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362444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742511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363995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742511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742717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36747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742717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36747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721543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327811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701001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721488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328479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704492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701001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376962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67043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378829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704492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378195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707032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382468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707032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382468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709487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385975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706979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384092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686318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386734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699214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385843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667568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396518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709487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385975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665798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397377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686318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386734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639553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405256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662017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394665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641936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407186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667568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396518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408547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665798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397377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629944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347328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638137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405524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631487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651345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406355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623681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352275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641936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407186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597662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652892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408342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598962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364171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640171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408547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541943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303302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629944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347328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551442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306172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631487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347977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553018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308537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623681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352275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551857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308914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618345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353518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537215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317315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597662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363931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2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598962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364171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541943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303302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551442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306172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558765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306179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553018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308537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551857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308914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2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537215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317315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3EF6" w:rsidRPr="0058253A" w:rsidTr="005438E7">
        <w:trPr>
          <w:trHeight w:val="30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528872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011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317754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F6" w:rsidRPr="0058253A" w:rsidRDefault="00EF3EF6" w:rsidP="0054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2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3EF6" w:rsidRPr="0058253A" w:rsidRDefault="00EF3EF6" w:rsidP="00EF3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84A01" w:rsidRPr="0058253A" w:rsidRDefault="00184A01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4A01" w:rsidRPr="0058253A" w:rsidRDefault="00773CC8" w:rsidP="00184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53A">
        <w:rPr>
          <w:rFonts w:ascii="Times New Roman" w:hAnsi="Times New Roman" w:cs="Times New Roman"/>
          <w:b/>
        </w:rPr>
        <w:t>Table S2</w:t>
      </w:r>
      <w:r w:rsidR="00184A01" w:rsidRPr="0058253A">
        <w:rPr>
          <w:rFonts w:ascii="Times New Roman" w:hAnsi="Times New Roman" w:cs="Times New Roman"/>
        </w:rPr>
        <w:t xml:space="preserve"> Details of primers used for microsatellite analyses of </w:t>
      </w:r>
      <w:r w:rsidR="00184A01" w:rsidRPr="0058253A">
        <w:rPr>
          <w:rFonts w:ascii="Times New Roman" w:hAnsi="Times New Roman" w:cs="Times New Roman"/>
          <w:i/>
        </w:rPr>
        <w:t>A</w:t>
      </w:r>
      <w:r w:rsidR="00E5704F" w:rsidRPr="0058253A">
        <w:rPr>
          <w:rFonts w:ascii="Times New Roman" w:hAnsi="Times New Roman" w:cs="Times New Roman"/>
          <w:i/>
        </w:rPr>
        <w:t>ndrena</w:t>
      </w:r>
      <w:r w:rsidR="00184A01" w:rsidRPr="0058253A">
        <w:rPr>
          <w:rFonts w:ascii="Times New Roman" w:hAnsi="Times New Roman" w:cs="Times New Roman"/>
          <w:i/>
        </w:rPr>
        <w:t xml:space="preserve"> haemorrhoa</w:t>
      </w:r>
      <w:r w:rsidR="00184A01" w:rsidRPr="0058253A">
        <w:rPr>
          <w:rFonts w:ascii="Times New Roman" w:hAnsi="Times New Roman" w:cs="Times New Roman"/>
        </w:rPr>
        <w:t xml:space="preserve"> and </w:t>
      </w:r>
      <w:r w:rsidR="00E5704F" w:rsidRPr="0058253A">
        <w:rPr>
          <w:rFonts w:ascii="Times New Roman" w:hAnsi="Times New Roman" w:cs="Times New Roman"/>
          <w:i/>
        </w:rPr>
        <w:t xml:space="preserve">Andrena </w:t>
      </w:r>
      <w:r w:rsidR="00184A01" w:rsidRPr="0058253A">
        <w:rPr>
          <w:rFonts w:ascii="Times New Roman" w:hAnsi="Times New Roman" w:cs="Times New Roman"/>
          <w:i/>
        </w:rPr>
        <w:t>nigroaenea</w:t>
      </w:r>
      <w:r w:rsidR="00184A01" w:rsidRPr="0058253A">
        <w:rPr>
          <w:rFonts w:ascii="Times New Roman" w:hAnsi="Times New Roman" w:cs="Times New Roman"/>
        </w:rPr>
        <w:t xml:space="preserve"> with </w:t>
      </w:r>
      <w:r w:rsidR="00C31EE2" w:rsidRPr="0058253A">
        <w:rPr>
          <w:rFonts w:ascii="Times New Roman" w:hAnsi="Times New Roman" w:cs="Times New Roman"/>
        </w:rPr>
        <w:t>n</w:t>
      </w:r>
      <w:r w:rsidR="00184A01" w:rsidRPr="0058253A">
        <w:rPr>
          <w:rFonts w:ascii="Times New Roman" w:hAnsi="Times New Roman" w:cs="Times New Roman"/>
        </w:rPr>
        <w:t>ame, fragment size, core repeat, primer sequence, annealing temperature</w:t>
      </w:r>
      <w:r w:rsidR="00A14B40">
        <w:rPr>
          <w:rFonts w:ascii="Times New Roman" w:hAnsi="Times New Roman" w:cs="Times New Roman"/>
        </w:rPr>
        <w:t xml:space="preserve"> (</w:t>
      </w:r>
      <w:proofErr w:type="spellStart"/>
      <w:r w:rsidR="00A14B40">
        <w:rPr>
          <w:rFonts w:ascii="Times New Roman" w:hAnsi="Times New Roman" w:cs="Times New Roman"/>
        </w:rPr>
        <w:t>mean</w:t>
      </w:r>
      <w:r w:rsidR="00A14B40" w:rsidRPr="000B6FE1">
        <w:rPr>
          <w:rFonts w:ascii="Times New Roman" w:hAnsi="Times New Roman" w:cs="Times New Roman"/>
          <w:i/>
          <w:vertAlign w:val="subscript"/>
        </w:rPr>
        <w:t>F</w:t>
      </w:r>
      <w:r w:rsidR="000B6FE1">
        <w:rPr>
          <w:rFonts w:ascii="Times New Roman" w:hAnsi="Times New Roman" w:cs="Times New Roman"/>
          <w:i/>
          <w:vertAlign w:val="subscript"/>
        </w:rPr>
        <w:t>or</w:t>
      </w:r>
      <w:r w:rsidR="00A14B40" w:rsidRPr="000B6FE1">
        <w:rPr>
          <w:rFonts w:ascii="Times New Roman" w:hAnsi="Times New Roman" w:cs="Times New Roman"/>
          <w:i/>
          <w:vertAlign w:val="subscript"/>
        </w:rPr>
        <w:t>R</w:t>
      </w:r>
      <w:r w:rsidR="000B6FE1">
        <w:rPr>
          <w:rFonts w:ascii="Times New Roman" w:hAnsi="Times New Roman" w:cs="Times New Roman"/>
          <w:i/>
          <w:vertAlign w:val="subscript"/>
        </w:rPr>
        <w:t>ev</w:t>
      </w:r>
      <w:proofErr w:type="spellEnd"/>
      <w:r w:rsidR="00A14B40">
        <w:rPr>
          <w:rFonts w:ascii="Times New Roman" w:hAnsi="Times New Roman" w:cs="Times New Roman"/>
        </w:rPr>
        <w:t>)</w:t>
      </w:r>
      <w:r w:rsidR="00184A01" w:rsidRPr="0058253A">
        <w:rPr>
          <w:rFonts w:ascii="Times New Roman" w:hAnsi="Times New Roman" w:cs="Times New Roman"/>
        </w:rPr>
        <w:t xml:space="preserve"> and the  </w:t>
      </w:r>
      <w:r w:rsidR="00C31EE2" w:rsidRPr="0058253A">
        <w:rPr>
          <w:rFonts w:ascii="Times New Roman" w:hAnsi="Times New Roman" w:cs="Times New Roman"/>
        </w:rPr>
        <w:t>literature reference</w:t>
      </w:r>
      <w:r w:rsidR="00184A01" w:rsidRPr="0058253A">
        <w:rPr>
          <w:rFonts w:ascii="Times New Roman" w:hAnsi="Times New Roman" w:cs="Times New Roman"/>
        </w:rPr>
        <w:t xml:space="preserve">. </w:t>
      </w:r>
      <w:r w:rsidR="00C31EE2" w:rsidRPr="0058253A">
        <w:rPr>
          <w:rFonts w:ascii="Times New Roman" w:hAnsi="Times New Roman" w:cs="Times New Roman"/>
        </w:rPr>
        <w:t xml:space="preserve">Note: </w:t>
      </w:r>
      <w:r w:rsidR="00184A01" w:rsidRPr="0058253A">
        <w:rPr>
          <w:rFonts w:ascii="Times New Roman" w:hAnsi="Times New Roman" w:cs="Times New Roman"/>
        </w:rPr>
        <w:t>Loci with more than 5 % missing data, high null allel</w:t>
      </w:r>
      <w:r w:rsidR="00C31EE2" w:rsidRPr="0058253A">
        <w:rPr>
          <w:rFonts w:ascii="Times New Roman" w:hAnsi="Times New Roman" w:cs="Times New Roman"/>
        </w:rPr>
        <w:t>e</w:t>
      </w:r>
      <w:r w:rsidR="00230DD8" w:rsidRPr="0058253A">
        <w:rPr>
          <w:rFonts w:ascii="Times New Roman" w:hAnsi="Times New Roman" w:cs="Times New Roman"/>
        </w:rPr>
        <w:t xml:space="preserve"> frequency &gt; 0.3 as well as mono</w:t>
      </w:r>
      <w:r w:rsidR="00184A01" w:rsidRPr="0058253A">
        <w:rPr>
          <w:rFonts w:ascii="Times New Roman" w:hAnsi="Times New Roman" w:cs="Times New Roman"/>
        </w:rPr>
        <w:t>morphic loci were excluded from the analysis.</w:t>
      </w: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965"/>
        <w:gridCol w:w="989"/>
        <w:gridCol w:w="1619"/>
        <w:gridCol w:w="1547"/>
        <w:gridCol w:w="811"/>
        <w:gridCol w:w="1818"/>
      </w:tblGrid>
      <w:tr w:rsidR="00C31EE2" w:rsidRPr="0058253A" w:rsidTr="008B516E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Name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Fragment Size (</w:t>
            </w:r>
            <w:proofErr w:type="spellStart"/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bp</w:t>
            </w:r>
            <w:proofErr w:type="spellEnd"/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Core Repeat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Forward Primer Sequence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Reverse Primer Sequence</w:t>
            </w:r>
          </w:p>
        </w:tc>
        <w:tc>
          <w:tcPr>
            <w:tcW w:w="82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C31EE2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T</w:t>
            </w: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  <w:vertAlign w:val="subscript"/>
              </w:rPr>
              <w:t>m</w:t>
            </w:r>
            <w:r w:rsidR="00184A01"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(°C)</w:t>
            </w:r>
          </w:p>
        </w:tc>
        <w:tc>
          <w:tcPr>
            <w:tcW w:w="1944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:rsidR="00184A01" w:rsidRPr="0058253A" w:rsidRDefault="00940532" w:rsidP="0018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i/>
              </w:rPr>
              <w:t>Ref.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AJ-01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CTTTTACCC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GAACGAGAG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60.95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Paxton et al., 1996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AJ-25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GATCAAACG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CTTCGTTAC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56.45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Paxton et al., 1996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AJ-26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15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AGCCCTTCC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GATTCCGTG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57.4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Paxton et al., 1996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vaga01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GTGCCAAGT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GAAACACG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58.25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vaga03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17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GATTCGGGA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CGTTTATAG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58.35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vaga04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17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TTCTACGTT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CTTAGTCCG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57.3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vaga05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16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GGAAGGTTG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TGTCCGAAG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56.3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vaga06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15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GCTTTGGTT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CCACTGAAA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60.9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vaga08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29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GATCCGAAA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CTACGTGAC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57.55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vaga09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CCGTTGTAA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GATGGAGGA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55.65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vaga13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18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CTTAGTCCG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GGAACGAAA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58.15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vaga18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CGACTTTGC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CGACTTGGA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57.75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vaga19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GGGTAACGA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TGTTACGTG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vaga20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17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GATCTTCTT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CTTCCTTTT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58.05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vaga21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19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CCTTGTTAC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TCGGAAACT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56.7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vaga23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CTGTGTGGA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GAAGGGAAC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58.15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vaga25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18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GTCGCTACA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CATGGATTC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58.25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BC6050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vaga26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CGAGGGCAA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TTCACGTAG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57.45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  <w:tr w:rsidR="00940532" w:rsidRPr="0058253A" w:rsidTr="002E122B">
        <w:trPr>
          <w:trHeight w:val="28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vaga27</w:t>
            </w:r>
          </w:p>
        </w:tc>
        <w:tc>
          <w:tcPr>
            <w:tcW w:w="0" w:type="auto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7" w:type="dxa"/>
            <w:vAlign w:val="center"/>
            <w:hideMark/>
          </w:tcPr>
          <w:p w:rsidR="00184A01" w:rsidRPr="0058253A" w:rsidRDefault="00184A01" w:rsidP="00FD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CT</w:t>
            </w:r>
            <w:r w:rsidRPr="0058253A">
              <w:rPr>
                <w:rFonts w:ascii="Times New Roman" w:eastAsia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1613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GACGGACTC</w:t>
            </w:r>
          </w:p>
        </w:tc>
        <w:tc>
          <w:tcPr>
            <w:tcW w:w="1528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CGAGTTGCC</w:t>
            </w:r>
          </w:p>
        </w:tc>
        <w:tc>
          <w:tcPr>
            <w:tcW w:w="821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58.85</w:t>
            </w:r>
          </w:p>
        </w:tc>
        <w:tc>
          <w:tcPr>
            <w:tcW w:w="1944" w:type="dxa"/>
            <w:vAlign w:val="center"/>
            <w:hideMark/>
          </w:tcPr>
          <w:p w:rsidR="00184A01" w:rsidRPr="0058253A" w:rsidRDefault="00184A01" w:rsidP="0018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</w:rPr>
              <w:t>Mohra et al., 2000</w:t>
            </w:r>
          </w:p>
        </w:tc>
      </w:tr>
    </w:tbl>
    <w:p w:rsidR="00184A01" w:rsidRPr="0058253A" w:rsidRDefault="00184A01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Formatvorlage12"/>
        <w:tblpPr w:leftFromText="141" w:rightFromText="141" w:vertAnchor="text" w:horzAnchor="margin" w:tblpXSpec="center" w:tblpY="683"/>
        <w:tblOverlap w:val="never"/>
        <w:tblW w:w="3333" w:type="pct"/>
        <w:jc w:val="center"/>
        <w:tblLook w:val="04A0" w:firstRow="1" w:lastRow="0" w:firstColumn="1" w:lastColumn="0" w:noHBand="0" w:noVBand="1"/>
      </w:tblPr>
      <w:tblGrid>
        <w:gridCol w:w="3108"/>
        <w:gridCol w:w="3111"/>
      </w:tblGrid>
      <w:tr w:rsidR="0058253A" w:rsidRPr="0058253A" w:rsidTr="0058253A">
        <w:trPr>
          <w:trHeight w:val="283"/>
          <w:jc w:val="center"/>
        </w:trPr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53A" w:rsidRPr="0058253A" w:rsidRDefault="0058253A" w:rsidP="0058253A">
            <w:pPr>
              <w:contextualSpacing/>
              <w:rPr>
                <w:rFonts w:ascii="Times New Roman" w:eastAsia="Calibri" w:hAnsi="Times New Roman" w:cs="Times New Roman"/>
                <w:b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lang w:val="en-GB"/>
              </w:rPr>
              <w:t>Reagent</w:t>
            </w:r>
          </w:p>
        </w:tc>
        <w:tc>
          <w:tcPr>
            <w:tcW w:w="25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8253A" w:rsidRPr="0058253A" w:rsidRDefault="0058253A" w:rsidP="0058253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b/>
                <w:lang w:val="en-GB"/>
              </w:rPr>
              <w:t>Volume [µl]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top w:val="single" w:sz="4" w:space="0" w:color="auto"/>
              <w:left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5x My-</w:t>
            </w:r>
            <w:proofErr w:type="spellStart"/>
            <w:r w:rsidRPr="0058253A">
              <w:rPr>
                <w:rFonts w:ascii="Times New Roman" w:eastAsia="Calibri" w:hAnsi="Times New Roman" w:cs="Times New Roman"/>
                <w:lang w:val="en-GB"/>
              </w:rPr>
              <w:t>Taq</w:t>
            </w:r>
            <w:proofErr w:type="spellEnd"/>
            <w:r w:rsidRPr="0058253A">
              <w:rPr>
                <w:rFonts w:ascii="Times New Roman" w:eastAsia="Calibri" w:hAnsi="Times New Roman" w:cs="Times New Roman"/>
                <w:lang w:val="en-GB"/>
              </w:rPr>
              <w:t xml:space="preserve"> buffer</w:t>
            </w:r>
          </w:p>
        </w:tc>
        <w:tc>
          <w:tcPr>
            <w:tcW w:w="2501" w:type="pct"/>
            <w:tcBorders>
              <w:top w:val="single" w:sz="4" w:space="0" w:color="auto"/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5.0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left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Forward-Primer [10µM]</w:t>
            </w:r>
          </w:p>
        </w:tc>
        <w:tc>
          <w:tcPr>
            <w:tcW w:w="2501" w:type="pct"/>
            <w:tcBorders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0.34 - </w:t>
            </w:r>
            <w:r w:rsidRPr="0058253A">
              <w:rPr>
                <w:rFonts w:ascii="Times New Roman" w:eastAsia="Calibri" w:hAnsi="Times New Roman" w:cs="Times New Roman"/>
                <w:lang w:val="en-GB"/>
              </w:rPr>
              <w:t>0.5</w:t>
            </w:r>
            <w:r>
              <w:rPr>
                <w:rFonts w:ascii="Times New Roman" w:eastAsia="Calibri" w:hAnsi="Times New Roman" w:cs="Times New Roman"/>
                <w:lang w:val="en-GB"/>
              </w:rPr>
              <w:t>*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left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Reverse-Primer [10µM]</w:t>
            </w:r>
          </w:p>
        </w:tc>
        <w:tc>
          <w:tcPr>
            <w:tcW w:w="2501" w:type="pct"/>
            <w:tcBorders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0.34 - </w:t>
            </w:r>
            <w:r w:rsidRPr="0058253A">
              <w:rPr>
                <w:rFonts w:ascii="Times New Roman" w:eastAsia="Calibri" w:hAnsi="Times New Roman" w:cs="Times New Roman"/>
                <w:lang w:val="en-GB"/>
              </w:rPr>
              <w:t>0.5</w:t>
            </w:r>
            <w:r>
              <w:rPr>
                <w:rFonts w:ascii="Times New Roman" w:eastAsia="Calibri" w:hAnsi="Times New Roman" w:cs="Times New Roman"/>
                <w:lang w:val="en-GB"/>
              </w:rPr>
              <w:t>*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left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My-</w:t>
            </w:r>
            <w:proofErr w:type="spellStart"/>
            <w:r w:rsidRPr="0058253A">
              <w:rPr>
                <w:rFonts w:ascii="Times New Roman" w:eastAsia="Calibri" w:hAnsi="Times New Roman" w:cs="Times New Roman"/>
                <w:lang w:val="en-GB"/>
              </w:rPr>
              <w:t>Taq</w:t>
            </w:r>
            <w:proofErr w:type="spellEnd"/>
          </w:p>
        </w:tc>
        <w:tc>
          <w:tcPr>
            <w:tcW w:w="2501" w:type="pct"/>
            <w:tcBorders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0.12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left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HPLC-H</w:t>
            </w:r>
            <w:r w:rsidRPr="0058253A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2</w:t>
            </w:r>
            <w:r w:rsidRPr="0058253A">
              <w:rPr>
                <w:rFonts w:ascii="Times New Roman" w:eastAsia="Calibri" w:hAnsi="Times New Roman" w:cs="Times New Roman"/>
                <w:lang w:val="en-GB"/>
              </w:rPr>
              <w:t>O</w:t>
            </w:r>
          </w:p>
        </w:tc>
        <w:tc>
          <w:tcPr>
            <w:tcW w:w="2501" w:type="pct"/>
            <w:tcBorders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16.88-17.52</w:t>
            </w:r>
            <w:r w:rsidRPr="0058253A">
              <w:rPr>
                <w:rFonts w:ascii="Times New Roman" w:eastAsia="Calibri" w:hAnsi="Times New Roman" w:cs="Times New Roman"/>
                <w:lang w:val="en-GB"/>
              </w:rPr>
              <w:t>*</w:t>
            </w:r>
          </w:p>
        </w:tc>
      </w:tr>
      <w:tr w:rsidR="0058253A" w:rsidRPr="0058253A" w:rsidTr="0058253A">
        <w:trPr>
          <w:jc w:val="center"/>
        </w:trPr>
        <w:tc>
          <w:tcPr>
            <w:tcW w:w="2499" w:type="pct"/>
            <w:tcBorders>
              <w:left w:val="single" w:sz="12" w:space="0" w:color="auto"/>
              <w:bottom w:val="single" w:sz="12" w:space="0" w:color="auto"/>
            </w:tcBorders>
          </w:tcPr>
          <w:p w:rsidR="0058253A" w:rsidRPr="0058253A" w:rsidRDefault="0058253A" w:rsidP="0058253A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58253A">
              <w:rPr>
                <w:rFonts w:ascii="Times New Roman" w:eastAsia="Calibri" w:hAnsi="Times New Roman" w:cs="Times New Roman"/>
                <w:lang w:val="en-GB"/>
              </w:rPr>
              <w:t>DNA</w:t>
            </w:r>
          </w:p>
        </w:tc>
        <w:tc>
          <w:tcPr>
            <w:tcW w:w="2501" w:type="pct"/>
            <w:tcBorders>
              <w:bottom w:val="single" w:sz="12" w:space="0" w:color="auto"/>
              <w:right w:val="single" w:sz="12" w:space="0" w:color="auto"/>
            </w:tcBorders>
          </w:tcPr>
          <w:p w:rsidR="0058253A" w:rsidRPr="0058253A" w:rsidRDefault="0058253A" w:rsidP="0058253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</w:tr>
    </w:tbl>
    <w:p w:rsidR="0058253A" w:rsidRPr="0058253A" w:rsidRDefault="0058253A" w:rsidP="00582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253A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58253A">
        <w:rPr>
          <w:rFonts w:ascii="Times New Roman" w:hAnsi="Times New Roman" w:cs="Times New Roman"/>
          <w:b/>
        </w:rPr>
        <w:t>3</w:t>
      </w:r>
      <w:r w:rsidR="0091224B">
        <w:rPr>
          <w:rFonts w:ascii="Times New Roman" w:hAnsi="Times New Roman" w:cs="Times New Roman"/>
          <w:b/>
        </w:rPr>
        <w:t xml:space="preserve"> </w:t>
      </w:r>
      <w:r w:rsidR="000E742D">
        <w:rPr>
          <w:rFonts w:ascii="Times New Roman" w:hAnsi="Times New Roman" w:cs="Times New Roman"/>
          <w:b/>
        </w:rPr>
        <w:t>a</w:t>
      </w:r>
      <w:r w:rsidR="005C22AA">
        <w:rPr>
          <w:rFonts w:ascii="Times New Roman" w:hAnsi="Times New Roman" w:cs="Times New Roman"/>
          <w:b/>
        </w:rPr>
        <w:t>)</w:t>
      </w:r>
      <w:r w:rsidRPr="0058253A">
        <w:rPr>
          <w:rFonts w:ascii="Times New Roman" w:hAnsi="Times New Roman" w:cs="Times New Roman"/>
        </w:rPr>
        <w:t xml:space="preserve"> Polymerase chain reaction protocol. Volumes marked with an asterisk were adjusted according to the </w:t>
      </w:r>
      <w:r>
        <w:rPr>
          <w:rFonts w:ascii="Times New Roman" w:hAnsi="Times New Roman" w:cs="Times New Roman"/>
        </w:rPr>
        <w:t>primer volume added</w:t>
      </w:r>
      <w:r w:rsidRPr="0058253A">
        <w:rPr>
          <w:rFonts w:ascii="Times New Roman" w:hAnsi="Times New Roman" w:cs="Times New Roman"/>
        </w:rPr>
        <w:t>.</w:t>
      </w: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AD3" w:rsidRPr="0058253A" w:rsidRDefault="00CC1AD3" w:rsidP="00184A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311344" w:rsidRPr="0058253A" w:rsidRDefault="00311344" w:rsidP="0031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B11" w:rsidRDefault="00BA3B11" w:rsidP="00BA3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1344" w:rsidRPr="0058253A" w:rsidRDefault="00311344" w:rsidP="008B51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8253A">
        <w:rPr>
          <w:rFonts w:ascii="Times New Roman" w:hAnsi="Times New Roman" w:cs="Times New Roman"/>
          <w:b/>
        </w:rPr>
        <w:t xml:space="preserve">Table </w:t>
      </w:r>
      <w:r w:rsidR="000E742D">
        <w:rPr>
          <w:rFonts w:ascii="Times New Roman" w:hAnsi="Times New Roman" w:cs="Times New Roman"/>
          <w:b/>
        </w:rPr>
        <w:t>S3</w:t>
      </w:r>
      <w:r w:rsidR="0091224B">
        <w:rPr>
          <w:rFonts w:ascii="Times New Roman" w:hAnsi="Times New Roman" w:cs="Times New Roman"/>
          <w:b/>
        </w:rPr>
        <w:t xml:space="preserve"> </w:t>
      </w:r>
      <w:r w:rsidR="000E742D">
        <w:rPr>
          <w:rFonts w:ascii="Times New Roman" w:hAnsi="Times New Roman" w:cs="Times New Roman"/>
          <w:b/>
        </w:rPr>
        <w:t>b</w:t>
      </w:r>
      <w:r w:rsidR="002F5772" w:rsidRPr="0058253A">
        <w:rPr>
          <w:rFonts w:ascii="Times New Roman" w:hAnsi="Times New Roman" w:cs="Times New Roman"/>
          <w:b/>
        </w:rPr>
        <w:t>)</w:t>
      </w:r>
      <w:r w:rsidRPr="0058253A">
        <w:rPr>
          <w:rFonts w:ascii="Times New Roman" w:hAnsi="Times New Roman" w:cs="Times New Roman"/>
        </w:rPr>
        <w:t xml:space="preserve"> Multiplex mix</w:t>
      </w:r>
      <w:r w:rsidR="002F5772" w:rsidRPr="0058253A">
        <w:rPr>
          <w:rFonts w:ascii="Times New Roman" w:hAnsi="Times New Roman" w:cs="Times New Roman"/>
        </w:rPr>
        <w:t>es</w:t>
      </w:r>
      <w:r w:rsidRPr="0058253A">
        <w:rPr>
          <w:rFonts w:ascii="Times New Roman" w:hAnsi="Times New Roman" w:cs="Times New Roman"/>
        </w:rPr>
        <w:t xml:space="preserve"> </w:t>
      </w:r>
      <w:r w:rsidR="002F5772" w:rsidRPr="0058253A">
        <w:rPr>
          <w:rFonts w:ascii="Times New Roman" w:hAnsi="Times New Roman" w:cs="Times New Roman"/>
        </w:rPr>
        <w:t xml:space="preserve">for </w:t>
      </w:r>
      <w:r w:rsidRPr="0058253A">
        <w:rPr>
          <w:rFonts w:ascii="Times New Roman" w:hAnsi="Times New Roman" w:cs="Times New Roman"/>
          <w:i/>
        </w:rPr>
        <w:t>Andrena haemorrhoa</w:t>
      </w:r>
      <w:r w:rsidRPr="0058253A">
        <w:rPr>
          <w:rFonts w:ascii="Times New Roman" w:hAnsi="Times New Roman" w:cs="Times New Roman"/>
        </w:rPr>
        <w:t xml:space="preserve"> with primers, annealing temperature a</w:t>
      </w:r>
      <w:r w:rsidR="002F5772" w:rsidRPr="0058253A">
        <w:rPr>
          <w:rFonts w:ascii="Times New Roman" w:hAnsi="Times New Roman" w:cs="Times New Roman"/>
        </w:rPr>
        <w:t xml:space="preserve">nd the primer volume used in (two separate) </w:t>
      </w:r>
      <w:r w:rsidR="000F458F" w:rsidRPr="0058253A">
        <w:rPr>
          <w:rFonts w:ascii="Times New Roman" w:hAnsi="Times New Roman" w:cs="Times New Roman"/>
        </w:rPr>
        <w:t>Polymerase Chain R</w:t>
      </w:r>
      <w:r w:rsidRPr="0058253A">
        <w:rPr>
          <w:rFonts w:ascii="Times New Roman" w:hAnsi="Times New Roman" w:cs="Times New Roman"/>
        </w:rPr>
        <w:t>eaction</w:t>
      </w:r>
      <w:r w:rsidR="002F5772" w:rsidRPr="0058253A">
        <w:rPr>
          <w:rFonts w:ascii="Times New Roman" w:hAnsi="Times New Roman" w:cs="Times New Roman"/>
        </w:rPr>
        <w:t>s</w:t>
      </w:r>
      <w:r w:rsidRPr="0058253A">
        <w:rPr>
          <w:rFonts w:ascii="Times New Roman" w:hAnsi="Times New Roman" w:cs="Times New Roman"/>
        </w:rPr>
        <w:t xml:space="preserve"> (PCR).</w:t>
      </w: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15"/>
        <w:gridCol w:w="1093"/>
        <w:gridCol w:w="2447"/>
        <w:gridCol w:w="1093"/>
        <w:gridCol w:w="2508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AJ26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vaga01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AJ25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311344" w:rsidRPr="0058253A" w:rsidRDefault="00311344" w:rsidP="002F57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18"/>
        <w:gridCol w:w="1083"/>
        <w:gridCol w:w="2455"/>
        <w:gridCol w:w="1083"/>
        <w:gridCol w:w="2516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vaga03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vaga08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vaga23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vaga26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311344" w:rsidRPr="0058253A" w:rsidRDefault="00311344" w:rsidP="002F57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15"/>
        <w:gridCol w:w="1093"/>
        <w:gridCol w:w="2447"/>
        <w:gridCol w:w="1093"/>
        <w:gridCol w:w="2508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AJ01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vaga19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vaga20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vaga06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BA3B11" w:rsidRDefault="00BA3B11" w:rsidP="002F5772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</w:p>
    <w:p w:rsidR="002F5772" w:rsidRPr="0058253A" w:rsidRDefault="002F5772" w:rsidP="00BA3B11">
      <w:pPr>
        <w:pStyle w:val="Beschriftung"/>
        <w:keepNext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58253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Table </w:t>
      </w:r>
      <w:r w:rsidR="000E742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S3</w:t>
      </w:r>
      <w:r w:rsidR="0091224B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  <w:r w:rsidR="000E742D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</w:t>
      </w:r>
      <w:r w:rsidRPr="0058253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)</w:t>
      </w:r>
      <w:r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Multiplex mixes for</w:t>
      </w:r>
      <w:r w:rsidRPr="0058253A">
        <w:rPr>
          <w:rFonts w:ascii="Times New Roman" w:hAnsi="Times New Roman" w:cs="Times New Roman"/>
          <w:color w:val="auto"/>
          <w:sz w:val="22"/>
          <w:szCs w:val="22"/>
        </w:rPr>
        <w:t xml:space="preserve"> Andrena nigroaenea </w:t>
      </w:r>
      <w:r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with primers, annealing temperature and the primer volume used in (two separate) Polymerase </w:t>
      </w:r>
      <w:r w:rsidR="000F458F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>Chain R</w:t>
      </w:r>
      <w:r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>eactions (PCR).</w:t>
      </w: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15"/>
        <w:gridCol w:w="1093"/>
        <w:gridCol w:w="2447"/>
        <w:gridCol w:w="1093"/>
        <w:gridCol w:w="2508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vaga18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1344" w:rsidRPr="0058253A" w:rsidRDefault="00311344" w:rsidP="002F57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18"/>
        <w:gridCol w:w="1083"/>
        <w:gridCol w:w="2455"/>
        <w:gridCol w:w="1083"/>
        <w:gridCol w:w="2516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AJ26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vaga03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AJ01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vaga21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311344" w:rsidRPr="0058253A" w:rsidRDefault="00311344" w:rsidP="002F57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824"/>
        <w:gridCol w:w="1105"/>
        <w:gridCol w:w="2474"/>
        <w:gridCol w:w="1105"/>
        <w:gridCol w:w="2489"/>
      </w:tblGrid>
      <w:tr w:rsidR="00311344" w:rsidRPr="0058253A" w:rsidTr="002E122B">
        <w:trPr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 T [°C]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0B6FE1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B6F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C2 T [°C]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311344" w:rsidRPr="000B6FE1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B6FE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Amount of Primer [µl]</w:t>
            </w:r>
          </w:p>
        </w:tc>
      </w:tr>
      <w:tr w:rsidR="00311344" w:rsidRPr="0058253A" w:rsidTr="002E122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vaga13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vaga08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11344" w:rsidRPr="0058253A" w:rsidRDefault="00311344" w:rsidP="002F577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05" w:type="dxa"/>
        <w:jc w:val="center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815"/>
        <w:gridCol w:w="1093"/>
        <w:gridCol w:w="2447"/>
        <w:gridCol w:w="1093"/>
        <w:gridCol w:w="2508"/>
      </w:tblGrid>
      <w:tr w:rsidR="00311344" w:rsidRPr="0058253A" w:rsidTr="000B6FE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D1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D2 T [°C]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of Primer [µl]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vaga25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AJ25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11344" w:rsidRPr="0058253A" w:rsidTr="000B6F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vaga05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vaga06</w:t>
            </w:r>
          </w:p>
        </w:tc>
        <w:tc>
          <w:tcPr>
            <w:tcW w:w="0" w:type="auto"/>
            <w:vAlign w:val="center"/>
            <w:hideMark/>
          </w:tcPr>
          <w:p w:rsidR="00311344" w:rsidRPr="0058253A" w:rsidRDefault="00311344" w:rsidP="002F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5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311344" w:rsidRPr="0058253A" w:rsidRDefault="00311344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8B516E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53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D761D" wp14:editId="1AD937B7">
                <wp:simplePos x="0" y="0"/>
                <wp:positionH relativeFrom="column">
                  <wp:posOffset>25400</wp:posOffset>
                </wp:positionH>
                <wp:positionV relativeFrom="page">
                  <wp:posOffset>4317474</wp:posOffset>
                </wp:positionV>
                <wp:extent cx="5892800" cy="676275"/>
                <wp:effectExtent l="0" t="0" r="0" b="9525"/>
                <wp:wrapTopAndBottom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676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742D" w:rsidRPr="00A07F79" w:rsidRDefault="000E742D" w:rsidP="00E863E1">
                            <w:pPr>
                              <w:pStyle w:val="Beschriftung"/>
                              <w:jc w:val="both"/>
                              <w:rPr>
                                <w:rFonts w:ascii="Arial" w:hAnsi="Arial" w:cs="Arial"/>
                                <w:i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1224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Figure S1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Heatmaps</w:t>
                            </w:r>
                            <w:proofErr w:type="spellEnd"/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showing pairwise linkage disequilibrium (LD) for (a)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Andrena haemorrhoa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(b)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Andrena nigroaenea,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measured as </w:t>
                            </w:r>
                            <w:proofErr w:type="spellStart"/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r̄D</w:t>
                            </w:r>
                            <w:proofErr w:type="spellEnd"/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. The shading represents LD strength, with lower values (weaker LD) in darker grey and higher values (stronger LD) in white (grayscale). Numbers in cells indicate significance (p-values), with an alpha threshold of 0.05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761D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pt;margin-top:339.95pt;width:464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S2LgIAAGAEAAAOAAAAZHJzL2Uyb0RvYy54bWysVE1vGjEQvVfqf7B8LwtIIbBiiSgRVSWU&#10;RIIqZ+O1WUu2x7UNu/TXd7wfpE17qnox45nx8773xiwfGqPJRfigwBZ0MhpTIiyHUtlTQb8dtp/m&#10;lITIbMk0WFHQqwj0YfXxw7J2uZhCBboUniCIDXntClrF6PIsC7wShoUROGGxKMEbFnHrT1npWY3o&#10;RmfT8XiW1eBL54GLEDD72BXpqsWXUvD4LGUQkeiC4rfFdvXtekxrtlqy/OSZqxTvP4P9w1cYpixe&#10;eoN6ZJGRs1d/QBnFPQSQccTBZCCl4qLlgGwm43ds9hVzouWC4gR3kyn8P1j+dHnxRJUFXVBimUGL&#10;DqKJUuiSLJI6tQs5Nu0dtsXmMzTo8pAPmEykG+lN+kU6BOuo8/WmLYIRjsm7+WI6H2OJY212P5ve&#10;3yWY7O208yF+EWBICgrq0btWUnbZhdi1Di3psgBalVulddqkwkZ7cmHoc12pKHrw37q0Tb0W0qkO&#10;MGWyRLGjkqLYHJue9xHKK9L20I1NcHyr8KIdC/GFeZwTpIOzH59xkRrqgkIfUVKB//G3fOpH+7BK&#10;SY1zV9Dw/cy8oER/tWhsGtIh8ENwHAJ7NhtAihN8VY63IR7wUQ+h9GBe8Ums0y1YYpbjXQWNQ7iJ&#10;3fTjk+JivW6bcBQdizu7dzxBD4IemlfmXW9HRCOfYJhIlr9zpevt5F2fI0jVWpYE7VTsdcYxbk3v&#10;n1x6J7/u2663P4bVTwAAAP//AwBQSwMEFAAGAAgAAAAhAKTp9tHfAAAACQEAAA8AAABkcnMvZG93&#10;bnJldi54bWxMj8FOwzAMhu9IvENkJC6IpZSpW0vTCTZ2g8PGtLPXhLaicaomXbu3x5zG0f6tz9+f&#10;rybbirPpfeNIwdMsAmGodLqhSsHha/u4BOEDksbWkVFwMR5Wxe1Njpl2I+3MeR8qwRDyGSqoQ+gy&#10;KX1ZG4t+5jpDnH273mLgsa+k7nFkuG1lHEWJtNgQf6ixM+valD/7wSpINv0w7mj9sDm8f+BnV8XH&#10;t8tRqfu76fUFRDBTuB7Dnz6rQ8FOJzeQ9qJVMOcmgVGLNAXBefoc8+akYLFM5iCLXP5vUPwCAAD/&#10;/wMAUEsBAi0AFAAGAAgAAAAhALaDOJL+AAAA4QEAABMAAAAAAAAAAAAAAAAAAAAAAFtDb250ZW50&#10;X1R5cGVzXS54bWxQSwECLQAUAAYACAAAACEAOP0h/9YAAACUAQAACwAAAAAAAAAAAAAAAAAvAQAA&#10;X3JlbHMvLnJlbHNQSwECLQAUAAYACAAAACEAn2M0ti4CAABgBAAADgAAAAAAAAAAAAAAAAAuAgAA&#10;ZHJzL2Uyb0RvYy54bWxQSwECLQAUAAYACAAAACEApOn20d8AAAAJAQAADwAAAAAAAAAAAAAAAACI&#10;BAAAZHJzL2Rvd25yZXYueG1sUEsFBgAAAAAEAAQA8wAAAJQFAAAAAA==&#10;" stroked="f">
                <v:textbox inset="0,0,0,0">
                  <w:txbxContent>
                    <w:p w:rsidR="000E742D" w:rsidRPr="00A07F79" w:rsidRDefault="000E742D" w:rsidP="00E863E1">
                      <w:pPr>
                        <w:pStyle w:val="Beschriftung"/>
                        <w:jc w:val="both"/>
                        <w:rPr>
                          <w:rFonts w:ascii="Arial" w:hAnsi="Arial" w:cs="Arial"/>
                          <w:i w:val="0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91224B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2"/>
                          <w:szCs w:val="22"/>
                        </w:rPr>
                        <w:t>Figure S1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>Heatmaps</w:t>
                      </w:r>
                      <w:proofErr w:type="spellEnd"/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showing pairwise linkage disequilibrium (LD) for (a) </w:t>
                      </w:r>
                      <w:r w:rsidRPr="0091224B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Andrena haemorrhoa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and (b) </w:t>
                      </w:r>
                      <w:r w:rsidRPr="0091224B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Andrena nigroaenea,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measured as </w:t>
                      </w:r>
                      <w:proofErr w:type="spellStart"/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>r̄D</w:t>
                      </w:r>
                      <w:proofErr w:type="spellEnd"/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2"/>
                          <w:szCs w:val="22"/>
                        </w:rPr>
                        <w:t>. The shading represents LD strength, with lower values (weaker LD) in darker grey and higher values (stronger LD) in white (grayscale). Numbers in cells indicate significance (p-values), with an alpha threshold of 0.05</w:t>
                      </w:r>
                      <w:r>
                        <w:rPr>
                          <w:rFonts w:ascii="Arial" w:hAnsi="Arial" w:cs="Arial"/>
                          <w:i w:val="0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825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6394A877" wp14:editId="590FC874">
            <wp:simplePos x="0" y="0"/>
            <wp:positionH relativeFrom="column">
              <wp:posOffset>-79375</wp:posOffset>
            </wp:positionH>
            <wp:positionV relativeFrom="page">
              <wp:posOffset>1197610</wp:posOffset>
            </wp:positionV>
            <wp:extent cx="6033135" cy="3023235"/>
            <wp:effectExtent l="0" t="0" r="5715" b="5715"/>
            <wp:wrapTopAndBottom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AD3" w:rsidRPr="0058253A" w:rsidRDefault="008B516E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5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4FCDD2A3" wp14:editId="261690E8">
            <wp:simplePos x="0" y="0"/>
            <wp:positionH relativeFrom="column">
              <wp:posOffset>62230</wp:posOffset>
            </wp:positionH>
            <wp:positionV relativeFrom="page">
              <wp:posOffset>5189329</wp:posOffset>
            </wp:positionV>
            <wp:extent cx="6029960" cy="3326130"/>
            <wp:effectExtent l="0" t="0" r="8890" b="762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5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6A925" wp14:editId="2783AA70">
                <wp:simplePos x="0" y="0"/>
                <wp:positionH relativeFrom="column">
                  <wp:posOffset>62865</wp:posOffset>
                </wp:positionH>
                <wp:positionV relativeFrom="page">
                  <wp:posOffset>8576310</wp:posOffset>
                </wp:positionV>
                <wp:extent cx="5876290" cy="788035"/>
                <wp:effectExtent l="0" t="0" r="0" b="0"/>
                <wp:wrapTopAndBottom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290" cy="7880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742D" w:rsidRPr="0091224B" w:rsidRDefault="000E742D" w:rsidP="00BA3B11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224B">
                              <w:rPr>
                                <w:rFonts w:ascii="Times New Roman" w:hAnsi="Times New Roman" w:cs="Times New Roman"/>
                                <w:b/>
                              </w:rPr>
                              <w:t>Figure S2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t xml:space="preserve"> Heat maps illustrat</w:t>
                            </w:r>
                            <w:r w:rsidR="0091224B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t xml:space="preserve"> significant departures from Hardy-Weinberg-Equilibrium (HWE) in (a)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/>
                              </w:rPr>
                              <w:t>Andrena haemorrhoa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t xml:space="preserve"> and (b)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/>
                              </w:rPr>
                              <w:t>Andrena nigroaenea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t xml:space="preserve"> sample sets, with single loci in columns and spatial clusters in rows; grey indicates loci presumed of not being in HWE with p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sym w:font="Symbol" w:char="F0A3"/>
                            </w:r>
                            <w:r w:rsidRPr="0091224B">
                              <w:rPr>
                                <w:rFonts w:ascii="Times New Roman" w:hAnsi="Times New Roman" w:cs="Times New Roman"/>
                              </w:rPr>
                              <w:t xml:space="preserve"> 0.05 in the cluster</w:t>
                            </w:r>
                            <w:r w:rsidR="00183A1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0E742D" w:rsidRPr="00A445D8" w:rsidRDefault="000E742D" w:rsidP="00773CC8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A925" id="Textfeld 6" o:spid="_x0000_s1027" type="#_x0000_t202" style="position:absolute;left:0;text-align:left;margin-left:4.95pt;margin-top:675.3pt;width:462.7pt;height:6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hGMAIAAGcEAAAOAAAAZHJzL2Uyb0RvYy54bWysVFFv2yAQfp+0/4B4X5xkappZcaosVaZJ&#10;VVspmfpMMMRIwDEgsbNfvwPH6dbtadoLPu6Og+/77ry464wmJ+GDAlvRyWhMibAcamUPFf2223yY&#10;UxIiszXTYEVFzyLQu+X7d4vWlWIKDehaeIJFbChbV9EmRlcWReCNMCyMwAmLQQnesIhbfyhqz1qs&#10;bnQxHY9nRQu+dh64CAG9932QLnN9KQWPT1IGEYmuKL4t5tXndZ/WYrlg5cEz1yh+eQb7h1cYpixe&#10;ei11zyIjR6/+KGUU9xBAxhEHU4CUiouMAdFMxm/QbBvmRMaC5AR3pSn8v7L88fTsiaorOqPEMoMS&#10;7UQXpdA1mSV2WhdKTNo6TIvdZ+hQ5cEf0JlAd9Kb9EU4BOPI8/nKLRYjHJ0389vZ9BOGOMZu5/Px&#10;x5tUpng97XyIXwQYkoyKetQuU8pODyH2qUNKuiyAVvVGaZ02KbDWnpwY6tw2KopL8d+ytE25FtKp&#10;vmDyFAliDyVZsdt3mZArzD3UZ0Tvoe+e4PhG4X0PLMRn5rFdEBWOQHzCRWpoKwoXi5IG/I+/+VM+&#10;qohRSlpsv4qG70fmBSX6q0V9U68Ohh+M/WDYo1kDIp3gcDmeTTzgox5M6cG84GSs0i0YYpbjXRWN&#10;g7mO/RDgZHGxWuUk7EjH4oPdOp5KD7zuuhfm3UWViHo+wtCYrHwjTp/bs7w6RpAqK5d47Vm80I3d&#10;nLW/TF4al1/3Oev1/7D8CQAA//8DAFBLAwQUAAYACAAAACEA64m0M+EAAAALAQAADwAAAGRycy9k&#10;b3ducmV2LnhtbEyPwU7DMAyG70i8Q2QkLoilrFtHS9MJNrjBYWPaOWtMW9E4VZOu3dtjTnD070+/&#10;P+frybbijL1vHCl4mEUgkEpnGqoUHD7f7h9B+KDJ6NYRKrigh3VxfZXrzLiRdnjeh0pwCflMK6hD&#10;6DIpfVmj1X7mOiTefbne6sBjX0nT65HLbSvnUZRIqxviC7XucFNj+b0frIJk2w/jjjZ328Pru/7o&#10;qvnx5XJU6vZmen4CEXAKfzD86rM6FOx0cgMZL1oFacogx/EySkAwkMbLGMSJo8VqsQJZ5PL/D8UP&#10;AAAA//8DAFBLAQItABQABgAIAAAAIQC2gziS/gAAAOEBAAATAAAAAAAAAAAAAAAAAAAAAABbQ29u&#10;dGVudF9UeXBlc10ueG1sUEsBAi0AFAAGAAgAAAAhADj9If/WAAAAlAEAAAsAAAAAAAAAAAAAAAAA&#10;LwEAAF9yZWxzLy5yZWxzUEsBAi0AFAAGAAgAAAAhAAZ+2EYwAgAAZwQAAA4AAAAAAAAAAAAAAAAA&#10;LgIAAGRycy9lMm9Eb2MueG1sUEsBAi0AFAAGAAgAAAAhAOuJtDPhAAAACwEAAA8AAAAAAAAAAAAA&#10;AAAAigQAAGRycy9kb3ducmV2LnhtbFBLBQYAAAAABAAEAPMAAACYBQAAAAA=&#10;" stroked="f">
                <v:textbox inset="0,0,0,0">
                  <w:txbxContent>
                    <w:p w:rsidR="000E742D" w:rsidRPr="0091224B" w:rsidRDefault="000E742D" w:rsidP="00BA3B11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1224B">
                        <w:rPr>
                          <w:rFonts w:ascii="Times New Roman" w:hAnsi="Times New Roman" w:cs="Times New Roman"/>
                          <w:b/>
                        </w:rPr>
                        <w:t>Figure S2</w:t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t xml:space="preserve"> Heat maps illustrat</w:t>
                      </w:r>
                      <w:r w:rsidR="0091224B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t xml:space="preserve"> significant departures from Hardy-Weinberg-Equilibrium (HWE) in (a) </w:t>
                      </w:r>
                      <w:r w:rsidRPr="0091224B">
                        <w:rPr>
                          <w:rFonts w:ascii="Times New Roman" w:hAnsi="Times New Roman" w:cs="Times New Roman"/>
                          <w:i/>
                        </w:rPr>
                        <w:t>Andrena haemorrhoa</w:t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t xml:space="preserve"> and (b) </w:t>
                      </w:r>
                      <w:r w:rsidRPr="0091224B">
                        <w:rPr>
                          <w:rFonts w:ascii="Times New Roman" w:hAnsi="Times New Roman" w:cs="Times New Roman"/>
                          <w:i/>
                        </w:rPr>
                        <w:t>Andrena nigroaenea</w:t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t xml:space="preserve"> sample sets, with single loci in columns and spatial clusters in rows; grey indicates loci presumed of not being in HWE with p </w:t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sym w:font="Symbol" w:char="F0A3"/>
                      </w:r>
                      <w:r w:rsidRPr="0091224B">
                        <w:rPr>
                          <w:rFonts w:ascii="Times New Roman" w:hAnsi="Times New Roman" w:cs="Times New Roman"/>
                        </w:rPr>
                        <w:t xml:space="preserve"> 0.05 in the cluster</w:t>
                      </w:r>
                      <w:r w:rsidR="00183A1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0E742D" w:rsidRPr="00A445D8" w:rsidRDefault="000E742D" w:rsidP="00773CC8">
                      <w:pPr>
                        <w:pStyle w:val="Beschriftung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D3" w:rsidRPr="0058253A" w:rsidRDefault="00CC1AD3" w:rsidP="00B1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ADF" w:rsidRPr="0058253A" w:rsidRDefault="00B11ADF" w:rsidP="007C1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4F3A" w:rsidRPr="0058253A" w:rsidRDefault="00584F3A" w:rsidP="00DF088F">
      <w:pPr>
        <w:pStyle w:val="Beschriftung"/>
        <w:jc w:val="both"/>
        <w:rPr>
          <w:rFonts w:ascii="Times New Roman" w:hAnsi="Times New Roman" w:cs="Times New Roman"/>
          <w:b/>
          <w:i w:val="0"/>
          <w:noProof/>
          <w:color w:val="auto"/>
          <w:sz w:val="22"/>
          <w:szCs w:val="22"/>
        </w:rPr>
      </w:pPr>
    </w:p>
    <w:p w:rsidR="00940532" w:rsidRPr="0058253A" w:rsidRDefault="00311344" w:rsidP="00940532">
      <w:pPr>
        <w:pStyle w:val="Beschriftung"/>
        <w:keepNext/>
        <w:jc w:val="both"/>
        <w:rPr>
          <w:rFonts w:ascii="Times New Roman" w:hAnsi="Times New Roman" w:cs="Times New Roman"/>
        </w:rPr>
      </w:pPr>
      <w:r w:rsidRPr="0058253A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Table S4</w:t>
      </w:r>
      <w:r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: </w:t>
      </w:r>
      <w:r w:rsidR="00940532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Genetic diversity metrics estimated for each locus, pooled across kettle-holes, for 214 </w:t>
      </w:r>
      <w:r w:rsidR="00940532" w:rsidRPr="0058253A">
        <w:rPr>
          <w:rStyle w:val="Hervorhebung"/>
          <w:rFonts w:ascii="Times New Roman" w:hAnsi="Times New Roman" w:cs="Times New Roman"/>
          <w:i/>
          <w:color w:val="auto"/>
          <w:sz w:val="22"/>
          <w:szCs w:val="22"/>
        </w:rPr>
        <w:t>Andrena haemorrhoa</w:t>
      </w:r>
      <w:r w:rsidR="003717E8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and </w:t>
      </w:r>
      <w:r w:rsidR="00940532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137 </w:t>
      </w:r>
      <w:r w:rsidR="00940532" w:rsidRPr="0058253A">
        <w:rPr>
          <w:rStyle w:val="Hervorhebung"/>
          <w:rFonts w:ascii="Times New Roman" w:hAnsi="Times New Roman" w:cs="Times New Roman"/>
          <w:i/>
          <w:color w:val="auto"/>
          <w:sz w:val="22"/>
          <w:szCs w:val="22"/>
        </w:rPr>
        <w:t>Andrena nigroaenea</w:t>
      </w:r>
      <w:r w:rsidR="00940532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individuals. Metrics include observed </w:t>
      </w:r>
      <w:proofErr w:type="spellStart"/>
      <w:r w:rsidR="00940532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>Heterozygozity</w:t>
      </w:r>
      <w:proofErr w:type="spellEnd"/>
      <w:r w:rsidR="00940532" w:rsidRPr="0058253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(Ho), expected heterozygosity (He), inbreeding coefficient (Fis) 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1200"/>
        <w:gridCol w:w="1352"/>
        <w:gridCol w:w="1048"/>
        <w:gridCol w:w="1200"/>
      </w:tblGrid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Locus</w:t>
            </w:r>
          </w:p>
        </w:tc>
        <w:tc>
          <w:tcPr>
            <w:tcW w:w="135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Ho</w:t>
            </w:r>
          </w:p>
        </w:tc>
        <w:tc>
          <w:tcPr>
            <w:tcW w:w="104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He</w:t>
            </w:r>
          </w:p>
        </w:tc>
        <w:tc>
          <w:tcPr>
            <w:tcW w:w="12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7E6B81" w:rsidRPr="0058253A" w:rsidRDefault="00A4449B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      </w:t>
            </w:r>
            <w:r w:rsidR="007E6B81" w:rsidRPr="0058253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Fis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3A">
              <w:rPr>
                <w:rFonts w:ascii="Times New Roman" w:eastAsia="Times New Roman" w:hAnsi="Times New Roman" w:cs="Times New Roman"/>
                <w:i/>
                <w:color w:val="000000"/>
              </w:rPr>
              <w:t>A. haemorrhoa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vaga27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0.5954</w:t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0.6743</w:t>
            </w:r>
          </w:p>
        </w:tc>
        <w:tc>
          <w:tcPr>
            <w:tcW w:w="120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0.1171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AJ25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0.3739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0.2892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0.8291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0.8711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0.0481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AJ26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0.5880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0.6704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0.1229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0.8466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0.9484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0.1074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0.6913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0.6830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-0.0121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0.6484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0.2192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AJ01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0.3551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0.3899</w:t>
            </w:r>
          </w:p>
        </w:tc>
        <w:tc>
          <w:tcPr>
            <w:tcW w:w="120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0.0892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0.8834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0.8682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-0.0175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8253A">
              <w:rPr>
                <w:rFonts w:ascii="Times New Roman" w:eastAsia="Times New Roman" w:hAnsi="Times New Roman" w:cs="Times New Roman"/>
                <w:i/>
              </w:rPr>
              <w:t>A. nigroaenea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vaga27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0.5551</w:t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0.5950</w:t>
            </w:r>
          </w:p>
        </w:tc>
        <w:tc>
          <w:tcPr>
            <w:tcW w:w="120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0.0670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0.4414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0.5711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0.2270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AJ01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0.4387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0.2788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0.5812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0.6820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0.1478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0.6832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0.7655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0.1074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vaga25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0.5439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0.5874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0.0740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0.7620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0.8980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0.1515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AJ25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0.6126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0.7755</w:t>
            </w:r>
          </w:p>
        </w:tc>
        <w:tc>
          <w:tcPr>
            <w:tcW w:w="120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0.2100</w:t>
            </w:r>
          </w:p>
        </w:tc>
      </w:tr>
      <w:tr w:rsidR="007E6B81" w:rsidRPr="0058253A" w:rsidTr="006A173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vaga06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0.6858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C70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E6B81" w:rsidRPr="0058253A" w:rsidRDefault="007E6B81" w:rsidP="00A44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253A">
              <w:rPr>
                <w:rFonts w:ascii="Times New Roman" w:eastAsia="Times New Roman" w:hAnsi="Times New Roman" w:cs="Times New Roman"/>
                <w:color w:val="000000"/>
              </w:rPr>
              <w:t>0.1828</w:t>
            </w:r>
          </w:p>
        </w:tc>
      </w:tr>
    </w:tbl>
    <w:p w:rsidR="007E6B81" w:rsidRPr="0058253A" w:rsidRDefault="007E6B81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4ACA" w:rsidRPr="0058253A" w:rsidRDefault="00BA3B11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53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DAF83B" wp14:editId="527199C4">
            <wp:simplePos x="0" y="0"/>
            <wp:positionH relativeFrom="column">
              <wp:posOffset>160151</wp:posOffset>
            </wp:positionH>
            <wp:positionV relativeFrom="page">
              <wp:posOffset>2477135</wp:posOffset>
            </wp:positionV>
            <wp:extent cx="5838825" cy="2941955"/>
            <wp:effectExtent l="0" t="0" r="9525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BA3B11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53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79CE4" wp14:editId="291AC7F9">
                <wp:simplePos x="0" y="0"/>
                <wp:positionH relativeFrom="column">
                  <wp:posOffset>298297</wp:posOffset>
                </wp:positionH>
                <wp:positionV relativeFrom="paragraph">
                  <wp:posOffset>3274147</wp:posOffset>
                </wp:positionV>
                <wp:extent cx="5703570" cy="635"/>
                <wp:effectExtent l="0" t="0" r="0" b="8890"/>
                <wp:wrapTopAndBottom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742D" w:rsidRPr="0091224B" w:rsidRDefault="000E742D" w:rsidP="00B11ADF">
                            <w:pPr>
                              <w:pStyle w:val="Beschriftung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1224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Figure S3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 Optimal number of clusters (K=4) as determined by ‘k-means’ with Bayesian information criterion (BIC) for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Andrena haemorrhoa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</w:t>
                            </w:r>
                            <w:r w:rsidRPr="0091224B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Andrena nigroaenea.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79CE4" id="Textfeld 5" o:spid="_x0000_s1028" type="#_x0000_t202" style="position:absolute;margin-left:23.5pt;margin-top:257.8pt;width:449.1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WAMAIAAGQEAAAOAAAAZHJzL2Uyb0RvYy54bWysVMFuGjEQvVfqP1i+lwUi0gqxRJSIqhJK&#10;IkGVs/HarCWvxx0bdtOv79jLkjbtqeoBM54Zj/3em9nFXddYdlYYDLiST0ZjzpSTUBl3LPm3/ebD&#10;J85CFK4SFpwq+YsK/G75/t2i9XM1hRpspZBRERfmrS95HaOfF0WQtWpEGIFXjoIasBGRtngsKhQt&#10;VW9sMR2Pb4sWsPIIUoVA3vs+yJe5vtZKxketg4rMlpzeFvOKeT2ktVguxPyIwtdGXp4h/uEVjTCO&#10;Lr2WuhdRsBOaP0o1RiIE0HEkoSlAayNVxkBoJuM3aHa18CpjIXKCv9IU/l9Z+XB+Qmaqks84c6Ih&#10;ifaqi1rZis0SO60Pc0raeUqL3WfoSOXBH8iZQHcam/RPcBjFieeXK7dUjElyzj6Ob+jHmaTY7U2u&#10;Xbwe9RjiFwUNS0bJkYTLfIrzNkR6BqUOKemmANZUG2Nt2qTA2iI7CxK5rU1U6YF04rcs61Kug3Sq&#10;DydPkfD1OJIVu0OX2ZgOGA9QvRB0hL51gpcbQ/dtRYhPAqlXCBL1f3ykRVtoSw4Xi7Ma8Mff/Cmf&#10;JKQoZy31XsnD95NAxZn96kjc1KiDgYNxGAx3atZASCc0WV5mkw5gtIOpEZpnGotVuoVCwkm6q+Rx&#10;MNexnwAaK6lWq5xE7ehF3Lqdl6n0wOu+exboL6pEEvMBhq4U8zfi9LlZHr86RWI6K5d47Vm80E2t&#10;nOW5jF2alV/3Oev147D8CQAA//8DAFBLAwQUAAYACAAAACEAnLYtueEAAAAKAQAADwAAAGRycy9k&#10;b3ducmV2LnhtbEyPwU7DMBBE70j8g7VIXBB1WpIUQpyqquBALxWhF25uvI0D8TqynTb8PYYLHGdn&#10;NPumXE2mZyd0vrMkYD5LgCE1VnXUCti/Pd/eA/NBkpK9JRTwhR5W1eVFKQtlz/SKpzq0LJaQL6QA&#10;HcJQcO4bjUb6mR2Qone0zsgQpWu5cvIcy03PF0mScyM7ih+0HHCjsfmsRyNgl77v9M14fNqu0zv3&#10;sh83+UdbC3F9Na0fgQWcwl8YfvAjOlSR6WBHUp71AtJlnBIEZPMsBxYDD2m2AHb4vSyBVyX/P6H6&#10;BgAA//8DAFBLAQItABQABgAIAAAAIQC2gziS/gAAAOEBAAATAAAAAAAAAAAAAAAAAAAAAABbQ29u&#10;dGVudF9UeXBlc10ueG1sUEsBAi0AFAAGAAgAAAAhADj9If/WAAAAlAEAAAsAAAAAAAAAAAAAAAAA&#10;LwEAAF9yZWxzLy5yZWxzUEsBAi0AFAAGAAgAAAAhALq9hYAwAgAAZAQAAA4AAAAAAAAAAAAAAAAA&#10;LgIAAGRycy9lMm9Eb2MueG1sUEsBAi0AFAAGAAgAAAAhAJy2LbnhAAAACgEAAA8AAAAAAAAAAAAA&#10;AAAAigQAAGRycy9kb3ducmV2LnhtbFBLBQYAAAAABAAEAPMAAACYBQAAAAA=&#10;" stroked="f">
                <v:textbox style="mso-fit-shape-to-text:t" inset="0,0,0,0">
                  <w:txbxContent>
                    <w:p w:rsidR="000E742D" w:rsidRPr="0091224B" w:rsidRDefault="000E742D" w:rsidP="00B11ADF">
                      <w:pPr>
                        <w:pStyle w:val="Beschriftung"/>
                        <w:jc w:val="both"/>
                        <w:rPr>
                          <w:rFonts w:ascii="Times New Roman" w:hAnsi="Times New Roman" w:cs="Times New Roman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91224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  <w:t>Figure S3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 Optimal number of clusters (K=4) as determined by ‘k-means’ with Bayesian information criterion (BIC) for</w:t>
                      </w:r>
                      <w:r w:rsidRPr="0091224B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 xml:space="preserve"> Andrena haemorrhoa</w:t>
                      </w:r>
                      <w:r w:rsidRPr="0091224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 xml:space="preserve"> and</w:t>
                      </w:r>
                      <w:r w:rsidRPr="0091224B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 xml:space="preserve"> Andrena nigroaenea.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ACA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A01" w:rsidRPr="0058253A" w:rsidRDefault="002B4ACA" w:rsidP="0006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53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79DF4" wp14:editId="0FD39C52">
                <wp:simplePos x="0" y="0"/>
                <wp:positionH relativeFrom="column">
                  <wp:posOffset>234337</wp:posOffset>
                </wp:positionH>
                <wp:positionV relativeFrom="paragraph">
                  <wp:posOffset>5597043</wp:posOffset>
                </wp:positionV>
                <wp:extent cx="5785485" cy="967105"/>
                <wp:effectExtent l="0" t="0" r="5715" b="4445"/>
                <wp:wrapTopAndBottom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9671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E742D" w:rsidRPr="00A517B1" w:rsidRDefault="000E742D" w:rsidP="00C157C1">
                            <w:pPr>
                              <w:pStyle w:val="Beschriftu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517B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Figure S4</w:t>
                            </w:r>
                            <w:r w:rsidR="00A517B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Results of additional DAPC analyses (upper, K=2 and lower K,=3) for 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Andrena haemorrhoa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Andrena nigroaenea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. Single bars represent cluster membership probability of individual genotypes illustrated by distinct colors, and ordered 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them by sampling site (local kettle-hole ID by 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ZALF</w:t>
                            </w:r>
                            <w:r w:rsidRPr="00A517B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  <w:szCs w:val="22"/>
                                <w:shd w:val="clear" w:color="auto" w:fill="FFFFFF"/>
                              </w:rPr>
                              <w:t>- Leibniz Centre for Agricultural Landscape Research) and spatial cluster arranged in decreasing longitudinal order.</w:t>
                            </w:r>
                          </w:p>
                          <w:p w:rsidR="000E742D" w:rsidRDefault="000E742D" w:rsidP="00C157C1">
                            <w:pPr>
                              <w:pStyle w:val="Beschriftung"/>
                            </w:pPr>
                          </w:p>
                          <w:p w:rsidR="000E742D" w:rsidRPr="00913F8B" w:rsidRDefault="000E742D" w:rsidP="00C157C1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9DF4" id="Textfeld 4" o:spid="_x0000_s1029" type="#_x0000_t202" style="position:absolute;margin-left:18.45pt;margin-top:440.7pt;width:455.55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BXMwIAAGcEAAAOAAAAZHJzL2Uyb0RvYy54bWysVFFv2yAQfp+0/4B4X5x0SZtZcaosVaZJ&#10;UVspmfpMMMRImGNAYme/fge2063b07QXfNwdB9/33Xlx39aanIXzCkxBJ6MxJcJwKJU5FvTbfvNh&#10;TokPzJRMgxEFvQhP75fv3y0am4sbqECXwhEsYnze2IJWIdg8yzyvRM38CKwwGJTgahZw645Z6ViD&#10;1Wud3YzHt1kDrrQOuPAevQ9dkC5TfSkFD09SehGILii+LaTVpfUQ12y5YPnRMVsp3j+D/cMraqYM&#10;Xnot9cACIyen/ihVK+7AgwwjDnUGUiouEgZEMxm/QbOrmBUJC5Lj7ZUm///K8sfzsyOqLOiUEsNq&#10;lGgv2iCFLsk0stNYn2PSzmJaaD9DiyoPfo/OCLqVro5fhEMwjjxfrtxiMcLRObubz6bzGSUcY59u&#10;7ybjWSyTvZ62zocvAmoSjYI61C5Rys5bH7rUISVe5kGrcqO0jpsYWGtHzgx1bioVRF/8tyxtYq6B&#10;eKorGD1ZhNhBiVZoD20i5OMA8wDlBdE76LrHW75ReN+W+fDMHLYLAsYRCE+4SA1NQaG3KKnA/fib&#10;P+ajihilpMH2K6j/fmJOUKK/GtQ39upguME4DIY51WtApBMcLsuTiQdc0IMpHdQvOBmreAuGmOF4&#10;V0HDYK5DNwQ4WVysVikJO9KysDU7y2Ppgdd9+8Kc7VUJqOcjDI3J8jfidLkdy6tTAKmScpHXjsWe&#10;buzmpH0/eXFcft2nrNf/w/InAAAA//8DAFBLAwQUAAYACAAAACEAhhapFuEAAAALAQAADwAAAGRy&#10;cy9kb3ducmV2LnhtbEyPQU+DQBCF7yb+h82YeDF2aWmQIkujrd7qobXpecquQGRnCbsU+u8dT3qc&#10;zJf3vpevJ9uKi+l940jBfBaBMFQ63VCl4Pj5/piC8AFJY+vIKLgaD+vi9ibHTLuR9uZyCJXgEPIZ&#10;KqhD6DIpfVkbi37mOkP8+3K9xcBnX0nd48jhtpWLKEqkxYa4ocbObGpTfh8GqyDZ9sO4p83D9vi2&#10;w4+uWpxeryel7u+ml2cQwUzhD4ZffVaHgp3ObiDtRasgTlZMKkjT+RIEA6tlyuPOTEZx/ASyyOX/&#10;DcUPAAAA//8DAFBLAQItABQABgAIAAAAIQC2gziS/gAAAOEBAAATAAAAAAAAAAAAAAAAAAAAAABb&#10;Q29udGVudF9UeXBlc10ueG1sUEsBAi0AFAAGAAgAAAAhADj9If/WAAAAlAEAAAsAAAAAAAAAAAAA&#10;AAAALwEAAF9yZWxzLy5yZWxzUEsBAi0AFAAGAAgAAAAhABuPsFczAgAAZwQAAA4AAAAAAAAAAAAA&#10;AAAALgIAAGRycy9lMm9Eb2MueG1sUEsBAi0AFAAGAAgAAAAhAIYWqRbhAAAACwEAAA8AAAAAAAAA&#10;AAAAAAAAjQQAAGRycy9kb3ducmV2LnhtbFBLBQYAAAAABAAEAPMAAACbBQAAAAA=&#10;" stroked="f">
                <v:textbox inset="0,0,0,0">
                  <w:txbxContent>
                    <w:p w:rsidR="000E742D" w:rsidRPr="00A517B1" w:rsidRDefault="000E742D" w:rsidP="00C157C1">
                      <w:pPr>
                        <w:pStyle w:val="Beschriftung"/>
                        <w:jc w:val="both"/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</w:pPr>
                      <w:r w:rsidRPr="00A517B1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  <w:t>Figure S4</w:t>
                      </w:r>
                      <w:r w:rsidR="00A517B1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A517B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</w:rPr>
                        <w:t xml:space="preserve">Results of additional DAPC analyses (upper, K=2 and lower K,=3) for </w:t>
                      </w:r>
                      <w:r w:rsidRPr="00A517B1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Andrena haemorrhoa</w:t>
                      </w:r>
                      <w:r w:rsidRPr="00A517B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</w:rPr>
                        <w:t xml:space="preserve"> and </w:t>
                      </w:r>
                      <w:r w:rsidRPr="00A517B1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Andrena nigroaenea</w:t>
                      </w:r>
                      <w:r w:rsidRPr="00A517B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</w:rPr>
                        <w:t xml:space="preserve">. Single bars represent cluster membership probability of individual genotypes illustrated by distinct colors, and ordered </w:t>
                      </w:r>
                      <w:r w:rsidRPr="00A517B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 xml:space="preserve">them by sampling site (local kettle-hole ID by </w:t>
                      </w:r>
                      <w:r w:rsidRPr="00A517B1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ZALF</w:t>
                      </w:r>
                      <w:r w:rsidRPr="00A517B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  <w:szCs w:val="22"/>
                          <w:shd w:val="clear" w:color="auto" w:fill="FFFFFF"/>
                        </w:rPr>
                        <w:t>- Leibniz Centre for Agricultural Landscape Research) and spatial cluster arranged in decreasing longitudinal order.</w:t>
                      </w:r>
                    </w:p>
                    <w:p w:rsidR="000E742D" w:rsidRDefault="000E742D" w:rsidP="00C157C1">
                      <w:pPr>
                        <w:pStyle w:val="Beschriftung"/>
                      </w:pPr>
                    </w:p>
                    <w:p w:rsidR="000E742D" w:rsidRPr="00913F8B" w:rsidRDefault="000E742D" w:rsidP="00C157C1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825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0E7C42F" wp14:editId="365E2953">
            <wp:simplePos x="0" y="0"/>
            <wp:positionH relativeFrom="column">
              <wp:posOffset>212090</wp:posOffset>
            </wp:positionH>
            <wp:positionV relativeFrom="paragraph">
              <wp:posOffset>192479</wp:posOffset>
            </wp:positionV>
            <wp:extent cx="5943600" cy="5405120"/>
            <wp:effectExtent l="0" t="0" r="0" b="508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4A01" w:rsidRPr="005825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6"/>
    <w:rsid w:val="00011BEB"/>
    <w:rsid w:val="0004352E"/>
    <w:rsid w:val="00063CB4"/>
    <w:rsid w:val="00070BD7"/>
    <w:rsid w:val="00081858"/>
    <w:rsid w:val="000B6FE1"/>
    <w:rsid w:val="000E742D"/>
    <w:rsid w:val="000F458F"/>
    <w:rsid w:val="001148A7"/>
    <w:rsid w:val="00161AB8"/>
    <w:rsid w:val="00183A15"/>
    <w:rsid w:val="00184A01"/>
    <w:rsid w:val="00193CCD"/>
    <w:rsid w:val="001B2D9F"/>
    <w:rsid w:val="001D7C26"/>
    <w:rsid w:val="00230DD8"/>
    <w:rsid w:val="00292C1B"/>
    <w:rsid w:val="002953B7"/>
    <w:rsid w:val="002B4ACA"/>
    <w:rsid w:val="002D2341"/>
    <w:rsid w:val="002E122B"/>
    <w:rsid w:val="002F5772"/>
    <w:rsid w:val="00311344"/>
    <w:rsid w:val="00322FA6"/>
    <w:rsid w:val="00324D83"/>
    <w:rsid w:val="003635D6"/>
    <w:rsid w:val="003717E8"/>
    <w:rsid w:val="004B2F89"/>
    <w:rsid w:val="004B4EAE"/>
    <w:rsid w:val="004F3AF1"/>
    <w:rsid w:val="005438E7"/>
    <w:rsid w:val="00565FBE"/>
    <w:rsid w:val="0058253A"/>
    <w:rsid w:val="00584F3A"/>
    <w:rsid w:val="005A30A8"/>
    <w:rsid w:val="005C22AA"/>
    <w:rsid w:val="005E5404"/>
    <w:rsid w:val="006A1738"/>
    <w:rsid w:val="006C7676"/>
    <w:rsid w:val="006E73CC"/>
    <w:rsid w:val="00773CC8"/>
    <w:rsid w:val="007C1D78"/>
    <w:rsid w:val="007E6B81"/>
    <w:rsid w:val="007F6071"/>
    <w:rsid w:val="008764D6"/>
    <w:rsid w:val="008B516E"/>
    <w:rsid w:val="0091224B"/>
    <w:rsid w:val="00920F01"/>
    <w:rsid w:val="00940532"/>
    <w:rsid w:val="009733BC"/>
    <w:rsid w:val="009D32D0"/>
    <w:rsid w:val="00A07F79"/>
    <w:rsid w:val="00A14B40"/>
    <w:rsid w:val="00A4449B"/>
    <w:rsid w:val="00A517B1"/>
    <w:rsid w:val="00A91A40"/>
    <w:rsid w:val="00B11ADF"/>
    <w:rsid w:val="00B5155D"/>
    <w:rsid w:val="00BA3B11"/>
    <w:rsid w:val="00BC6050"/>
    <w:rsid w:val="00C157C1"/>
    <w:rsid w:val="00C31EE2"/>
    <w:rsid w:val="00C426E5"/>
    <w:rsid w:val="00C44B4D"/>
    <w:rsid w:val="00C70028"/>
    <w:rsid w:val="00CC1AD3"/>
    <w:rsid w:val="00D21B2C"/>
    <w:rsid w:val="00DF088F"/>
    <w:rsid w:val="00E45F07"/>
    <w:rsid w:val="00E5704F"/>
    <w:rsid w:val="00E863E1"/>
    <w:rsid w:val="00EE6F29"/>
    <w:rsid w:val="00EF3EF6"/>
    <w:rsid w:val="00F013A8"/>
    <w:rsid w:val="00FC2458"/>
    <w:rsid w:val="00FD61F1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EC21"/>
  <w15:chartTrackingRefBased/>
  <w15:docId w15:val="{426479A6-80D9-4EB9-B919-65034A55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D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84A0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9405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940532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2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ing">
    <w:name w:val="Heading"/>
    <w:basedOn w:val="Standard"/>
    <w:link w:val="HeadingZchn"/>
    <w:qFormat/>
    <w:rsid w:val="00FE76EF"/>
    <w:pPr>
      <w:spacing w:line="480" w:lineRule="auto"/>
      <w:jc w:val="both"/>
    </w:pPr>
    <w:rPr>
      <w:rFonts w:ascii="Arial" w:hAnsi="Arial" w:cs="Arial"/>
      <w:b/>
      <w:color w:val="0D0D0D"/>
      <w:sz w:val="28"/>
      <w:szCs w:val="24"/>
      <w:shd w:val="clear" w:color="auto" w:fill="FFFFFF"/>
    </w:rPr>
  </w:style>
  <w:style w:type="character" w:customStyle="1" w:styleId="HeadingZchn">
    <w:name w:val="Heading Zchn"/>
    <w:basedOn w:val="Absatz-Standardschriftart"/>
    <w:link w:val="Heading"/>
    <w:rsid w:val="00FE76EF"/>
    <w:rPr>
      <w:rFonts w:ascii="Arial" w:hAnsi="Arial" w:cs="Arial"/>
      <w:b/>
      <w:color w:val="0D0D0D"/>
      <w:sz w:val="28"/>
      <w:szCs w:val="24"/>
    </w:rPr>
  </w:style>
  <w:style w:type="paragraph" w:styleId="KeinLeerraum">
    <w:name w:val="No Spacing"/>
    <w:uiPriority w:val="1"/>
    <w:qFormat/>
    <w:rsid w:val="00FE76EF"/>
    <w:pPr>
      <w:spacing w:after="0" w:line="240" w:lineRule="auto"/>
    </w:pPr>
  </w:style>
  <w:style w:type="table" w:customStyle="1" w:styleId="Formatvorlage12">
    <w:name w:val="Formatvorlage12"/>
    <w:basedOn w:val="NormaleTabelle"/>
    <w:uiPriority w:val="99"/>
    <w:rsid w:val="0058253A"/>
    <w:pPr>
      <w:spacing w:after="0" w:line="240" w:lineRule="auto"/>
    </w:pPr>
    <w:rPr>
      <w:rFonts w:ascii="Liberation Serif" w:hAnsi="Liberation Serif"/>
      <w:lang w:val="de-D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</dc:creator>
  <cp:keywords/>
  <dc:description/>
  <cp:lastModifiedBy>anonymous</cp:lastModifiedBy>
  <cp:revision>61</cp:revision>
  <dcterms:created xsi:type="dcterms:W3CDTF">2024-07-12T10:25:00Z</dcterms:created>
  <dcterms:modified xsi:type="dcterms:W3CDTF">2025-04-14T09:19:00Z</dcterms:modified>
</cp:coreProperties>
</file>