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5E16" w14:textId="77777777" w:rsidR="00DD05AD" w:rsidRPr="005F4EC6" w:rsidRDefault="00DD05AD" w:rsidP="00DD05AD">
      <w:pPr>
        <w:jc w:val="center"/>
        <w:rPr>
          <w:rFonts w:ascii="Times New Roman" w:hAnsi="Times New Roman" w:cs="Times New Roman"/>
          <w:sz w:val="28"/>
          <w:szCs w:val="28"/>
        </w:rPr>
      </w:pPr>
      <w:r w:rsidRPr="005F4EC6">
        <w:rPr>
          <w:rFonts w:ascii="Times New Roman" w:hAnsi="Times New Roman" w:cs="Times New Roman"/>
          <w:sz w:val="28"/>
          <w:szCs w:val="28"/>
        </w:rPr>
        <w:t>Evaluation of Personalized Finite Element Models Based on Statistical Shape and Density Models for Predicting Femoral and Tibial Stress and Strain in Paediatrics</w:t>
      </w:r>
    </w:p>
    <w:p w14:paraId="74695532" w14:textId="77777777" w:rsidR="00DD05AD" w:rsidRPr="005F4EC6" w:rsidRDefault="00DD05AD" w:rsidP="00DD05AD">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b/>
          <w:bCs/>
          <w:sz w:val="22"/>
          <w:szCs w:val="22"/>
          <w:lang w:val="en-US"/>
        </w:rPr>
        <w:t>Authors:</w:t>
      </w:r>
      <w:r w:rsidRPr="005F4EC6">
        <w:rPr>
          <w:rFonts w:ascii="Times New Roman" w:hAnsi="Times New Roman" w:cs="Times New Roman"/>
          <w:sz w:val="22"/>
          <w:szCs w:val="22"/>
          <w:lang w:val="en-US"/>
        </w:rPr>
        <w:t xml:space="preserve"> Yidan Xu</w:t>
      </w:r>
      <w:r w:rsidRPr="005F4EC6">
        <w:rPr>
          <w:rFonts w:ascii="Times New Roman" w:hAnsi="Times New Roman" w:cs="Times New Roman"/>
          <w:sz w:val="22"/>
          <w:szCs w:val="22"/>
          <w:vertAlign w:val="superscript"/>
          <w:lang w:val="en-US"/>
        </w:rPr>
        <w:t>a</w:t>
      </w:r>
      <w:r w:rsidRPr="005F4EC6">
        <w:rPr>
          <w:rFonts w:ascii="Times New Roman" w:hAnsi="Times New Roman" w:cs="Times New Roman"/>
          <w:sz w:val="22"/>
          <w:szCs w:val="22"/>
          <w:lang w:val="en-US"/>
        </w:rPr>
        <w:t>; Laura Carman</w:t>
      </w:r>
      <w:r w:rsidRPr="005F4EC6">
        <w:rPr>
          <w:rFonts w:ascii="Times New Roman" w:hAnsi="Times New Roman" w:cs="Times New Roman"/>
          <w:sz w:val="22"/>
          <w:szCs w:val="22"/>
          <w:vertAlign w:val="superscript"/>
          <w:lang w:val="en-US"/>
        </w:rPr>
        <w:t>a</w:t>
      </w:r>
      <w:r w:rsidRPr="005F4EC6">
        <w:rPr>
          <w:rFonts w:ascii="Times New Roman" w:hAnsi="Times New Roman" w:cs="Times New Roman"/>
          <w:sz w:val="22"/>
          <w:szCs w:val="22"/>
          <w:lang w:val="en-US"/>
        </w:rPr>
        <w:t xml:space="preserve">; Thor </w:t>
      </w:r>
      <w:proofErr w:type="spellStart"/>
      <w:proofErr w:type="gramStart"/>
      <w:r w:rsidRPr="005F4EC6">
        <w:rPr>
          <w:rFonts w:ascii="Times New Roman" w:hAnsi="Times New Roman" w:cs="Times New Roman"/>
          <w:sz w:val="22"/>
          <w:szCs w:val="22"/>
          <w:lang w:val="en-US"/>
        </w:rPr>
        <w:t>Besier</w:t>
      </w:r>
      <w:r w:rsidRPr="005F4EC6">
        <w:rPr>
          <w:rFonts w:ascii="Times New Roman" w:hAnsi="Times New Roman" w:cs="Times New Roman"/>
          <w:sz w:val="22"/>
          <w:szCs w:val="22"/>
          <w:vertAlign w:val="superscript"/>
          <w:lang w:val="en-US"/>
        </w:rPr>
        <w:t>a,b</w:t>
      </w:r>
      <w:proofErr w:type="spellEnd"/>
      <w:proofErr w:type="gramEnd"/>
      <w:r w:rsidRPr="005F4EC6">
        <w:rPr>
          <w:rFonts w:ascii="Times New Roman" w:hAnsi="Times New Roman" w:cs="Times New Roman"/>
          <w:sz w:val="22"/>
          <w:szCs w:val="22"/>
          <w:lang w:val="en-US"/>
        </w:rPr>
        <w:t xml:space="preserve">; Julie </w:t>
      </w:r>
      <w:proofErr w:type="spellStart"/>
      <w:r w:rsidRPr="005F4EC6">
        <w:rPr>
          <w:rFonts w:ascii="Times New Roman" w:hAnsi="Times New Roman" w:cs="Times New Roman"/>
          <w:sz w:val="22"/>
          <w:szCs w:val="22"/>
          <w:lang w:val="en-US"/>
        </w:rPr>
        <w:t>Choisne</w:t>
      </w:r>
      <w:r w:rsidRPr="005F4EC6">
        <w:rPr>
          <w:rFonts w:ascii="Times New Roman" w:hAnsi="Times New Roman" w:cs="Times New Roman"/>
          <w:sz w:val="22"/>
          <w:szCs w:val="22"/>
          <w:vertAlign w:val="superscript"/>
          <w:lang w:val="en-US"/>
        </w:rPr>
        <w:t>a</w:t>
      </w:r>
      <w:proofErr w:type="spellEnd"/>
      <w:r w:rsidRPr="005F4EC6">
        <w:rPr>
          <w:rFonts w:ascii="Times New Roman" w:hAnsi="Times New Roman" w:cs="Times New Roman"/>
          <w:sz w:val="22"/>
          <w:szCs w:val="22"/>
          <w:vertAlign w:val="superscript"/>
          <w:lang w:val="en-US"/>
        </w:rPr>
        <w:t>*</w:t>
      </w:r>
    </w:p>
    <w:p w14:paraId="07F64465" w14:textId="77777777" w:rsidR="00DD05AD" w:rsidRPr="005F4EC6" w:rsidRDefault="00DD05AD" w:rsidP="00DD05AD">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sz w:val="22"/>
          <w:szCs w:val="22"/>
          <w:lang w:val="en-US"/>
        </w:rPr>
        <w:t>a.  Auckland Bioengineering Institute, The University of Auckland, Auckland, New Zealand.</w:t>
      </w:r>
    </w:p>
    <w:p w14:paraId="0DAA9975" w14:textId="77777777" w:rsidR="00DD05AD" w:rsidRPr="005F4EC6" w:rsidRDefault="00DD05AD" w:rsidP="00DD05AD">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sz w:val="22"/>
          <w:szCs w:val="22"/>
          <w:lang w:val="en-US"/>
        </w:rPr>
        <w:t>b. Department of Engineering Science and biomedical engineering, The University of Auckland, Auckland, New Zealand.</w:t>
      </w:r>
    </w:p>
    <w:p w14:paraId="64CDCAE9" w14:textId="77777777" w:rsidR="00DD05AD" w:rsidRPr="005F4EC6" w:rsidRDefault="00DD05AD" w:rsidP="00DD05AD">
      <w:pPr>
        <w:spacing w:after="0" w:line="480" w:lineRule="auto"/>
        <w:jc w:val="both"/>
        <w:rPr>
          <w:rFonts w:ascii="Times New Roman" w:hAnsi="Times New Roman" w:cs="Times New Roman"/>
          <w:b/>
          <w:bCs/>
          <w:sz w:val="22"/>
          <w:szCs w:val="22"/>
          <w:lang w:val="en-US"/>
        </w:rPr>
      </w:pPr>
      <w:r w:rsidRPr="005F4EC6">
        <w:rPr>
          <w:rFonts w:ascii="Times New Roman" w:hAnsi="Times New Roman" w:cs="Times New Roman"/>
          <w:b/>
          <w:bCs/>
          <w:sz w:val="22"/>
          <w:szCs w:val="22"/>
          <w:lang w:val="en-US"/>
        </w:rPr>
        <w:t>*Corresponding Author:</w:t>
      </w:r>
    </w:p>
    <w:p w14:paraId="45EE2955" w14:textId="77777777" w:rsidR="00DD05AD" w:rsidRPr="005F4EC6" w:rsidRDefault="00DD05AD" w:rsidP="00DD05AD">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sz w:val="22"/>
          <w:szCs w:val="22"/>
          <w:lang w:val="en-US"/>
        </w:rPr>
        <w:t xml:space="preserve">Julie </w:t>
      </w:r>
      <w:proofErr w:type="spellStart"/>
      <w:r w:rsidRPr="005F4EC6">
        <w:rPr>
          <w:rFonts w:ascii="Times New Roman" w:hAnsi="Times New Roman" w:cs="Times New Roman"/>
          <w:sz w:val="22"/>
          <w:szCs w:val="22"/>
          <w:lang w:val="en-US"/>
        </w:rPr>
        <w:t>Choisne</w:t>
      </w:r>
      <w:proofErr w:type="spellEnd"/>
      <w:r w:rsidRPr="005F4EC6">
        <w:rPr>
          <w:rFonts w:ascii="Times New Roman" w:hAnsi="Times New Roman" w:cs="Times New Roman"/>
          <w:sz w:val="22"/>
          <w:szCs w:val="22"/>
          <w:lang w:val="en-US"/>
        </w:rPr>
        <w:t>, PhD</w:t>
      </w:r>
    </w:p>
    <w:p w14:paraId="5CB46FCE" w14:textId="77777777" w:rsidR="00DD05AD" w:rsidRPr="005F4EC6" w:rsidRDefault="00DD05AD" w:rsidP="00DD05AD">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sz w:val="22"/>
          <w:szCs w:val="22"/>
          <w:lang w:val="en-US"/>
        </w:rPr>
        <w:t>70 Symonds Street, Auckland, NZ</w:t>
      </w:r>
    </w:p>
    <w:p w14:paraId="59FF826E" w14:textId="3406F443" w:rsidR="00DD05AD" w:rsidRPr="005F4EC6" w:rsidRDefault="00DD05AD" w:rsidP="005F4EC6">
      <w:pPr>
        <w:spacing w:after="0" w:line="480" w:lineRule="auto"/>
        <w:jc w:val="both"/>
        <w:rPr>
          <w:rFonts w:ascii="Times New Roman" w:hAnsi="Times New Roman" w:cs="Times New Roman"/>
          <w:sz w:val="22"/>
          <w:szCs w:val="22"/>
          <w:lang w:val="en-US"/>
        </w:rPr>
      </w:pPr>
      <w:r w:rsidRPr="005F4EC6">
        <w:rPr>
          <w:rFonts w:ascii="Times New Roman" w:hAnsi="Times New Roman" w:cs="Times New Roman"/>
          <w:sz w:val="22"/>
          <w:szCs w:val="22"/>
          <w:lang w:val="en-US"/>
        </w:rPr>
        <w:t>j.choisne@auckland.ac.nz</w:t>
      </w:r>
    </w:p>
    <w:p w14:paraId="384CB195" w14:textId="7C2549D8" w:rsidR="00785761" w:rsidRPr="005F4EC6" w:rsidRDefault="00802742" w:rsidP="005F4EC6">
      <w:pPr>
        <w:spacing w:before="120" w:after="120" w:line="480" w:lineRule="auto"/>
        <w:rPr>
          <w:rFonts w:ascii="Times New Roman" w:hAnsi="Times New Roman" w:cs="Times New Roman"/>
          <w:sz w:val="28"/>
          <w:szCs w:val="28"/>
        </w:rPr>
      </w:pPr>
      <w:r>
        <w:rPr>
          <w:rFonts w:ascii="Times New Roman" w:hAnsi="Times New Roman" w:cs="Times New Roman"/>
          <w:sz w:val="28"/>
          <w:szCs w:val="28"/>
        </w:rPr>
        <w:t>S</w:t>
      </w:r>
      <w:r w:rsidR="00DD7E5F" w:rsidRPr="005F4EC6">
        <w:rPr>
          <w:rFonts w:ascii="Times New Roman" w:hAnsi="Times New Roman" w:cs="Times New Roman"/>
          <w:sz w:val="28"/>
          <w:szCs w:val="28"/>
        </w:rPr>
        <w:t xml:space="preserve">1. </w:t>
      </w:r>
      <w:r w:rsidR="00F63B4D">
        <w:rPr>
          <w:rFonts w:ascii="Times New Roman" w:hAnsi="Times New Roman" w:cs="Times New Roman"/>
          <w:sz w:val="28"/>
          <w:szCs w:val="28"/>
        </w:rPr>
        <w:t>Tibia m</w:t>
      </w:r>
      <w:r w:rsidR="00DD7E5F" w:rsidRPr="005F4EC6">
        <w:rPr>
          <w:rFonts w:ascii="Times New Roman" w:hAnsi="Times New Roman" w:cs="Times New Roman"/>
          <w:sz w:val="28"/>
          <w:szCs w:val="28"/>
        </w:rPr>
        <w:t>esh morphing quality</w:t>
      </w:r>
    </w:p>
    <w:p w14:paraId="6CC1B0B8" w14:textId="53B071E2" w:rsidR="00DD7E5F" w:rsidRDefault="00DD7E5F" w:rsidP="00DD7E5F">
      <w:pPr>
        <w:spacing w:before="120" w:after="120" w:line="480" w:lineRule="auto"/>
        <w:jc w:val="both"/>
        <w:rPr>
          <w:rFonts w:ascii="Times New Roman" w:eastAsia="SimSun" w:hAnsi="Times New Roman" w:cs="Times New Roman"/>
          <w:sz w:val="22"/>
          <w:szCs w:val="22"/>
          <w:lang w:eastAsia="en-US"/>
        </w:rPr>
      </w:pPr>
      <w:r w:rsidRPr="00DD7E5F">
        <w:rPr>
          <w:rFonts w:ascii="Times New Roman" w:eastAsia="SimSun" w:hAnsi="Times New Roman" w:cs="Times New Roman"/>
          <w:sz w:val="22"/>
          <w:szCs w:val="22"/>
          <w:lang w:eastAsia="en-US"/>
        </w:rPr>
        <w:t>Mesh quality of the morphed meshes was assessed using average and standard deviations of the radius ratio (Fig</w:t>
      </w:r>
      <w:r w:rsidR="00802742">
        <w:rPr>
          <w:rFonts w:ascii="Times New Roman" w:eastAsia="SimSun" w:hAnsi="Times New Roman" w:cs="Times New Roman"/>
          <w:sz w:val="22"/>
          <w:szCs w:val="22"/>
          <w:lang w:eastAsia="en-US"/>
        </w:rPr>
        <w:t>.</w:t>
      </w:r>
      <w:r w:rsidRPr="00DD7E5F">
        <w:rPr>
          <w:rFonts w:ascii="Times New Roman" w:eastAsia="SimSun" w:hAnsi="Times New Roman" w:cs="Times New Roman"/>
          <w:sz w:val="22"/>
          <w:szCs w:val="22"/>
          <w:lang w:eastAsia="en-US"/>
        </w:rPr>
        <w:t xml:space="preserve"> </w:t>
      </w:r>
      <w:r w:rsidR="00802742">
        <w:rPr>
          <w:rFonts w:ascii="Times New Roman" w:eastAsia="SimSun" w:hAnsi="Times New Roman" w:cs="Times New Roman"/>
          <w:sz w:val="22"/>
          <w:szCs w:val="22"/>
          <w:lang w:eastAsia="en-US"/>
        </w:rPr>
        <w:t>S</w:t>
      </w:r>
      <w:r w:rsidRPr="00DD7E5F">
        <w:rPr>
          <w:rFonts w:ascii="Times New Roman" w:eastAsia="SimSun" w:hAnsi="Times New Roman" w:cs="Times New Roman"/>
          <w:sz w:val="22"/>
          <w:szCs w:val="22"/>
          <w:lang w:eastAsia="en-US"/>
        </w:rPr>
        <w:t>1). The average quality values of morphed meshes was 1.</w:t>
      </w:r>
      <w:r>
        <w:rPr>
          <w:rFonts w:ascii="Times New Roman" w:eastAsia="SimSun" w:hAnsi="Times New Roman" w:cs="Times New Roman"/>
          <w:sz w:val="22"/>
          <w:szCs w:val="22"/>
          <w:lang w:eastAsia="en-US"/>
        </w:rPr>
        <w:t>50</w:t>
      </w:r>
      <w:r w:rsidRPr="00DD7E5F">
        <w:rPr>
          <w:rFonts w:ascii="Times New Roman" w:eastAsia="SimSun" w:hAnsi="Times New Roman" w:cs="Times New Roman"/>
          <w:sz w:val="22"/>
          <w:szCs w:val="22"/>
          <w:lang w:eastAsia="en-US"/>
        </w:rPr>
        <w:t xml:space="preserve"> ± 0.05. These values were comparable to those of the template meshes </w:t>
      </w:r>
      <w:r w:rsidR="00DD6CE6">
        <w:rPr>
          <w:rFonts w:ascii="Times New Roman" w:eastAsia="SimSun" w:hAnsi="Times New Roman" w:cs="Times New Roman"/>
          <w:sz w:val="22"/>
          <w:szCs w:val="22"/>
          <w:lang w:eastAsia="en-US"/>
        </w:rPr>
        <w:t>1.3</w:t>
      </w:r>
      <w:r w:rsidR="009A36E8">
        <w:rPr>
          <w:rFonts w:ascii="Times New Roman" w:eastAsia="SimSun" w:hAnsi="Times New Roman" w:cs="Times New Roman"/>
          <w:sz w:val="22"/>
          <w:szCs w:val="22"/>
          <w:lang w:eastAsia="en-US"/>
        </w:rPr>
        <w:t>8</w:t>
      </w:r>
      <w:r w:rsidRPr="00DD7E5F">
        <w:rPr>
          <w:rFonts w:ascii="Times New Roman" w:eastAsia="SimSun" w:hAnsi="Times New Roman" w:cs="Times New Roman"/>
          <w:sz w:val="22"/>
          <w:szCs w:val="22"/>
          <w:lang w:eastAsia="en-US"/>
        </w:rPr>
        <w:t xml:space="preserve"> ± 0.</w:t>
      </w:r>
      <w:r w:rsidR="009A36E8">
        <w:rPr>
          <w:rFonts w:ascii="Times New Roman" w:eastAsia="SimSun" w:hAnsi="Times New Roman" w:cs="Times New Roman"/>
          <w:sz w:val="22"/>
          <w:szCs w:val="22"/>
          <w:lang w:eastAsia="en-US"/>
        </w:rPr>
        <w:t>49</w:t>
      </w:r>
      <w:r w:rsidRPr="00DD7E5F">
        <w:rPr>
          <w:rFonts w:ascii="Times New Roman" w:eastAsia="SimSun" w:hAnsi="Times New Roman" w:cs="Times New Roman"/>
          <w:sz w:val="22"/>
          <w:szCs w:val="22"/>
          <w:lang w:eastAsia="en-US"/>
        </w:rPr>
        <w:t>, indicating that the quality of the morphed meshes was maintained. Some morphed meshes exhibited higher radius ratio values than the template. Specifically, the maximum radius ratio values for the morphed meshes was 1.7</w:t>
      </w:r>
      <w:r>
        <w:rPr>
          <w:rFonts w:ascii="Times New Roman" w:eastAsia="SimSun" w:hAnsi="Times New Roman" w:cs="Times New Roman"/>
          <w:sz w:val="22"/>
          <w:szCs w:val="22"/>
          <w:lang w:eastAsia="en-US"/>
        </w:rPr>
        <w:t>1</w:t>
      </w:r>
      <w:r w:rsidRPr="00DD7E5F">
        <w:rPr>
          <w:rFonts w:ascii="Times New Roman" w:eastAsia="SimSun" w:hAnsi="Times New Roman" w:cs="Times New Roman"/>
          <w:sz w:val="22"/>
          <w:szCs w:val="22"/>
          <w:lang w:eastAsia="en-US"/>
        </w:rPr>
        <w:t xml:space="preserve"> ± 1.</w:t>
      </w:r>
      <w:r>
        <w:rPr>
          <w:rFonts w:ascii="Times New Roman" w:eastAsia="SimSun" w:hAnsi="Times New Roman" w:cs="Times New Roman"/>
          <w:sz w:val="22"/>
          <w:szCs w:val="22"/>
          <w:lang w:eastAsia="en-US"/>
        </w:rPr>
        <w:t>3</w:t>
      </w:r>
      <w:r w:rsidRPr="00DD7E5F">
        <w:rPr>
          <w:rFonts w:ascii="Times New Roman" w:eastAsia="SimSun" w:hAnsi="Times New Roman" w:cs="Times New Roman"/>
          <w:sz w:val="22"/>
          <w:szCs w:val="22"/>
          <w:lang w:eastAsia="en-US"/>
        </w:rPr>
        <w:t xml:space="preserve">, which is from the left femur of a </w:t>
      </w:r>
      <w:r>
        <w:rPr>
          <w:rFonts w:ascii="Times New Roman" w:eastAsia="SimSun" w:hAnsi="Times New Roman" w:cs="Times New Roman"/>
          <w:sz w:val="22"/>
          <w:szCs w:val="22"/>
          <w:lang w:eastAsia="en-US"/>
        </w:rPr>
        <w:t>15</w:t>
      </w:r>
      <w:r w:rsidRPr="00DD7E5F">
        <w:rPr>
          <w:rFonts w:ascii="Times New Roman" w:eastAsia="SimSun" w:hAnsi="Times New Roman" w:cs="Times New Roman"/>
          <w:sz w:val="22"/>
          <w:szCs w:val="22"/>
          <w:lang w:eastAsia="en-US"/>
        </w:rPr>
        <w:t>-year-old participant.</w:t>
      </w:r>
    </w:p>
    <w:p w14:paraId="558A99B1" w14:textId="77777777" w:rsidR="006F34A8" w:rsidRDefault="006F34A8" w:rsidP="00DD7E5F">
      <w:pPr>
        <w:spacing w:before="120" w:after="120" w:line="480" w:lineRule="auto"/>
        <w:jc w:val="both"/>
        <w:rPr>
          <w:rFonts w:ascii="Times New Roman" w:eastAsia="SimSun" w:hAnsi="Times New Roman" w:cs="Times New Roman"/>
          <w:sz w:val="22"/>
          <w:szCs w:val="22"/>
          <w:lang w:eastAsia="en-US"/>
        </w:rPr>
      </w:pPr>
    </w:p>
    <w:p w14:paraId="77B73199" w14:textId="77777777" w:rsidR="006F34A8" w:rsidRDefault="006F34A8" w:rsidP="00D97C97">
      <w:pPr>
        <w:jc w:val="center"/>
        <w:rPr>
          <w:sz w:val="22"/>
          <w:szCs w:val="22"/>
        </w:rPr>
      </w:pPr>
    </w:p>
    <w:p w14:paraId="1560911F" w14:textId="77777777" w:rsidR="006F34A8" w:rsidRDefault="006F34A8" w:rsidP="00D97C97">
      <w:pPr>
        <w:jc w:val="center"/>
        <w:rPr>
          <w:sz w:val="22"/>
          <w:szCs w:val="22"/>
        </w:rPr>
      </w:pPr>
    </w:p>
    <w:p w14:paraId="499270BC" w14:textId="77777777" w:rsidR="006F34A8" w:rsidRDefault="006F34A8" w:rsidP="00D97C97">
      <w:pPr>
        <w:jc w:val="center"/>
        <w:rPr>
          <w:sz w:val="22"/>
          <w:szCs w:val="22"/>
        </w:rPr>
      </w:pPr>
    </w:p>
    <w:p w14:paraId="7E28A9AC" w14:textId="77777777" w:rsidR="006F34A8" w:rsidRDefault="006F34A8" w:rsidP="00D97C97">
      <w:pPr>
        <w:jc w:val="center"/>
        <w:rPr>
          <w:sz w:val="22"/>
          <w:szCs w:val="22"/>
        </w:rPr>
      </w:pPr>
    </w:p>
    <w:p w14:paraId="615607A6" w14:textId="77777777" w:rsidR="006F34A8" w:rsidRDefault="006F34A8" w:rsidP="00D97C97">
      <w:pPr>
        <w:jc w:val="center"/>
        <w:rPr>
          <w:sz w:val="22"/>
          <w:szCs w:val="22"/>
        </w:rPr>
      </w:pPr>
    </w:p>
    <w:p w14:paraId="3C35D5CD" w14:textId="77777777" w:rsidR="006F34A8" w:rsidRDefault="006F34A8" w:rsidP="00D97C97">
      <w:pPr>
        <w:jc w:val="center"/>
        <w:rPr>
          <w:sz w:val="22"/>
          <w:szCs w:val="22"/>
        </w:rPr>
      </w:pPr>
    </w:p>
    <w:p w14:paraId="5FED6371" w14:textId="77777777" w:rsidR="006F34A8" w:rsidRDefault="006F34A8" w:rsidP="00D97C97">
      <w:pPr>
        <w:jc w:val="center"/>
        <w:rPr>
          <w:sz w:val="22"/>
          <w:szCs w:val="22"/>
        </w:rPr>
      </w:pPr>
    </w:p>
    <w:p w14:paraId="535246AB" w14:textId="77777777" w:rsidR="006F34A8" w:rsidRDefault="006F34A8" w:rsidP="00D97C97">
      <w:pPr>
        <w:jc w:val="center"/>
        <w:rPr>
          <w:sz w:val="22"/>
          <w:szCs w:val="22"/>
        </w:rPr>
      </w:pPr>
    </w:p>
    <w:p w14:paraId="137F41FD" w14:textId="20E82C01" w:rsidR="006F34A8" w:rsidRPr="00802742" w:rsidRDefault="006F34A8" w:rsidP="006F34A8">
      <w:pPr>
        <w:spacing w:after="0" w:line="480" w:lineRule="auto"/>
        <w:jc w:val="both"/>
        <w:rPr>
          <w:rFonts w:ascii="Times New Roman" w:hAnsi="Times New Roman" w:cs="Times New Roman"/>
          <w:sz w:val="22"/>
          <w:szCs w:val="22"/>
        </w:rPr>
      </w:pPr>
      <w:r w:rsidRPr="00802742">
        <w:rPr>
          <w:rFonts w:ascii="Times New Roman" w:hAnsi="Times New Roman" w:cs="Times New Roman"/>
          <w:sz w:val="22"/>
          <w:szCs w:val="22"/>
        </w:rPr>
        <w:lastRenderedPageBreak/>
        <w:t>(a)</w:t>
      </w:r>
    </w:p>
    <w:p w14:paraId="41066A26" w14:textId="34AC1AF1" w:rsidR="00D97C97" w:rsidRDefault="00785761" w:rsidP="00D97C97">
      <w:pPr>
        <w:jc w:val="center"/>
        <w:rPr>
          <w:sz w:val="22"/>
          <w:szCs w:val="22"/>
        </w:rPr>
      </w:pPr>
      <w:r>
        <w:rPr>
          <w:noProof/>
        </w:rPr>
        <w:drawing>
          <wp:inline distT="0" distB="0" distL="0" distR="0" wp14:anchorId="06155FEB" wp14:editId="57962CEB">
            <wp:extent cx="5303520" cy="2651760"/>
            <wp:effectExtent l="0" t="0" r="0" b="0"/>
            <wp:docPr id="1397492098" name="Picture 3" descr="A graph of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92098" name="Picture 3" descr="A graph of blue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03520" cy="2651760"/>
                    </a:xfrm>
                    <a:prstGeom prst="rect">
                      <a:avLst/>
                    </a:prstGeom>
                  </pic:spPr>
                </pic:pic>
              </a:graphicData>
            </a:graphic>
          </wp:inline>
        </w:drawing>
      </w:r>
    </w:p>
    <w:p w14:paraId="0E70F367" w14:textId="34A4B04A" w:rsidR="006F34A8" w:rsidRPr="00802742" w:rsidRDefault="006F34A8" w:rsidP="006F34A8">
      <w:pPr>
        <w:spacing w:after="0" w:line="480" w:lineRule="auto"/>
        <w:jc w:val="both"/>
        <w:rPr>
          <w:rFonts w:ascii="Times New Roman" w:hAnsi="Times New Roman" w:cs="Times New Roman"/>
          <w:sz w:val="22"/>
          <w:szCs w:val="22"/>
        </w:rPr>
      </w:pPr>
      <w:r w:rsidRPr="00802742">
        <w:rPr>
          <w:rFonts w:ascii="Times New Roman" w:hAnsi="Times New Roman" w:cs="Times New Roman"/>
          <w:sz w:val="22"/>
          <w:szCs w:val="22"/>
        </w:rPr>
        <w:t>(b)</w:t>
      </w:r>
    </w:p>
    <w:p w14:paraId="25622CF5" w14:textId="365875C7" w:rsidR="00785761" w:rsidRPr="00CA6FC8" w:rsidRDefault="00DD7E5F" w:rsidP="00D97C97">
      <w:pPr>
        <w:jc w:val="center"/>
        <w:rPr>
          <w:sz w:val="22"/>
          <w:szCs w:val="22"/>
        </w:rPr>
      </w:pPr>
      <w:r w:rsidRPr="00CA6FC8">
        <w:rPr>
          <w:noProof/>
          <w:sz w:val="22"/>
          <w:szCs w:val="22"/>
        </w:rPr>
        <w:drawing>
          <wp:inline distT="0" distB="0" distL="0" distR="0" wp14:anchorId="7AAB14DA" wp14:editId="39038871">
            <wp:extent cx="5364139" cy="2651760"/>
            <wp:effectExtent l="0" t="0" r="8255" b="0"/>
            <wp:docPr id="1557632129" name="Picture 1" descr="A graph of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32129" name="Picture 1" descr="A graph of blue lines&#10;&#10;Description automatically generated with medium confidence"/>
                    <pic:cNvPicPr/>
                  </pic:nvPicPr>
                  <pic:blipFill>
                    <a:blip r:embed="rId7"/>
                    <a:stretch>
                      <a:fillRect/>
                    </a:stretch>
                  </pic:blipFill>
                  <pic:spPr>
                    <a:xfrm>
                      <a:off x="0" y="0"/>
                      <a:ext cx="5364139" cy="2651760"/>
                    </a:xfrm>
                    <a:prstGeom prst="rect">
                      <a:avLst/>
                    </a:prstGeom>
                  </pic:spPr>
                </pic:pic>
              </a:graphicData>
            </a:graphic>
          </wp:inline>
        </w:drawing>
      </w:r>
    </w:p>
    <w:p w14:paraId="153243A1" w14:textId="44450E1C" w:rsidR="00785761" w:rsidRPr="00802742" w:rsidRDefault="00785761" w:rsidP="00785761">
      <w:pPr>
        <w:spacing w:before="120" w:after="120" w:line="480" w:lineRule="auto"/>
        <w:jc w:val="center"/>
        <w:rPr>
          <w:rFonts w:ascii="Times New Roman" w:eastAsia="SimSun" w:hAnsi="Times New Roman" w:cs="Times New Roman"/>
          <w:sz w:val="22"/>
          <w:szCs w:val="22"/>
          <w:lang w:eastAsia="en-US"/>
        </w:rPr>
      </w:pPr>
      <w:r w:rsidRPr="00802742">
        <w:rPr>
          <w:rFonts w:ascii="Times New Roman" w:eastAsia="SimSun" w:hAnsi="Times New Roman" w:cs="Times New Roman"/>
          <w:b/>
          <w:bCs/>
          <w:sz w:val="22"/>
          <w:szCs w:val="22"/>
          <w:lang w:eastAsia="en-US"/>
        </w:rPr>
        <w:t>Fig</w:t>
      </w:r>
      <w:r w:rsidR="00802742" w:rsidRPr="00802742">
        <w:rPr>
          <w:rFonts w:ascii="Times New Roman" w:eastAsia="SimSun" w:hAnsi="Times New Roman" w:cs="Times New Roman"/>
          <w:b/>
          <w:bCs/>
          <w:sz w:val="22"/>
          <w:szCs w:val="22"/>
          <w:lang w:eastAsia="en-US"/>
        </w:rPr>
        <w:t>.</w:t>
      </w:r>
      <w:r w:rsidRPr="00802742">
        <w:rPr>
          <w:rFonts w:ascii="Times New Roman" w:eastAsia="SimSun" w:hAnsi="Times New Roman" w:cs="Times New Roman"/>
          <w:b/>
          <w:bCs/>
          <w:sz w:val="22"/>
          <w:szCs w:val="22"/>
          <w:lang w:eastAsia="en-US"/>
        </w:rPr>
        <w:t xml:space="preserve"> </w:t>
      </w:r>
      <w:r w:rsidR="00802742" w:rsidRPr="00802742">
        <w:rPr>
          <w:rFonts w:ascii="Times New Roman" w:eastAsia="SimSun" w:hAnsi="Times New Roman" w:cs="Times New Roman"/>
          <w:b/>
          <w:bCs/>
          <w:sz w:val="22"/>
          <w:szCs w:val="22"/>
          <w:lang w:eastAsia="en-US"/>
        </w:rPr>
        <w:t>S</w:t>
      </w:r>
      <w:r w:rsidRPr="00802742">
        <w:rPr>
          <w:rFonts w:ascii="Times New Roman" w:eastAsia="SimSun" w:hAnsi="Times New Roman" w:cs="Times New Roman"/>
          <w:b/>
          <w:bCs/>
          <w:sz w:val="22"/>
          <w:szCs w:val="22"/>
          <w:lang w:eastAsia="en-US"/>
        </w:rPr>
        <w:t>1</w:t>
      </w:r>
      <w:r w:rsidRPr="00802742">
        <w:rPr>
          <w:rFonts w:ascii="Times New Roman" w:eastAsia="SimSun" w:hAnsi="Times New Roman" w:cs="Times New Roman"/>
          <w:sz w:val="22"/>
          <w:szCs w:val="22"/>
          <w:lang w:eastAsia="en-US"/>
        </w:rPr>
        <w:t xml:space="preserve"> Average values </w:t>
      </w:r>
      <w:r w:rsidR="00DD7E5F" w:rsidRPr="00802742">
        <w:rPr>
          <w:rFonts w:ascii="Times New Roman" w:eastAsia="SimSun" w:hAnsi="Times New Roman" w:cs="Times New Roman"/>
          <w:sz w:val="22"/>
          <w:szCs w:val="22"/>
          <w:lang w:eastAsia="en-US"/>
        </w:rPr>
        <w:t>(a) and standard deviation (b) of radius ratio</w:t>
      </w:r>
      <w:r w:rsidRPr="00802742">
        <w:rPr>
          <w:rFonts w:ascii="Times New Roman" w:eastAsia="SimSun" w:hAnsi="Times New Roman" w:cs="Times New Roman"/>
          <w:sz w:val="22"/>
          <w:szCs w:val="22"/>
          <w:lang w:eastAsia="en-US"/>
        </w:rPr>
        <w:t xml:space="preserve"> in morphed meshes for the tibia distributed by age</w:t>
      </w:r>
    </w:p>
    <w:p w14:paraId="2DB3622B" w14:textId="5A3C367B" w:rsidR="00DF220E" w:rsidRDefault="00DF220E" w:rsidP="00DF220E">
      <w:pPr>
        <w:spacing w:before="120" w:after="120" w:line="480" w:lineRule="auto"/>
        <w:rPr>
          <w:rFonts w:ascii="Times New Roman" w:hAnsi="Times New Roman" w:cs="Times New Roman"/>
          <w:sz w:val="28"/>
          <w:szCs w:val="28"/>
        </w:rPr>
      </w:pPr>
      <w:r w:rsidRPr="00493BAA">
        <w:rPr>
          <w:rFonts w:ascii="Times New Roman" w:hAnsi="Times New Roman" w:cs="Times New Roman"/>
          <w:sz w:val="28"/>
          <w:szCs w:val="28"/>
        </w:rPr>
        <w:t>S</w:t>
      </w:r>
      <w:r>
        <w:rPr>
          <w:rFonts w:ascii="Times New Roman" w:hAnsi="Times New Roman" w:cs="Times New Roman"/>
          <w:sz w:val="28"/>
          <w:szCs w:val="28"/>
        </w:rPr>
        <w:t>2</w:t>
      </w:r>
      <w:r w:rsidRPr="00493BAA">
        <w:rPr>
          <w:rFonts w:ascii="Times New Roman" w:hAnsi="Times New Roman" w:cs="Times New Roman"/>
          <w:sz w:val="28"/>
          <w:szCs w:val="28"/>
        </w:rPr>
        <w:t>. Influence of shape and density errors</w:t>
      </w:r>
    </w:p>
    <w:p w14:paraId="55C9CA43" w14:textId="6269C814" w:rsidR="00DF220E" w:rsidRPr="008404E5" w:rsidRDefault="00DF220E" w:rsidP="00DF220E">
      <w:pPr>
        <w:spacing w:before="120" w:after="120" w:line="480" w:lineRule="auto"/>
        <w:jc w:val="both"/>
        <w:rPr>
          <w:rFonts w:ascii="Times New Roman" w:eastAsia="SimSun" w:hAnsi="Times New Roman" w:cs="Times New Roman"/>
          <w:sz w:val="22"/>
          <w:szCs w:val="22"/>
          <w:lang w:eastAsia="en-US"/>
        </w:rPr>
      </w:pPr>
      <w:r w:rsidRPr="008404E5">
        <w:rPr>
          <w:rFonts w:ascii="Times New Roman" w:eastAsia="SimSun" w:hAnsi="Times New Roman" w:cs="Times New Roman"/>
          <w:sz w:val="22"/>
          <w:szCs w:val="22"/>
          <w:lang w:eastAsia="en-US"/>
        </w:rPr>
        <w:t xml:space="preserve">Angular </w:t>
      </w:r>
      <w:r>
        <w:rPr>
          <w:rFonts w:ascii="Times New Roman" w:eastAsia="SimSun" w:hAnsi="Times New Roman" w:cs="Times New Roman"/>
          <w:sz w:val="22"/>
          <w:szCs w:val="22"/>
          <w:lang w:eastAsia="en-US"/>
        </w:rPr>
        <w:t>and torsional measurements were defined as shown in Fig. S</w:t>
      </w:r>
      <w:r w:rsidR="00617193">
        <w:rPr>
          <w:rFonts w:ascii="Times New Roman" w:eastAsia="SimSun" w:hAnsi="Times New Roman" w:cs="Times New Roman"/>
          <w:sz w:val="22"/>
          <w:szCs w:val="22"/>
          <w:lang w:eastAsia="en-US"/>
        </w:rPr>
        <w:t>2</w:t>
      </w:r>
      <w:r>
        <w:rPr>
          <w:rFonts w:ascii="Times New Roman" w:eastAsia="SimSun" w:hAnsi="Times New Roman" w:cs="Times New Roman"/>
          <w:sz w:val="22"/>
          <w:szCs w:val="22"/>
          <w:lang w:eastAsia="en-US"/>
        </w:rPr>
        <w:t>.</w:t>
      </w:r>
    </w:p>
    <w:p w14:paraId="3961407C" w14:textId="77777777" w:rsidR="00DF220E" w:rsidRDefault="00DF220E" w:rsidP="00DF220E">
      <w:pPr>
        <w:spacing w:before="120" w:after="120" w:line="480" w:lineRule="auto"/>
        <w:jc w:val="both"/>
        <w:rPr>
          <w:rFonts w:ascii="Times New Roman" w:eastAsia="SimSun" w:hAnsi="Times New Roman" w:cs="Times New Roman"/>
          <w:sz w:val="22"/>
          <w:szCs w:val="22"/>
          <w:lang w:eastAsia="en-US"/>
        </w:rPr>
      </w:pPr>
      <w:r w:rsidRPr="00575991">
        <w:rPr>
          <w:rFonts w:ascii="Times New Roman" w:eastAsia="SimSun" w:hAnsi="Times New Roman" w:cs="Times New Roman"/>
          <w:sz w:val="22"/>
          <w:szCs w:val="22"/>
          <w:lang w:eastAsia="en-US"/>
        </w:rPr>
        <w:t>Neck-shaft angle</w:t>
      </w:r>
      <w:r>
        <w:rPr>
          <w:rFonts w:ascii="Times New Roman" w:eastAsia="SimSun" w:hAnsi="Times New Roman" w:cs="Times New Roman"/>
          <w:sz w:val="22"/>
          <w:szCs w:val="22"/>
          <w:lang w:eastAsia="en-US"/>
        </w:rPr>
        <w:t xml:space="preserve"> </w:t>
      </w:r>
      <w:sdt>
        <w:sdtPr>
          <w:rPr>
            <w:rFonts w:ascii="Times New Roman" w:eastAsia="SimSun" w:hAnsi="Times New Roman" w:cs="Times New Roman"/>
            <w:color w:val="000000"/>
            <w:sz w:val="22"/>
            <w:szCs w:val="22"/>
            <w:lang w:eastAsia="en-US"/>
          </w:rPr>
          <w:tag w:val="MENDELEY_CITATION_v3_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"/>
          <w:id w:val="-2122914031"/>
          <w:placeholder>
            <w:docPart w:val="80E5519F4B844C10999F48946AD74D6C"/>
          </w:placeholder>
        </w:sdtPr>
        <w:sdtEndPr/>
        <w:sdtContent>
          <w:r w:rsidRPr="00E1009B">
            <w:rPr>
              <w:rFonts w:ascii="Times New Roman" w:eastAsia="SimSun" w:hAnsi="Times New Roman" w:cs="Times New Roman"/>
              <w:color w:val="000000"/>
              <w:sz w:val="22"/>
              <w:szCs w:val="22"/>
              <w:lang w:eastAsia="en-US"/>
            </w:rPr>
            <w:t>(Carman et al. 2023)</w:t>
          </w:r>
        </w:sdtContent>
      </w:sdt>
      <w:r>
        <w:rPr>
          <w:rFonts w:ascii="Times New Roman" w:eastAsia="SimSun" w:hAnsi="Times New Roman" w:cs="Times New Roman"/>
          <w:sz w:val="22"/>
          <w:szCs w:val="22"/>
          <w:lang w:eastAsia="en-US"/>
        </w:rPr>
        <w:t xml:space="preserve">: </w:t>
      </w:r>
      <w:r w:rsidRPr="00010E0F">
        <w:rPr>
          <w:rFonts w:ascii="Times New Roman" w:eastAsia="SimSun" w:hAnsi="Times New Roman" w:cs="Times New Roman"/>
          <w:sz w:val="22"/>
          <w:szCs w:val="22"/>
          <w:lang w:eastAsia="en-US"/>
        </w:rPr>
        <w:t>angle between the neck axis of the femur and the shaft axis of the femur (measured</w:t>
      </w:r>
      <w:r>
        <w:rPr>
          <w:rFonts w:ascii="Times New Roman" w:eastAsia="SimSun" w:hAnsi="Times New Roman" w:cs="Times New Roman"/>
          <w:sz w:val="22"/>
          <w:szCs w:val="22"/>
          <w:lang w:eastAsia="en-US"/>
        </w:rPr>
        <w:t xml:space="preserve"> </w:t>
      </w:r>
      <w:r w:rsidRPr="00010E0F">
        <w:rPr>
          <w:rFonts w:ascii="Times New Roman" w:eastAsia="SimSun" w:hAnsi="Times New Roman" w:cs="Times New Roman"/>
          <w:sz w:val="22"/>
          <w:szCs w:val="22"/>
          <w:lang w:eastAsia="en-US"/>
        </w:rPr>
        <w:t>between</w:t>
      </w:r>
      <w:r>
        <w:rPr>
          <w:rFonts w:ascii="Times New Roman" w:eastAsia="SimSun" w:hAnsi="Times New Roman" w:cs="Times New Roman"/>
          <w:sz w:val="22"/>
          <w:szCs w:val="22"/>
          <w:lang w:eastAsia="en-US"/>
        </w:rPr>
        <w:t xml:space="preserve"> </w:t>
      </w:r>
      <w:r w:rsidRPr="00010E0F">
        <w:rPr>
          <w:rFonts w:ascii="Times New Roman" w:eastAsia="SimSun" w:hAnsi="Times New Roman" w:cs="Times New Roman"/>
          <w:sz w:val="22"/>
          <w:szCs w:val="22"/>
          <w:lang w:eastAsia="en-US"/>
        </w:rPr>
        <w:t>the centre of a cylinder fit to the femoral shaft below the lower trochanter and the midpoint of</w:t>
      </w:r>
      <w:r>
        <w:rPr>
          <w:rFonts w:ascii="Times New Roman" w:eastAsia="SimSun" w:hAnsi="Times New Roman" w:cs="Times New Roman"/>
          <w:sz w:val="22"/>
          <w:szCs w:val="22"/>
          <w:lang w:eastAsia="en-US"/>
        </w:rPr>
        <w:t xml:space="preserve"> </w:t>
      </w:r>
      <w:r w:rsidRPr="00010E0F">
        <w:rPr>
          <w:rFonts w:ascii="Times New Roman" w:eastAsia="SimSun" w:hAnsi="Times New Roman" w:cs="Times New Roman"/>
          <w:sz w:val="22"/>
          <w:szCs w:val="22"/>
          <w:lang w:eastAsia="en-US"/>
        </w:rPr>
        <w:t>the centre of</w:t>
      </w:r>
      <w:r>
        <w:rPr>
          <w:rFonts w:ascii="Times New Roman" w:eastAsia="SimSun" w:hAnsi="Times New Roman" w:cs="Times New Roman"/>
          <w:sz w:val="22"/>
          <w:szCs w:val="22"/>
          <w:lang w:eastAsia="en-US"/>
        </w:rPr>
        <w:t xml:space="preserve"> </w:t>
      </w:r>
      <w:r w:rsidRPr="00010E0F">
        <w:rPr>
          <w:rFonts w:ascii="Times New Roman" w:eastAsia="SimSun" w:hAnsi="Times New Roman" w:cs="Times New Roman"/>
          <w:sz w:val="22"/>
          <w:szCs w:val="22"/>
          <w:lang w:eastAsia="en-US"/>
        </w:rPr>
        <w:t>a cylinder fit to each femoral condyle)</w:t>
      </w:r>
      <w:r>
        <w:rPr>
          <w:rFonts w:ascii="Times New Roman" w:eastAsia="SimSun" w:hAnsi="Times New Roman" w:cs="Times New Roman"/>
          <w:sz w:val="22"/>
          <w:szCs w:val="22"/>
          <w:lang w:eastAsia="en-US"/>
        </w:rPr>
        <w:t>.</w:t>
      </w:r>
    </w:p>
    <w:p w14:paraId="62F3AE36" w14:textId="77777777" w:rsidR="00DF220E" w:rsidRDefault="00DF220E" w:rsidP="00DF220E">
      <w:pPr>
        <w:spacing w:before="120" w:after="120" w:line="480" w:lineRule="auto"/>
        <w:jc w:val="both"/>
        <w:rPr>
          <w:rFonts w:ascii="Times New Roman" w:eastAsia="SimSun" w:hAnsi="Times New Roman" w:cs="Times New Roman"/>
          <w:sz w:val="22"/>
          <w:szCs w:val="22"/>
          <w:lang w:eastAsia="en-US"/>
        </w:rPr>
      </w:pPr>
      <w:r w:rsidRPr="00575991">
        <w:rPr>
          <w:rFonts w:ascii="Times New Roman" w:eastAsia="SimSun" w:hAnsi="Times New Roman" w:cs="Times New Roman"/>
          <w:sz w:val="22"/>
          <w:szCs w:val="22"/>
          <w:lang w:eastAsia="en-US"/>
        </w:rPr>
        <w:lastRenderedPageBreak/>
        <w:t>Anteversion angle</w:t>
      </w:r>
      <w:r>
        <w:rPr>
          <w:rFonts w:ascii="Times New Roman" w:eastAsia="SimSun" w:hAnsi="Times New Roman" w:cs="Times New Roman"/>
          <w:sz w:val="22"/>
          <w:szCs w:val="22"/>
          <w:lang w:eastAsia="en-US"/>
        </w:rPr>
        <w:t xml:space="preserve"> </w:t>
      </w:r>
      <w:sdt>
        <w:sdtPr>
          <w:rPr>
            <w:rFonts w:ascii="Times New Roman" w:eastAsia="SimSun" w:hAnsi="Times New Roman" w:cs="Times New Roman"/>
            <w:color w:val="000000"/>
            <w:sz w:val="22"/>
            <w:szCs w:val="22"/>
            <w:lang w:eastAsia="en-US"/>
          </w:rPr>
          <w:tag w:val="MENDELEY_CITATION_v3_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"/>
          <w:id w:val="-1464805670"/>
          <w:placeholder>
            <w:docPart w:val="80E5519F4B844C10999F48946AD74D6C"/>
          </w:placeholder>
        </w:sdtPr>
        <w:sdtEndPr/>
        <w:sdtContent>
          <w:r w:rsidRPr="00E1009B">
            <w:rPr>
              <w:rFonts w:ascii="Times New Roman" w:eastAsia="SimSun" w:hAnsi="Times New Roman" w:cs="Times New Roman"/>
              <w:color w:val="000000"/>
              <w:sz w:val="22"/>
              <w:szCs w:val="22"/>
              <w:lang w:eastAsia="en-US"/>
            </w:rPr>
            <w:t>(Carman et al. 2023)</w:t>
          </w:r>
        </w:sdtContent>
      </w:sdt>
      <w:r w:rsidRPr="00575991">
        <w:rPr>
          <w:rFonts w:ascii="Times New Roman" w:eastAsia="SimSun" w:hAnsi="Times New Roman" w:cs="Times New Roman"/>
          <w:sz w:val="22"/>
          <w:szCs w:val="22"/>
          <w:lang w:eastAsia="en-US"/>
        </w:rPr>
        <w:t>: angle between the neck axis of the femur (measured between a sphere fit to the femoral head and the centre of a cylinder fitted to the femoral neck), and the posterior condylar axis (measured between the medial and lateral posterior femoral condyle)</w:t>
      </w:r>
      <w:r>
        <w:rPr>
          <w:rFonts w:ascii="Times New Roman" w:eastAsia="SimSun" w:hAnsi="Times New Roman" w:cs="Times New Roman"/>
          <w:sz w:val="22"/>
          <w:szCs w:val="22"/>
          <w:lang w:eastAsia="en-US"/>
        </w:rPr>
        <w:t>.</w:t>
      </w:r>
    </w:p>
    <w:p w14:paraId="396F2D4D" w14:textId="77777777" w:rsidR="00DF220E" w:rsidRPr="00575991" w:rsidRDefault="00DF220E" w:rsidP="00DF220E">
      <w:pPr>
        <w:spacing w:before="120" w:after="120" w:line="480" w:lineRule="auto"/>
        <w:jc w:val="both"/>
        <w:rPr>
          <w:rFonts w:ascii="Times New Roman" w:eastAsia="SimSun" w:hAnsi="Times New Roman" w:cs="Times New Roman"/>
          <w:sz w:val="22"/>
          <w:szCs w:val="22"/>
          <w:lang w:eastAsia="en-US"/>
        </w:rPr>
      </w:pPr>
      <w:r>
        <w:rPr>
          <w:rFonts w:ascii="Times New Roman" w:eastAsia="SimSun" w:hAnsi="Times New Roman" w:cs="Times New Roman"/>
          <w:sz w:val="22"/>
          <w:szCs w:val="22"/>
          <w:lang w:eastAsia="en-US"/>
        </w:rPr>
        <w:t xml:space="preserve">Tibial Torsion </w:t>
      </w:r>
      <w:sdt>
        <w:sdtPr>
          <w:rPr>
            <w:rFonts w:ascii="Times New Roman" w:eastAsia="SimSun" w:hAnsi="Times New Roman" w:cs="Times New Roman"/>
            <w:color w:val="000000"/>
            <w:sz w:val="22"/>
            <w:szCs w:val="22"/>
            <w:lang w:eastAsia="en-US"/>
          </w:rPr>
          <w:tag w:val="MENDELEY_CITATION_v3_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"/>
          <w:id w:val="1659649768"/>
          <w:placeholder>
            <w:docPart w:val="80E5519F4B844C10999F48946AD74D6C"/>
          </w:placeholder>
        </w:sdtPr>
        <w:sdtEndPr/>
        <w:sdtContent>
          <w:r w:rsidRPr="00E1009B">
            <w:rPr>
              <w:rFonts w:ascii="Times New Roman" w:eastAsia="SimSun" w:hAnsi="Times New Roman" w:cs="Times New Roman"/>
              <w:color w:val="000000"/>
              <w:sz w:val="22"/>
              <w:szCs w:val="22"/>
              <w:lang w:eastAsia="en-US"/>
            </w:rPr>
            <w:t>(Chen 2020)</w:t>
          </w:r>
        </w:sdtContent>
      </w:sdt>
      <w:r>
        <w:rPr>
          <w:rFonts w:ascii="Times New Roman" w:eastAsia="SimSun" w:hAnsi="Times New Roman" w:cs="Times New Roman"/>
          <w:sz w:val="22"/>
          <w:szCs w:val="22"/>
          <w:lang w:eastAsia="en-US"/>
        </w:rPr>
        <w:t xml:space="preserve">: </w:t>
      </w:r>
      <w:r w:rsidRPr="00FD2B40">
        <w:rPr>
          <w:rFonts w:ascii="Times New Roman" w:eastAsia="SimSun" w:hAnsi="Times New Roman" w:cs="Times New Roman"/>
          <w:sz w:val="22"/>
          <w:szCs w:val="22"/>
          <w:lang w:eastAsia="en-US"/>
        </w:rPr>
        <w:t>angle between the posterior condylar axis (measured between the medial and lateral posterior</w:t>
      </w:r>
      <w:r>
        <w:rPr>
          <w:rFonts w:ascii="Times New Roman" w:eastAsia="SimSun" w:hAnsi="Times New Roman" w:cs="Times New Roman"/>
          <w:sz w:val="22"/>
          <w:szCs w:val="22"/>
          <w:lang w:eastAsia="en-US"/>
        </w:rPr>
        <w:t xml:space="preserve"> </w:t>
      </w:r>
      <w:r w:rsidRPr="00FD2B40">
        <w:rPr>
          <w:rFonts w:ascii="Times New Roman" w:eastAsia="SimSun" w:hAnsi="Times New Roman" w:cs="Times New Roman"/>
          <w:sz w:val="22"/>
          <w:szCs w:val="22"/>
          <w:lang w:eastAsia="en-US"/>
        </w:rPr>
        <w:t>tibial condyle) and</w:t>
      </w:r>
      <w:r>
        <w:rPr>
          <w:rFonts w:ascii="Times New Roman" w:eastAsia="SimSun" w:hAnsi="Times New Roman" w:cs="Times New Roman"/>
          <w:sz w:val="22"/>
          <w:szCs w:val="22"/>
          <w:lang w:eastAsia="en-US"/>
        </w:rPr>
        <w:t xml:space="preserve"> distal reference axis (measured between the </w:t>
      </w:r>
      <w:proofErr w:type="spellStart"/>
      <w:r>
        <w:rPr>
          <w:rFonts w:ascii="Times New Roman" w:eastAsia="SimSun" w:hAnsi="Times New Roman" w:cs="Times New Roman"/>
          <w:sz w:val="22"/>
          <w:szCs w:val="22"/>
          <w:lang w:eastAsia="en-US"/>
        </w:rPr>
        <w:t>center</w:t>
      </w:r>
      <w:proofErr w:type="spellEnd"/>
      <w:r>
        <w:rPr>
          <w:rFonts w:ascii="Times New Roman" w:eastAsia="SimSun" w:hAnsi="Times New Roman" w:cs="Times New Roman"/>
          <w:sz w:val="22"/>
          <w:szCs w:val="22"/>
          <w:lang w:eastAsia="en-US"/>
        </w:rPr>
        <w:t xml:space="preserve"> point of the distal tibia and the midpoint of a line across the fibular notch of the tibia).</w:t>
      </w:r>
    </w:p>
    <w:p w14:paraId="7929BB16" w14:textId="77777777" w:rsidR="00DF220E" w:rsidRDefault="00DF220E" w:rsidP="00DF220E">
      <w:pPr>
        <w:spacing w:before="120" w:after="120" w:line="480" w:lineRule="auto"/>
        <w:jc w:val="center"/>
        <w:rPr>
          <w:rFonts w:ascii="Times New Roman" w:eastAsia="SimSun" w:hAnsi="Times New Roman" w:cs="Times New Roman"/>
          <w:sz w:val="22"/>
          <w:szCs w:val="22"/>
          <w:lang w:eastAsia="en-US"/>
        </w:rPr>
      </w:pPr>
      <w:r w:rsidRPr="00507EB9">
        <w:rPr>
          <w:rFonts w:ascii="Times New Roman" w:eastAsia="SimSun" w:hAnsi="Times New Roman" w:cs="Times New Roman"/>
          <w:noProof/>
          <w:sz w:val="22"/>
          <w:szCs w:val="22"/>
          <w:lang w:eastAsia="en-US"/>
        </w:rPr>
        <w:drawing>
          <wp:inline distT="0" distB="0" distL="0" distR="0" wp14:anchorId="4EDBD8C7" wp14:editId="631816DE">
            <wp:extent cx="3725735" cy="3200400"/>
            <wp:effectExtent l="0" t="0" r="8255" b="0"/>
            <wp:docPr id="197734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4018" name=""/>
                    <pic:cNvPicPr/>
                  </pic:nvPicPr>
                  <pic:blipFill>
                    <a:blip r:embed="rId8"/>
                    <a:stretch>
                      <a:fillRect/>
                    </a:stretch>
                  </pic:blipFill>
                  <pic:spPr>
                    <a:xfrm>
                      <a:off x="0" y="0"/>
                      <a:ext cx="3725735" cy="3200400"/>
                    </a:xfrm>
                    <a:prstGeom prst="rect">
                      <a:avLst/>
                    </a:prstGeom>
                  </pic:spPr>
                </pic:pic>
              </a:graphicData>
            </a:graphic>
          </wp:inline>
        </w:drawing>
      </w:r>
    </w:p>
    <w:p w14:paraId="4747EF47" w14:textId="3D70380B" w:rsidR="00DF220E" w:rsidRPr="003F05C3" w:rsidRDefault="00DF220E" w:rsidP="003F05C3">
      <w:pPr>
        <w:spacing w:before="120" w:after="120" w:line="480" w:lineRule="auto"/>
        <w:jc w:val="center"/>
        <w:rPr>
          <w:rFonts w:ascii="Times New Roman" w:hAnsi="Times New Roman" w:cs="Times New Roman"/>
          <w:sz w:val="22"/>
          <w:szCs w:val="22"/>
        </w:rPr>
      </w:pPr>
      <w:r w:rsidRPr="00880ED6">
        <w:rPr>
          <w:rFonts w:ascii="Times New Roman" w:hAnsi="Times New Roman" w:cs="Times New Roman"/>
          <w:b/>
          <w:bCs/>
          <w:sz w:val="22"/>
          <w:szCs w:val="22"/>
        </w:rPr>
        <w:t>Fig. S</w:t>
      </w:r>
      <w:r w:rsidR="00D54FD2">
        <w:rPr>
          <w:rFonts w:ascii="Times New Roman" w:hAnsi="Times New Roman" w:cs="Times New Roman"/>
          <w:b/>
          <w:bCs/>
          <w:sz w:val="22"/>
          <w:szCs w:val="22"/>
        </w:rPr>
        <w:t>2</w:t>
      </w:r>
      <w:r w:rsidRPr="00880ED6">
        <w:rPr>
          <w:rFonts w:ascii="Times New Roman" w:hAnsi="Times New Roman" w:cs="Times New Roman"/>
          <w:sz w:val="22"/>
          <w:szCs w:val="22"/>
        </w:rPr>
        <w:t xml:space="preserve"> Angular and torsional measurements in the femur and tibia</w:t>
      </w:r>
    </w:p>
    <w:p w14:paraId="69B2599B" w14:textId="309A7CA1" w:rsidR="00785761" w:rsidRPr="008E4437" w:rsidRDefault="00802742" w:rsidP="005F4EC6">
      <w:pPr>
        <w:spacing w:before="120" w:after="120" w:line="480" w:lineRule="auto"/>
        <w:rPr>
          <w:rFonts w:ascii="Times New Roman" w:hAnsi="Times New Roman" w:cs="Times New Roman"/>
          <w:sz w:val="28"/>
          <w:szCs w:val="28"/>
        </w:rPr>
      </w:pPr>
      <w:r w:rsidRPr="008E4437">
        <w:rPr>
          <w:rFonts w:ascii="Times New Roman" w:hAnsi="Times New Roman" w:cs="Times New Roman"/>
          <w:sz w:val="28"/>
          <w:szCs w:val="28"/>
        </w:rPr>
        <w:t>S</w:t>
      </w:r>
      <w:r w:rsidR="00DF220E">
        <w:rPr>
          <w:rFonts w:ascii="Times New Roman" w:hAnsi="Times New Roman" w:cs="Times New Roman"/>
          <w:sz w:val="28"/>
          <w:szCs w:val="28"/>
        </w:rPr>
        <w:t>3</w:t>
      </w:r>
      <w:r w:rsidR="009104B4" w:rsidRPr="008E4437">
        <w:rPr>
          <w:rFonts w:ascii="Times New Roman" w:hAnsi="Times New Roman" w:cs="Times New Roman"/>
          <w:sz w:val="28"/>
          <w:szCs w:val="28"/>
        </w:rPr>
        <w:t>. Assessment of the statistical shape-density model prediction accuracy</w:t>
      </w:r>
      <w:r w:rsidR="001B7937">
        <w:rPr>
          <w:rFonts w:ascii="Times New Roman" w:hAnsi="Times New Roman" w:cs="Times New Roman"/>
          <w:sz w:val="28"/>
          <w:szCs w:val="28"/>
        </w:rPr>
        <w:t xml:space="preserve"> in the tibia</w:t>
      </w:r>
    </w:p>
    <w:p w14:paraId="407E57F9" w14:textId="79F35B6C" w:rsidR="00FF4477" w:rsidRPr="008110C6" w:rsidRDefault="00790993" w:rsidP="008110C6">
      <w:pPr>
        <w:spacing w:before="120" w:after="120" w:line="480" w:lineRule="auto"/>
        <w:jc w:val="both"/>
        <w:rPr>
          <w:rFonts w:ascii="Times New Roman" w:eastAsia="SimSun" w:hAnsi="Times New Roman" w:cs="Times New Roman"/>
          <w:sz w:val="22"/>
          <w:szCs w:val="22"/>
          <w:lang w:eastAsia="en-US"/>
        </w:rPr>
      </w:pPr>
      <w:r w:rsidRPr="00790993">
        <w:rPr>
          <w:rFonts w:ascii="Times New Roman" w:hAnsi="Times New Roman" w:cs="Times New Roman"/>
          <w:bCs/>
          <w:sz w:val="22"/>
          <w:szCs w:val="22"/>
        </w:rPr>
        <w:t>The first 2</w:t>
      </w:r>
      <w:r w:rsidR="006C7370">
        <w:rPr>
          <w:rFonts w:ascii="Times New Roman" w:hAnsi="Times New Roman" w:cs="Times New Roman" w:hint="eastAsia"/>
          <w:bCs/>
          <w:sz w:val="22"/>
          <w:szCs w:val="22"/>
        </w:rPr>
        <w:t>7</w:t>
      </w:r>
      <w:r w:rsidRPr="00790993">
        <w:rPr>
          <w:rFonts w:ascii="Times New Roman" w:hAnsi="Times New Roman" w:cs="Times New Roman"/>
          <w:bCs/>
          <w:sz w:val="22"/>
          <w:szCs w:val="22"/>
        </w:rPr>
        <w:t xml:space="preserve"> PCs captured over 90% of the shape and density variance in the</w:t>
      </w:r>
      <w:r w:rsidR="001B5B4E">
        <w:rPr>
          <w:rFonts w:ascii="Times New Roman" w:hAnsi="Times New Roman" w:cs="Times New Roman" w:hint="eastAsia"/>
          <w:bCs/>
          <w:sz w:val="22"/>
          <w:szCs w:val="22"/>
        </w:rPr>
        <w:t xml:space="preserve"> tibia</w:t>
      </w:r>
      <w:r w:rsidRPr="00790993">
        <w:rPr>
          <w:rFonts w:ascii="Times New Roman" w:hAnsi="Times New Roman" w:cs="Times New Roman"/>
          <w:bCs/>
          <w:sz w:val="22"/>
          <w:szCs w:val="22"/>
        </w:rPr>
        <w:t>. Beyond 2</w:t>
      </w:r>
      <w:r w:rsidR="006C7370">
        <w:rPr>
          <w:rFonts w:ascii="Times New Roman" w:hAnsi="Times New Roman" w:cs="Times New Roman" w:hint="eastAsia"/>
          <w:bCs/>
          <w:sz w:val="22"/>
          <w:szCs w:val="22"/>
        </w:rPr>
        <w:t>7</w:t>
      </w:r>
      <w:r w:rsidR="004F1DEF">
        <w:rPr>
          <w:rFonts w:ascii="Times New Roman" w:hAnsi="Times New Roman" w:cs="Times New Roman" w:hint="eastAsia"/>
          <w:bCs/>
          <w:sz w:val="22"/>
          <w:szCs w:val="22"/>
        </w:rPr>
        <w:t xml:space="preserve"> </w:t>
      </w:r>
      <w:r w:rsidRPr="00790993">
        <w:rPr>
          <w:rFonts w:ascii="Times New Roman" w:hAnsi="Times New Roman" w:cs="Times New Roman"/>
          <w:bCs/>
          <w:sz w:val="22"/>
          <w:szCs w:val="22"/>
        </w:rPr>
        <w:t>PCs, the variance explained by each additional PC dropped to just 0.2</w:t>
      </w:r>
      <w:r w:rsidR="00E01F17">
        <w:rPr>
          <w:rFonts w:ascii="Times New Roman" w:hAnsi="Times New Roman" w:cs="Times New Roman" w:hint="eastAsia"/>
          <w:bCs/>
          <w:sz w:val="22"/>
          <w:szCs w:val="22"/>
        </w:rPr>
        <w:t>2</w:t>
      </w:r>
      <w:r w:rsidRPr="00790993">
        <w:rPr>
          <w:rFonts w:ascii="Times New Roman" w:hAnsi="Times New Roman" w:cs="Times New Roman"/>
          <w:bCs/>
          <w:sz w:val="22"/>
          <w:szCs w:val="22"/>
        </w:rPr>
        <w:t>%. At 29 PCs, the compactness analysis yielded an average RMSE of 1.</w:t>
      </w:r>
      <w:r w:rsidR="005A67C2">
        <w:rPr>
          <w:rFonts w:ascii="Times New Roman" w:hAnsi="Times New Roman" w:cs="Times New Roman" w:hint="eastAsia"/>
          <w:bCs/>
          <w:sz w:val="22"/>
          <w:szCs w:val="22"/>
        </w:rPr>
        <w:t>08</w:t>
      </w:r>
      <w:r w:rsidRPr="00790993">
        <w:rPr>
          <w:rFonts w:ascii="Times New Roman" w:hAnsi="Times New Roman" w:cs="Times New Roman"/>
          <w:bCs/>
          <w:sz w:val="22"/>
          <w:szCs w:val="22"/>
        </w:rPr>
        <w:t xml:space="preserve"> mm for the shape, and 0.0</w:t>
      </w:r>
      <w:r w:rsidR="00B80494">
        <w:rPr>
          <w:rFonts w:ascii="Times New Roman" w:hAnsi="Times New Roman" w:cs="Times New Roman" w:hint="eastAsia"/>
          <w:bCs/>
          <w:sz w:val="22"/>
          <w:szCs w:val="22"/>
        </w:rPr>
        <w:t>675</w:t>
      </w:r>
      <w:r w:rsidRPr="00790993">
        <w:rPr>
          <w:rFonts w:ascii="Times New Roman" w:hAnsi="Times New Roman" w:cs="Times New Roman"/>
          <w:bCs/>
          <w:sz w:val="22"/>
          <w:szCs w:val="22"/>
        </w:rPr>
        <w:t xml:space="preserve"> g/cm</w:t>
      </w:r>
      <w:r w:rsidRPr="00790993">
        <w:rPr>
          <w:rFonts w:ascii="Times New Roman" w:hAnsi="Times New Roman" w:cs="Times New Roman"/>
          <w:bCs/>
          <w:sz w:val="22"/>
          <w:szCs w:val="22"/>
          <w:vertAlign w:val="superscript"/>
        </w:rPr>
        <w:t>3</w:t>
      </w:r>
      <w:r w:rsidRPr="00790993">
        <w:rPr>
          <w:rFonts w:ascii="Times New Roman" w:hAnsi="Times New Roman" w:cs="Times New Roman"/>
          <w:bCs/>
          <w:sz w:val="22"/>
          <w:szCs w:val="22"/>
        </w:rPr>
        <w:t xml:space="preserve"> for the density, indicating sufficient variance representation (Fig</w:t>
      </w:r>
      <w:r w:rsidR="00D23436">
        <w:rPr>
          <w:rFonts w:ascii="Times New Roman" w:hAnsi="Times New Roman" w:cs="Times New Roman" w:hint="eastAsia"/>
          <w:bCs/>
          <w:sz w:val="22"/>
          <w:szCs w:val="22"/>
        </w:rPr>
        <w:t>. S</w:t>
      </w:r>
      <w:r w:rsidR="00260C0D">
        <w:rPr>
          <w:rFonts w:ascii="Times New Roman" w:hAnsi="Times New Roman" w:cs="Times New Roman"/>
          <w:bCs/>
          <w:sz w:val="22"/>
          <w:szCs w:val="22"/>
        </w:rPr>
        <w:t>3</w:t>
      </w:r>
      <w:r w:rsidRPr="00790993">
        <w:rPr>
          <w:rFonts w:ascii="Times New Roman" w:hAnsi="Times New Roman" w:cs="Times New Roman"/>
          <w:bCs/>
          <w:sz w:val="22"/>
          <w:szCs w:val="22"/>
        </w:rPr>
        <w:t>). Furthermore, the specificity study confirmed that the prediction accuracy did not improve significantly beyond 2</w:t>
      </w:r>
      <w:r w:rsidR="00FC5737">
        <w:rPr>
          <w:rFonts w:ascii="Times New Roman" w:hAnsi="Times New Roman" w:cs="Times New Roman"/>
          <w:bCs/>
          <w:sz w:val="22"/>
          <w:szCs w:val="22"/>
        </w:rPr>
        <w:t>7</w:t>
      </w:r>
      <w:r w:rsidRPr="00790993">
        <w:rPr>
          <w:rFonts w:ascii="Times New Roman" w:hAnsi="Times New Roman" w:cs="Times New Roman"/>
          <w:bCs/>
          <w:sz w:val="22"/>
          <w:szCs w:val="22"/>
        </w:rPr>
        <w:t xml:space="preserve"> PCs, and no overfitting was observed within this range</w:t>
      </w:r>
      <w:r w:rsidR="00541AAD">
        <w:rPr>
          <w:rFonts w:ascii="Times New Roman" w:hAnsi="Times New Roman" w:cs="Times New Roman"/>
          <w:bCs/>
          <w:sz w:val="22"/>
          <w:szCs w:val="22"/>
        </w:rPr>
        <w:t xml:space="preserve"> (Fig.S4)</w:t>
      </w:r>
      <w:r w:rsidRPr="00790993">
        <w:rPr>
          <w:rFonts w:ascii="Times New Roman" w:hAnsi="Times New Roman" w:cs="Times New Roman"/>
          <w:bCs/>
          <w:sz w:val="22"/>
          <w:szCs w:val="22"/>
        </w:rPr>
        <w:t xml:space="preserve">. </w:t>
      </w:r>
      <w:r w:rsidR="008110C6" w:rsidRPr="00CA6FC8">
        <w:rPr>
          <w:rFonts w:ascii="Times New Roman" w:eastAsia="SimSun" w:hAnsi="Times New Roman" w:cs="Times New Roman"/>
          <w:sz w:val="22"/>
          <w:szCs w:val="22"/>
          <w:lang w:eastAsia="en-US"/>
        </w:rPr>
        <w:t xml:space="preserve">In addition, the estimated Young’s Modulus, corresponding to the density </w:t>
      </w:r>
      <w:r w:rsidR="008110C6" w:rsidRPr="00CA6FC8">
        <w:rPr>
          <w:rFonts w:ascii="Times New Roman" w:eastAsia="SimSun" w:hAnsi="Times New Roman" w:cs="Times New Roman"/>
          <w:sz w:val="22"/>
          <w:szCs w:val="22"/>
          <w:lang w:eastAsia="en-US"/>
        </w:rPr>
        <w:lastRenderedPageBreak/>
        <w:t xml:space="preserve">predicted with </w:t>
      </w:r>
      <w:r w:rsidR="008110C6">
        <w:rPr>
          <w:rFonts w:ascii="Times New Roman" w:eastAsia="SimSun" w:hAnsi="Times New Roman" w:cs="Times New Roman"/>
          <w:sz w:val="22"/>
          <w:szCs w:val="22"/>
          <w:lang w:eastAsia="en-US"/>
        </w:rPr>
        <w:t>27</w:t>
      </w:r>
      <w:r w:rsidR="008110C6" w:rsidRPr="00CA6FC8">
        <w:rPr>
          <w:rFonts w:ascii="Times New Roman" w:eastAsia="SimSun" w:hAnsi="Times New Roman" w:cs="Times New Roman"/>
          <w:sz w:val="22"/>
          <w:szCs w:val="22"/>
          <w:lang w:eastAsia="en-US"/>
        </w:rPr>
        <w:t xml:space="preserve"> PCs, remained below 1</w:t>
      </w:r>
      <w:r w:rsidR="008110C6">
        <w:rPr>
          <w:rFonts w:ascii="Times New Roman" w:eastAsia="SimSun" w:hAnsi="Times New Roman" w:cs="Times New Roman"/>
          <w:sz w:val="22"/>
          <w:szCs w:val="22"/>
          <w:lang w:eastAsia="en-US"/>
        </w:rPr>
        <w:t>72</w:t>
      </w:r>
      <w:r w:rsidR="008110C6" w:rsidRPr="00CA6FC8">
        <w:rPr>
          <w:rFonts w:ascii="Times New Roman" w:eastAsia="SimSun" w:hAnsi="Times New Roman" w:cs="Times New Roman"/>
          <w:sz w:val="22"/>
          <w:szCs w:val="22"/>
          <w:lang w:eastAsia="en-US"/>
        </w:rPr>
        <w:t xml:space="preserve"> MPa, based on equations (4)-(6) in this paper. </w:t>
      </w:r>
      <w:r w:rsidRPr="00790993">
        <w:rPr>
          <w:rFonts w:ascii="Times New Roman" w:hAnsi="Times New Roman" w:cs="Times New Roman"/>
          <w:bCs/>
          <w:sz w:val="22"/>
          <w:szCs w:val="22"/>
        </w:rPr>
        <w:t>Consequently, we selected 2</w:t>
      </w:r>
      <w:r w:rsidR="0018750F">
        <w:rPr>
          <w:rFonts w:ascii="Times New Roman" w:hAnsi="Times New Roman" w:cs="Times New Roman"/>
          <w:bCs/>
          <w:sz w:val="22"/>
          <w:szCs w:val="22"/>
        </w:rPr>
        <w:t>7</w:t>
      </w:r>
      <w:r w:rsidRPr="00790993">
        <w:rPr>
          <w:rFonts w:ascii="Times New Roman" w:hAnsi="Times New Roman" w:cs="Times New Roman"/>
          <w:bCs/>
          <w:sz w:val="22"/>
          <w:szCs w:val="22"/>
        </w:rPr>
        <w:t xml:space="preserve"> PCs for further leave-one-out analysis to achieve a balance between accuracy and overfitting.</w:t>
      </w:r>
    </w:p>
    <w:p w14:paraId="58EDA63A" w14:textId="5E23CBBD" w:rsidR="00785761" w:rsidRDefault="00921522" w:rsidP="00785761">
      <w:pPr>
        <w:jc w:val="center"/>
      </w:pPr>
      <w:r>
        <w:rPr>
          <w:noProof/>
        </w:rPr>
        <w:drawing>
          <wp:inline distT="0" distB="0" distL="0" distR="0" wp14:anchorId="1E4C01E8" wp14:editId="5E7E458C">
            <wp:extent cx="5731510" cy="2669540"/>
            <wp:effectExtent l="0" t="0" r="2540" b="0"/>
            <wp:docPr id="167609599" name="Picture 1"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9599" name="Picture 1" descr="A graph of a function&#10;&#10;Description automatically generated with medium confidence"/>
                    <pic:cNvPicPr/>
                  </pic:nvPicPr>
                  <pic:blipFill>
                    <a:blip r:embed="rId9"/>
                    <a:stretch>
                      <a:fillRect/>
                    </a:stretch>
                  </pic:blipFill>
                  <pic:spPr>
                    <a:xfrm>
                      <a:off x="0" y="0"/>
                      <a:ext cx="5731510" cy="2669540"/>
                    </a:xfrm>
                    <a:prstGeom prst="rect">
                      <a:avLst/>
                    </a:prstGeom>
                  </pic:spPr>
                </pic:pic>
              </a:graphicData>
            </a:graphic>
          </wp:inline>
        </w:drawing>
      </w:r>
    </w:p>
    <w:p w14:paraId="68C76DF2" w14:textId="62B1945A" w:rsidR="00AA7799" w:rsidRDefault="00785761" w:rsidP="00AA7799">
      <w:pPr>
        <w:spacing w:before="120" w:after="120" w:line="480" w:lineRule="auto"/>
        <w:jc w:val="both"/>
        <w:rPr>
          <w:rFonts w:ascii="Times New Roman" w:hAnsi="Times New Roman" w:cs="Times New Roman"/>
          <w:sz w:val="22"/>
          <w:szCs w:val="22"/>
        </w:rPr>
      </w:pPr>
      <w:r w:rsidRPr="00B004FA">
        <w:rPr>
          <w:rFonts w:ascii="Times New Roman" w:eastAsia="SimSun" w:hAnsi="Times New Roman" w:cs="Times New Roman"/>
          <w:b/>
          <w:bCs/>
          <w:sz w:val="22"/>
          <w:szCs w:val="22"/>
          <w:lang w:eastAsia="en-US"/>
        </w:rPr>
        <w:t>Fig</w:t>
      </w:r>
      <w:r w:rsidR="00B004FA" w:rsidRPr="00B004FA">
        <w:rPr>
          <w:rFonts w:ascii="Times New Roman" w:eastAsia="SimSun" w:hAnsi="Times New Roman" w:cs="Times New Roman"/>
          <w:b/>
          <w:bCs/>
          <w:sz w:val="22"/>
          <w:szCs w:val="22"/>
          <w:lang w:eastAsia="en-US"/>
        </w:rPr>
        <w:t>.</w:t>
      </w:r>
      <w:r w:rsidRPr="00B004FA">
        <w:rPr>
          <w:rFonts w:ascii="Times New Roman" w:eastAsia="SimSun" w:hAnsi="Times New Roman" w:cs="Times New Roman"/>
          <w:b/>
          <w:bCs/>
          <w:sz w:val="22"/>
          <w:szCs w:val="22"/>
          <w:lang w:eastAsia="en-US"/>
        </w:rPr>
        <w:t xml:space="preserve"> </w:t>
      </w:r>
      <w:r w:rsidR="00884864">
        <w:rPr>
          <w:rFonts w:ascii="Times New Roman" w:eastAsia="SimSun" w:hAnsi="Times New Roman" w:cs="Times New Roman"/>
          <w:b/>
          <w:bCs/>
          <w:sz w:val="22"/>
          <w:szCs w:val="22"/>
          <w:lang w:eastAsia="en-US"/>
        </w:rPr>
        <w:t>S</w:t>
      </w:r>
      <w:r w:rsidR="00260C0D">
        <w:rPr>
          <w:rFonts w:ascii="Times New Roman" w:eastAsia="SimSun" w:hAnsi="Times New Roman" w:cs="Times New Roman"/>
          <w:b/>
          <w:bCs/>
          <w:sz w:val="22"/>
          <w:szCs w:val="22"/>
          <w:lang w:eastAsia="en-US"/>
        </w:rPr>
        <w:t>3</w:t>
      </w:r>
      <w:r w:rsidRPr="00B004FA">
        <w:rPr>
          <w:sz w:val="22"/>
          <w:szCs w:val="22"/>
        </w:rPr>
        <w:t xml:space="preserve"> </w:t>
      </w:r>
      <w:r w:rsidRPr="00B004FA">
        <w:rPr>
          <w:rFonts w:ascii="Times New Roman" w:hAnsi="Times New Roman" w:cs="Times New Roman"/>
          <w:sz w:val="22"/>
          <w:szCs w:val="22"/>
        </w:rPr>
        <w:t>Compactness analyses showing the tibial shape prediction RMSE relative to the number of PC included (a) and the density prediction RMSE (b) relative to the number of PC included</w:t>
      </w:r>
    </w:p>
    <w:p w14:paraId="798880BC" w14:textId="5694174C" w:rsidR="0018750F" w:rsidRDefault="0021605B" w:rsidP="00271A86">
      <w:pPr>
        <w:spacing w:before="120" w:after="120" w:line="480" w:lineRule="auto"/>
        <w:jc w:val="center"/>
        <w:rPr>
          <w:rFonts w:ascii="Times New Roman" w:hAnsi="Times New Roman" w:cs="Times New Roman"/>
          <w:sz w:val="22"/>
          <w:szCs w:val="22"/>
        </w:rPr>
      </w:pPr>
      <w:r>
        <w:rPr>
          <w:noProof/>
        </w:rPr>
        <w:drawing>
          <wp:inline distT="0" distB="0" distL="0" distR="0" wp14:anchorId="0A4EB4C6" wp14:editId="7455CFB5">
            <wp:extent cx="3430231" cy="2560320"/>
            <wp:effectExtent l="0" t="0" r="0" b="0"/>
            <wp:docPr id="795699880" name="Picture 1" descr="A graph of a principal compon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99880" name="Picture 1" descr="A graph of a principal component&#10;&#10;Description automatically generated"/>
                    <pic:cNvPicPr/>
                  </pic:nvPicPr>
                  <pic:blipFill>
                    <a:blip r:embed="rId10"/>
                    <a:stretch>
                      <a:fillRect/>
                    </a:stretch>
                  </pic:blipFill>
                  <pic:spPr>
                    <a:xfrm>
                      <a:off x="0" y="0"/>
                      <a:ext cx="3430231" cy="2560320"/>
                    </a:xfrm>
                    <a:prstGeom prst="rect">
                      <a:avLst/>
                    </a:prstGeom>
                  </pic:spPr>
                </pic:pic>
              </a:graphicData>
            </a:graphic>
          </wp:inline>
        </w:drawing>
      </w:r>
    </w:p>
    <w:p w14:paraId="524AAC13" w14:textId="670A42A7" w:rsidR="008228C1" w:rsidRPr="00B004FA" w:rsidRDefault="008228C1" w:rsidP="00AA7799">
      <w:pPr>
        <w:spacing w:before="120" w:after="120" w:line="480" w:lineRule="auto"/>
        <w:jc w:val="both"/>
        <w:rPr>
          <w:rFonts w:ascii="Times New Roman" w:hAnsi="Times New Roman" w:cs="Times New Roman"/>
          <w:sz w:val="22"/>
          <w:szCs w:val="22"/>
        </w:rPr>
      </w:pPr>
      <w:r w:rsidRPr="007A6898">
        <w:rPr>
          <w:rFonts w:ascii="Times New Roman" w:hAnsi="Times New Roman" w:cs="Times New Roman"/>
          <w:b/>
          <w:bCs/>
          <w:sz w:val="22"/>
          <w:szCs w:val="22"/>
        </w:rPr>
        <w:t>Fig. S</w:t>
      </w:r>
      <w:r w:rsidR="00260C0D">
        <w:rPr>
          <w:rFonts w:ascii="Times New Roman" w:hAnsi="Times New Roman" w:cs="Times New Roman"/>
          <w:b/>
          <w:bCs/>
          <w:sz w:val="22"/>
          <w:szCs w:val="22"/>
        </w:rPr>
        <w:t>4</w:t>
      </w:r>
      <w:r w:rsidR="0005503C">
        <w:rPr>
          <w:rFonts w:ascii="Times New Roman" w:hAnsi="Times New Roman" w:cs="Times New Roman"/>
          <w:sz w:val="22"/>
          <w:szCs w:val="22"/>
        </w:rPr>
        <w:t xml:space="preserve"> Specificity study </w:t>
      </w:r>
      <w:r w:rsidR="00776902">
        <w:rPr>
          <w:rFonts w:ascii="Times New Roman" w:hAnsi="Times New Roman" w:cs="Times New Roman"/>
          <w:sz w:val="22"/>
          <w:szCs w:val="22"/>
        </w:rPr>
        <w:t>results</w:t>
      </w:r>
      <w:r w:rsidR="007A6898">
        <w:rPr>
          <w:rFonts w:ascii="Times New Roman" w:hAnsi="Times New Roman" w:cs="Times New Roman"/>
          <w:sz w:val="22"/>
          <w:szCs w:val="22"/>
        </w:rPr>
        <w:t xml:space="preserve"> showing density RMSE relative to the number of PC included</w:t>
      </w:r>
    </w:p>
    <w:p w14:paraId="1B0654A4" w14:textId="420C0896" w:rsidR="00E65CA0" w:rsidRPr="00AA7799" w:rsidRDefault="00AA7799" w:rsidP="00EF25EE">
      <w:pPr>
        <w:spacing w:before="120" w:after="120" w:line="480" w:lineRule="auto"/>
        <w:jc w:val="both"/>
        <w:rPr>
          <w:rFonts w:ascii="Times New Roman" w:eastAsia="SimSun" w:hAnsi="Times New Roman" w:cs="Times New Roman"/>
          <w:sz w:val="22"/>
          <w:szCs w:val="22"/>
          <w:lang w:eastAsia="en-US"/>
        </w:rPr>
      </w:pPr>
      <w:r w:rsidRPr="004B562A">
        <w:rPr>
          <w:rFonts w:ascii="Times New Roman" w:eastAsia="SimSun" w:hAnsi="Times New Roman" w:cs="Times New Roman"/>
          <w:sz w:val="22"/>
          <w:szCs w:val="22"/>
          <w:lang w:eastAsia="en-US"/>
        </w:rPr>
        <w:t>In the leave-one-out (LOO) analysis, the average RMS distance error between the predicted and segmented surface mesh was 1.</w:t>
      </w:r>
      <w:r>
        <w:rPr>
          <w:rFonts w:ascii="Times New Roman" w:eastAsia="SimSun" w:hAnsi="Times New Roman" w:cs="Times New Roman"/>
          <w:sz w:val="22"/>
          <w:szCs w:val="22"/>
          <w:lang w:eastAsia="en-US"/>
        </w:rPr>
        <w:t>41</w:t>
      </w:r>
      <w:r w:rsidRPr="004B562A">
        <w:rPr>
          <w:rFonts w:ascii="Times New Roman" w:eastAsia="SimSun" w:hAnsi="Times New Roman" w:cs="Times New Roman"/>
          <w:sz w:val="22"/>
          <w:szCs w:val="22"/>
          <w:lang w:eastAsia="en-US"/>
        </w:rPr>
        <w:t xml:space="preserve"> ± 0.</w:t>
      </w:r>
      <w:r>
        <w:rPr>
          <w:rFonts w:ascii="Times New Roman" w:eastAsia="SimSun" w:hAnsi="Times New Roman" w:cs="Times New Roman"/>
          <w:sz w:val="22"/>
          <w:szCs w:val="22"/>
          <w:lang w:eastAsia="en-US"/>
        </w:rPr>
        <w:t>39</w:t>
      </w:r>
      <w:r w:rsidRPr="004B562A">
        <w:rPr>
          <w:rFonts w:ascii="Times New Roman" w:eastAsia="SimSun" w:hAnsi="Times New Roman" w:cs="Times New Roman"/>
          <w:sz w:val="22"/>
          <w:szCs w:val="22"/>
          <w:lang w:eastAsia="en-US"/>
        </w:rPr>
        <w:t xml:space="preserve"> mm. In addition, the average RMSE for density across </w:t>
      </w:r>
      <w:r>
        <w:rPr>
          <w:rFonts w:ascii="Times New Roman" w:eastAsia="SimSun" w:hAnsi="Times New Roman" w:cs="Times New Roman"/>
          <w:sz w:val="22"/>
          <w:szCs w:val="22"/>
          <w:lang w:eastAsia="en-US"/>
        </w:rPr>
        <w:t>node</w:t>
      </w:r>
      <w:r w:rsidRPr="004B562A">
        <w:rPr>
          <w:rFonts w:ascii="Times New Roman" w:eastAsia="SimSun" w:hAnsi="Times New Roman" w:cs="Times New Roman"/>
          <w:sz w:val="22"/>
          <w:szCs w:val="22"/>
          <w:lang w:eastAsia="en-US"/>
        </w:rPr>
        <w:t>s was 0.10</w:t>
      </w:r>
      <w:r w:rsidR="003C6CF8">
        <w:rPr>
          <w:rFonts w:ascii="Times New Roman" w:eastAsia="SimSun" w:hAnsi="Times New Roman" w:cs="Times New Roman"/>
          <w:sz w:val="22"/>
          <w:szCs w:val="22"/>
          <w:lang w:eastAsia="en-US"/>
        </w:rPr>
        <w:t>9</w:t>
      </w:r>
      <w:r w:rsidR="00C36F34">
        <w:rPr>
          <w:rFonts w:ascii="Times New Roman" w:eastAsia="SimSun" w:hAnsi="Times New Roman" w:cs="Times New Roman"/>
          <w:sz w:val="22"/>
          <w:szCs w:val="22"/>
          <w:lang w:eastAsia="en-US"/>
        </w:rPr>
        <w:t>31</w:t>
      </w:r>
      <w:r w:rsidRPr="004B562A">
        <w:rPr>
          <w:rFonts w:ascii="Times New Roman" w:eastAsia="SimSun" w:hAnsi="Times New Roman" w:cs="Times New Roman"/>
          <w:sz w:val="22"/>
          <w:szCs w:val="22"/>
          <w:lang w:eastAsia="en-US"/>
        </w:rPr>
        <w:t xml:space="preserve"> g/cm</w:t>
      </w:r>
      <w:r w:rsidRPr="004B562A">
        <w:rPr>
          <w:rFonts w:ascii="Times New Roman" w:eastAsia="SimSun" w:hAnsi="Times New Roman" w:cs="Times New Roman"/>
          <w:sz w:val="22"/>
          <w:szCs w:val="22"/>
          <w:vertAlign w:val="superscript"/>
          <w:lang w:eastAsia="en-US"/>
        </w:rPr>
        <w:t>3</w:t>
      </w:r>
      <w:r w:rsidRPr="004B562A">
        <w:rPr>
          <w:rFonts w:ascii="Times New Roman" w:eastAsia="SimSun" w:hAnsi="Times New Roman" w:cs="Times New Roman"/>
          <w:sz w:val="22"/>
          <w:szCs w:val="22"/>
          <w:lang w:eastAsia="en-US"/>
        </w:rPr>
        <w:t>, with a normalized RMSE of 2</w:t>
      </w:r>
      <w:r w:rsidR="00C36F34">
        <w:rPr>
          <w:rFonts w:ascii="Times New Roman" w:eastAsia="SimSun" w:hAnsi="Times New Roman" w:cs="Times New Roman"/>
          <w:sz w:val="22"/>
          <w:szCs w:val="22"/>
          <w:lang w:eastAsia="en-US"/>
        </w:rPr>
        <w:t>8.7</w:t>
      </w:r>
      <w:r w:rsidRPr="004B562A">
        <w:rPr>
          <w:rFonts w:ascii="Times New Roman" w:eastAsia="SimSun" w:hAnsi="Times New Roman" w:cs="Times New Roman"/>
          <w:sz w:val="22"/>
          <w:szCs w:val="22"/>
          <w:lang w:eastAsia="en-US"/>
        </w:rPr>
        <w:t>%</w:t>
      </w:r>
      <w:r>
        <w:rPr>
          <w:rFonts w:ascii="Times New Roman" w:eastAsia="SimSun" w:hAnsi="Times New Roman" w:cs="Times New Roman"/>
          <w:sz w:val="22"/>
          <w:szCs w:val="22"/>
          <w:lang w:eastAsia="en-US"/>
        </w:rPr>
        <w:t xml:space="preserve">. </w:t>
      </w:r>
      <w:r w:rsidRPr="004B562A">
        <w:rPr>
          <w:rFonts w:ascii="Times New Roman" w:eastAsia="SimSun" w:hAnsi="Times New Roman" w:cs="Times New Roman"/>
          <w:sz w:val="22"/>
          <w:szCs w:val="22"/>
          <w:lang w:eastAsia="en-US"/>
        </w:rPr>
        <w:t xml:space="preserve">We also investigated the difference </w:t>
      </w:r>
      <w:r>
        <w:rPr>
          <w:rFonts w:ascii="Times New Roman" w:eastAsia="SimSun" w:hAnsi="Times New Roman" w:cs="Times New Roman"/>
          <w:sz w:val="22"/>
          <w:szCs w:val="22"/>
          <w:lang w:eastAsia="en-US"/>
        </w:rPr>
        <w:t xml:space="preserve">(original </w:t>
      </w:r>
      <w:r>
        <w:rPr>
          <w:rFonts w:ascii="Times New Roman" w:eastAsia="SimSun" w:hAnsi="Times New Roman" w:cs="Times New Roman"/>
          <w:sz w:val="22"/>
          <w:szCs w:val="22"/>
          <w:lang w:eastAsia="en-US"/>
        </w:rPr>
        <w:lastRenderedPageBreak/>
        <w:t xml:space="preserve">density - predicted density) </w:t>
      </w:r>
      <w:r w:rsidRPr="004B562A">
        <w:rPr>
          <w:rFonts w:ascii="Times New Roman" w:eastAsia="SimSun" w:hAnsi="Times New Roman" w:cs="Times New Roman"/>
          <w:sz w:val="22"/>
          <w:szCs w:val="22"/>
          <w:lang w:eastAsia="en-US"/>
        </w:rPr>
        <w:t xml:space="preserve">in </w:t>
      </w:r>
      <w:r>
        <w:rPr>
          <w:rFonts w:ascii="Times New Roman" w:eastAsia="SimSun" w:hAnsi="Times New Roman" w:cs="Times New Roman"/>
          <w:sz w:val="22"/>
          <w:szCs w:val="22"/>
          <w:lang w:eastAsia="en-US"/>
        </w:rPr>
        <w:t xml:space="preserve">the </w:t>
      </w:r>
      <w:r w:rsidRPr="004B562A">
        <w:rPr>
          <w:rFonts w:ascii="Times New Roman" w:eastAsia="SimSun" w:hAnsi="Times New Roman" w:cs="Times New Roman"/>
          <w:sz w:val="22"/>
          <w:szCs w:val="22"/>
          <w:lang w:eastAsia="en-US"/>
        </w:rPr>
        <w:t xml:space="preserve">density per region in the </w:t>
      </w:r>
      <w:r>
        <w:rPr>
          <w:rFonts w:ascii="Times New Roman" w:eastAsia="SimSun" w:hAnsi="Times New Roman" w:cs="Times New Roman"/>
          <w:sz w:val="22"/>
          <w:szCs w:val="22"/>
          <w:lang w:eastAsia="en-US"/>
        </w:rPr>
        <w:t>tibia</w:t>
      </w:r>
      <w:r w:rsidRPr="004B562A">
        <w:rPr>
          <w:rFonts w:ascii="Times New Roman" w:eastAsia="SimSun" w:hAnsi="Times New Roman" w:cs="Times New Roman"/>
          <w:sz w:val="22"/>
          <w:szCs w:val="22"/>
          <w:lang w:eastAsia="en-US"/>
        </w:rPr>
        <w:t xml:space="preserve"> and found </w:t>
      </w:r>
      <w:r>
        <w:rPr>
          <w:rFonts w:ascii="Times New Roman" w:eastAsia="SimSun" w:hAnsi="Times New Roman" w:cs="Times New Roman"/>
          <w:sz w:val="22"/>
          <w:szCs w:val="22"/>
          <w:lang w:eastAsia="en-US"/>
        </w:rPr>
        <w:t xml:space="preserve">errors </w:t>
      </w:r>
      <w:r w:rsidRPr="004B562A">
        <w:rPr>
          <w:rFonts w:ascii="Times New Roman" w:eastAsia="SimSun" w:hAnsi="Times New Roman" w:cs="Times New Roman"/>
          <w:sz w:val="22"/>
          <w:szCs w:val="22"/>
          <w:lang w:eastAsia="en-US"/>
        </w:rPr>
        <w:t xml:space="preserve">were lower for each region with the shaft having the lowest </w:t>
      </w:r>
      <w:r w:rsidR="00556AE6">
        <w:rPr>
          <w:rFonts w:ascii="Times New Roman" w:eastAsia="SimSun" w:hAnsi="Times New Roman" w:cs="Times New Roman"/>
          <w:sz w:val="22"/>
          <w:szCs w:val="22"/>
          <w:lang w:eastAsia="en-US"/>
        </w:rPr>
        <w:t xml:space="preserve">normalized </w:t>
      </w:r>
      <w:r w:rsidRPr="004B562A">
        <w:rPr>
          <w:rFonts w:ascii="Times New Roman" w:eastAsia="SimSun" w:hAnsi="Times New Roman" w:cs="Times New Roman"/>
          <w:sz w:val="22"/>
          <w:szCs w:val="22"/>
          <w:lang w:eastAsia="en-US"/>
        </w:rPr>
        <w:t xml:space="preserve">prediction error (Table </w:t>
      </w:r>
      <w:r>
        <w:rPr>
          <w:rFonts w:ascii="Times New Roman" w:eastAsia="SimSun" w:hAnsi="Times New Roman" w:cs="Times New Roman"/>
          <w:sz w:val="22"/>
          <w:szCs w:val="22"/>
          <w:lang w:eastAsia="en-US"/>
        </w:rPr>
        <w:t>S1</w:t>
      </w:r>
      <w:r w:rsidRPr="004B562A">
        <w:rPr>
          <w:rFonts w:ascii="Times New Roman" w:eastAsia="SimSun" w:hAnsi="Times New Roman" w:cs="Times New Roman"/>
          <w:sz w:val="22"/>
          <w:szCs w:val="22"/>
          <w:lang w:eastAsia="en-US"/>
        </w:rPr>
        <w:t>).</w:t>
      </w:r>
    </w:p>
    <w:p w14:paraId="636DC104" w14:textId="7A5881FA" w:rsidR="00EF25EE" w:rsidRPr="00F44F20" w:rsidRDefault="0055270D" w:rsidP="00B72501">
      <w:pPr>
        <w:spacing w:before="120" w:after="120" w:line="480" w:lineRule="auto"/>
        <w:rPr>
          <w:rFonts w:ascii="Times New Roman" w:hAnsi="Times New Roman" w:cs="Times New Roman"/>
          <w:sz w:val="22"/>
          <w:szCs w:val="22"/>
        </w:rPr>
      </w:pPr>
      <w:r w:rsidRPr="00F44F20">
        <w:rPr>
          <w:rFonts w:ascii="Times New Roman" w:hAnsi="Times New Roman" w:cs="Times New Roman"/>
          <w:b/>
          <w:bCs/>
          <w:sz w:val="22"/>
          <w:szCs w:val="22"/>
        </w:rPr>
        <w:t xml:space="preserve">Table </w:t>
      </w:r>
      <w:r w:rsidR="008837BE" w:rsidRPr="00F44F20">
        <w:rPr>
          <w:rFonts w:ascii="Times New Roman" w:hAnsi="Times New Roman" w:cs="Times New Roman"/>
          <w:b/>
          <w:bCs/>
          <w:sz w:val="22"/>
          <w:szCs w:val="22"/>
        </w:rPr>
        <w:t>S1</w:t>
      </w:r>
      <w:r w:rsidR="00B106CF" w:rsidRPr="00F44F20">
        <w:rPr>
          <w:rFonts w:ascii="Times New Roman" w:hAnsi="Times New Roman" w:cs="Times New Roman"/>
          <w:sz w:val="22"/>
          <w:szCs w:val="22"/>
        </w:rPr>
        <w:t xml:space="preserve"> Bone mineral density prediction error (</w:t>
      </w:r>
      <w:r w:rsidR="00E65CA0" w:rsidRPr="00F44F20">
        <w:rPr>
          <w:rFonts w:ascii="Times New Roman" w:hAnsi="Times New Roman" w:cs="Times New Roman"/>
          <w:sz w:val="22"/>
          <w:szCs w:val="22"/>
        </w:rPr>
        <w:t>mean error</w:t>
      </w:r>
      <w:r w:rsidR="00B106CF" w:rsidRPr="00F44F20">
        <w:rPr>
          <w:rFonts w:ascii="Times New Roman" w:hAnsi="Times New Roman" w:cs="Times New Roman"/>
          <w:sz w:val="22"/>
          <w:szCs w:val="22"/>
        </w:rPr>
        <w:t xml:space="preserve"> in g/cm</w:t>
      </w:r>
      <w:r w:rsidR="00B106CF" w:rsidRPr="00F44F20">
        <w:rPr>
          <w:rFonts w:ascii="Times New Roman" w:hAnsi="Times New Roman" w:cs="Times New Roman"/>
          <w:sz w:val="22"/>
          <w:szCs w:val="22"/>
          <w:vertAlign w:val="superscript"/>
        </w:rPr>
        <w:t>3</w:t>
      </w:r>
      <w:r w:rsidR="00B106CF" w:rsidRPr="00F44F20">
        <w:rPr>
          <w:rFonts w:ascii="Times New Roman" w:hAnsi="Times New Roman" w:cs="Times New Roman"/>
          <w:sz w:val="22"/>
          <w:szCs w:val="22"/>
        </w:rPr>
        <w:t xml:space="preserve"> and </w:t>
      </w:r>
      <w:r w:rsidR="00E65CA0" w:rsidRPr="00F44F20">
        <w:rPr>
          <w:rFonts w:ascii="Times New Roman" w:hAnsi="Times New Roman" w:cs="Times New Roman"/>
          <w:sz w:val="22"/>
          <w:szCs w:val="22"/>
        </w:rPr>
        <w:t>normalized error</w:t>
      </w:r>
      <w:r w:rsidR="00B106CF" w:rsidRPr="00F44F20">
        <w:rPr>
          <w:rFonts w:ascii="Times New Roman" w:hAnsi="Times New Roman" w:cs="Times New Roman"/>
          <w:sz w:val="22"/>
          <w:szCs w:val="22"/>
        </w:rPr>
        <w:t xml:space="preserve"> (%)) for the leave-one-out analysis. The errors are displayed for the node-to-node comparison and average error in each region of interest</w:t>
      </w:r>
    </w:p>
    <w:tbl>
      <w:tblPr>
        <w:tblStyle w:val="TableGrid"/>
        <w:tblW w:w="5000" w:type="pct"/>
        <w:jc w:val="center"/>
        <w:tblLook w:val="04A0" w:firstRow="1" w:lastRow="0" w:firstColumn="1" w:lastColumn="0" w:noHBand="0" w:noVBand="1"/>
      </w:tblPr>
      <w:tblGrid>
        <w:gridCol w:w="3008"/>
        <w:gridCol w:w="3009"/>
        <w:gridCol w:w="3009"/>
      </w:tblGrid>
      <w:tr w:rsidR="00534586" w14:paraId="1F348080" w14:textId="483EB305" w:rsidTr="00534586">
        <w:trPr>
          <w:trHeight w:hRule="exact" w:val="432"/>
          <w:jc w:val="center"/>
        </w:trPr>
        <w:tc>
          <w:tcPr>
            <w:tcW w:w="1666" w:type="pct"/>
            <w:tcBorders>
              <w:left w:val="nil"/>
              <w:bottom w:val="single" w:sz="4" w:space="0" w:color="auto"/>
              <w:right w:val="nil"/>
            </w:tcBorders>
            <w:vAlign w:val="center"/>
          </w:tcPr>
          <w:p w14:paraId="31CCC47C" w14:textId="4B91235C" w:rsidR="0048625D" w:rsidRDefault="0048625D" w:rsidP="00B72501">
            <w:pPr>
              <w:jc w:val="center"/>
              <w:rPr>
                <w:rFonts w:ascii="Times New Roman" w:hAnsi="Times New Roman" w:cs="Times New Roman"/>
                <w:sz w:val="22"/>
                <w:szCs w:val="22"/>
              </w:rPr>
            </w:pPr>
            <w:r>
              <w:rPr>
                <w:rFonts w:ascii="Times New Roman" w:hAnsi="Times New Roman" w:cs="Times New Roman"/>
                <w:sz w:val="22"/>
                <w:szCs w:val="22"/>
              </w:rPr>
              <w:t>Regions of Interest</w:t>
            </w:r>
          </w:p>
        </w:tc>
        <w:tc>
          <w:tcPr>
            <w:tcW w:w="1667" w:type="pct"/>
            <w:tcBorders>
              <w:left w:val="nil"/>
              <w:bottom w:val="single" w:sz="4" w:space="0" w:color="auto"/>
              <w:right w:val="nil"/>
            </w:tcBorders>
            <w:vAlign w:val="center"/>
          </w:tcPr>
          <w:p w14:paraId="179A8D89" w14:textId="14BE30C5" w:rsidR="0048625D" w:rsidRDefault="0048625D" w:rsidP="00B72501">
            <w:pPr>
              <w:jc w:val="center"/>
              <w:rPr>
                <w:rFonts w:ascii="Times New Roman" w:hAnsi="Times New Roman" w:cs="Times New Roman"/>
                <w:sz w:val="22"/>
                <w:szCs w:val="22"/>
              </w:rPr>
            </w:pPr>
            <w:r>
              <w:rPr>
                <w:rFonts w:ascii="Times New Roman" w:hAnsi="Times New Roman" w:cs="Times New Roman"/>
                <w:sz w:val="22"/>
                <w:szCs w:val="22"/>
              </w:rPr>
              <w:t xml:space="preserve">Mean </w:t>
            </w:r>
            <w:r w:rsidR="003F4F9F">
              <w:rPr>
                <w:rFonts w:ascii="Times New Roman" w:hAnsi="Times New Roman" w:cs="Times New Roman"/>
                <w:sz w:val="22"/>
                <w:szCs w:val="22"/>
              </w:rPr>
              <w:t>E</w:t>
            </w:r>
            <w:r>
              <w:rPr>
                <w:rFonts w:ascii="Times New Roman" w:hAnsi="Times New Roman" w:cs="Times New Roman"/>
                <w:sz w:val="22"/>
                <w:szCs w:val="22"/>
              </w:rPr>
              <w:t>rror (g/cm</w:t>
            </w:r>
            <w:r w:rsidRPr="0048625D">
              <w:rPr>
                <w:rFonts w:ascii="Times New Roman" w:hAnsi="Times New Roman" w:cs="Times New Roman"/>
                <w:sz w:val="22"/>
                <w:szCs w:val="22"/>
                <w:vertAlign w:val="superscript"/>
              </w:rPr>
              <w:t>3</w:t>
            </w:r>
            <w:r>
              <w:rPr>
                <w:rFonts w:ascii="Times New Roman" w:hAnsi="Times New Roman" w:cs="Times New Roman"/>
                <w:sz w:val="22"/>
                <w:szCs w:val="22"/>
              </w:rPr>
              <w:t>)</w:t>
            </w:r>
          </w:p>
        </w:tc>
        <w:tc>
          <w:tcPr>
            <w:tcW w:w="1667" w:type="pct"/>
            <w:tcBorders>
              <w:left w:val="nil"/>
              <w:bottom w:val="single" w:sz="4" w:space="0" w:color="auto"/>
              <w:right w:val="nil"/>
            </w:tcBorders>
            <w:vAlign w:val="center"/>
          </w:tcPr>
          <w:p w14:paraId="28669DA9" w14:textId="45F2ED8C" w:rsidR="0048625D" w:rsidRDefault="003F4F9F" w:rsidP="00B72501">
            <w:pPr>
              <w:jc w:val="center"/>
              <w:rPr>
                <w:rFonts w:ascii="Times New Roman" w:hAnsi="Times New Roman" w:cs="Times New Roman"/>
                <w:sz w:val="22"/>
                <w:szCs w:val="22"/>
              </w:rPr>
            </w:pPr>
            <w:r>
              <w:rPr>
                <w:rFonts w:ascii="Times New Roman" w:hAnsi="Times New Roman" w:cs="Times New Roman"/>
                <w:sz w:val="22"/>
                <w:szCs w:val="22"/>
              </w:rPr>
              <w:t>Normalized Error (%)</w:t>
            </w:r>
          </w:p>
        </w:tc>
      </w:tr>
      <w:tr w:rsidR="00534586" w14:paraId="0C2EF206" w14:textId="143D16C6" w:rsidTr="00534586">
        <w:trPr>
          <w:trHeight w:hRule="exact" w:val="432"/>
          <w:jc w:val="center"/>
        </w:trPr>
        <w:tc>
          <w:tcPr>
            <w:tcW w:w="1666" w:type="pct"/>
            <w:tcBorders>
              <w:left w:val="nil"/>
              <w:bottom w:val="nil"/>
              <w:right w:val="nil"/>
            </w:tcBorders>
            <w:vAlign w:val="center"/>
          </w:tcPr>
          <w:p w14:paraId="3C32616A" w14:textId="2A727C45" w:rsidR="0048625D" w:rsidRPr="00D067A6" w:rsidRDefault="0048625D" w:rsidP="00B72501">
            <w:pPr>
              <w:jc w:val="center"/>
              <w:rPr>
                <w:rFonts w:ascii="Times New Roman" w:hAnsi="Times New Roman" w:cs="Times New Roman"/>
                <w:sz w:val="22"/>
                <w:szCs w:val="22"/>
              </w:rPr>
            </w:pPr>
            <w:r w:rsidRPr="00D067A6">
              <w:rPr>
                <w:rFonts w:ascii="Times New Roman" w:hAnsi="Times New Roman" w:cs="Times New Roman"/>
                <w:sz w:val="22"/>
                <w:szCs w:val="22"/>
              </w:rPr>
              <w:t>Node-to-node comparison</w:t>
            </w:r>
          </w:p>
        </w:tc>
        <w:tc>
          <w:tcPr>
            <w:tcW w:w="1667" w:type="pct"/>
            <w:tcBorders>
              <w:left w:val="nil"/>
              <w:bottom w:val="nil"/>
              <w:right w:val="nil"/>
            </w:tcBorders>
            <w:vAlign w:val="center"/>
          </w:tcPr>
          <w:p w14:paraId="73CFF676" w14:textId="143E36E4" w:rsidR="0048625D" w:rsidRPr="00D067A6" w:rsidRDefault="003F4F9F" w:rsidP="00B72501">
            <w:pPr>
              <w:jc w:val="center"/>
              <w:rPr>
                <w:rFonts w:ascii="Times New Roman" w:hAnsi="Times New Roman" w:cs="Times New Roman"/>
                <w:sz w:val="22"/>
                <w:szCs w:val="22"/>
              </w:rPr>
            </w:pPr>
            <w:r w:rsidRPr="00D067A6">
              <w:rPr>
                <w:rFonts w:ascii="Times New Roman" w:hAnsi="Times New Roman" w:cs="Times New Roman"/>
                <w:sz w:val="22"/>
                <w:szCs w:val="22"/>
              </w:rPr>
              <w:t>0.10</w:t>
            </w:r>
            <w:r w:rsidR="007A746F">
              <w:rPr>
                <w:rFonts w:ascii="Times New Roman" w:hAnsi="Times New Roman" w:cs="Times New Roman"/>
                <w:sz w:val="22"/>
                <w:szCs w:val="22"/>
              </w:rPr>
              <w:t>9</w:t>
            </w:r>
          </w:p>
        </w:tc>
        <w:tc>
          <w:tcPr>
            <w:tcW w:w="1667" w:type="pct"/>
            <w:tcBorders>
              <w:left w:val="nil"/>
              <w:bottom w:val="nil"/>
              <w:right w:val="nil"/>
            </w:tcBorders>
            <w:vAlign w:val="center"/>
          </w:tcPr>
          <w:p w14:paraId="069F6919" w14:textId="2805D91B" w:rsidR="0048625D" w:rsidRPr="00D067A6" w:rsidRDefault="0095239B" w:rsidP="00B72501">
            <w:pPr>
              <w:jc w:val="center"/>
              <w:rPr>
                <w:rFonts w:ascii="Times New Roman" w:hAnsi="Times New Roman" w:cs="Times New Roman"/>
                <w:sz w:val="22"/>
                <w:szCs w:val="22"/>
              </w:rPr>
            </w:pPr>
            <w:r w:rsidRPr="00D067A6">
              <w:rPr>
                <w:rFonts w:ascii="Times New Roman" w:hAnsi="Times New Roman" w:cs="Times New Roman"/>
                <w:sz w:val="22"/>
                <w:szCs w:val="22"/>
              </w:rPr>
              <w:t>2</w:t>
            </w:r>
            <w:r w:rsidR="007A746F">
              <w:rPr>
                <w:rFonts w:ascii="Times New Roman" w:hAnsi="Times New Roman" w:cs="Times New Roman"/>
                <w:sz w:val="22"/>
                <w:szCs w:val="22"/>
              </w:rPr>
              <w:t>8</w:t>
            </w:r>
            <w:r w:rsidRPr="00D067A6">
              <w:rPr>
                <w:rFonts w:ascii="Times New Roman" w:hAnsi="Times New Roman" w:cs="Times New Roman"/>
                <w:sz w:val="22"/>
                <w:szCs w:val="22"/>
              </w:rPr>
              <w:t>.</w:t>
            </w:r>
            <w:r w:rsidR="007A746F">
              <w:rPr>
                <w:rFonts w:ascii="Times New Roman" w:hAnsi="Times New Roman" w:cs="Times New Roman"/>
                <w:sz w:val="22"/>
                <w:szCs w:val="22"/>
              </w:rPr>
              <w:t>7</w:t>
            </w:r>
            <w:r w:rsidRPr="00D067A6">
              <w:rPr>
                <w:rFonts w:ascii="Times New Roman" w:hAnsi="Times New Roman" w:cs="Times New Roman"/>
                <w:sz w:val="22"/>
                <w:szCs w:val="22"/>
              </w:rPr>
              <w:t>%</w:t>
            </w:r>
          </w:p>
        </w:tc>
      </w:tr>
      <w:tr w:rsidR="00534586" w14:paraId="2914478A" w14:textId="577C2E43" w:rsidTr="00534586">
        <w:trPr>
          <w:trHeight w:hRule="exact" w:val="432"/>
          <w:jc w:val="center"/>
        </w:trPr>
        <w:tc>
          <w:tcPr>
            <w:tcW w:w="1666" w:type="pct"/>
            <w:tcBorders>
              <w:top w:val="nil"/>
              <w:left w:val="nil"/>
              <w:bottom w:val="nil"/>
              <w:right w:val="nil"/>
            </w:tcBorders>
            <w:vAlign w:val="center"/>
          </w:tcPr>
          <w:p w14:paraId="00078C0D" w14:textId="356213D7" w:rsidR="0048625D" w:rsidRDefault="0048625D" w:rsidP="00B72501">
            <w:pPr>
              <w:jc w:val="center"/>
              <w:rPr>
                <w:rFonts w:ascii="Times New Roman" w:hAnsi="Times New Roman" w:cs="Times New Roman"/>
                <w:sz w:val="22"/>
                <w:szCs w:val="22"/>
              </w:rPr>
            </w:pPr>
            <w:r>
              <w:rPr>
                <w:rFonts w:ascii="Times New Roman" w:hAnsi="Times New Roman" w:cs="Times New Roman"/>
                <w:sz w:val="22"/>
                <w:szCs w:val="22"/>
              </w:rPr>
              <w:t>Proximal end</w:t>
            </w:r>
          </w:p>
        </w:tc>
        <w:tc>
          <w:tcPr>
            <w:tcW w:w="1667" w:type="pct"/>
            <w:tcBorders>
              <w:top w:val="nil"/>
              <w:left w:val="nil"/>
              <w:bottom w:val="nil"/>
              <w:right w:val="nil"/>
            </w:tcBorders>
            <w:vAlign w:val="center"/>
          </w:tcPr>
          <w:p w14:paraId="3C948738" w14:textId="27B63FF1" w:rsidR="0048625D" w:rsidRDefault="00E25065" w:rsidP="00B72501">
            <w:pPr>
              <w:jc w:val="center"/>
              <w:rPr>
                <w:rFonts w:ascii="Times New Roman" w:hAnsi="Times New Roman" w:cs="Times New Roman"/>
                <w:sz w:val="22"/>
                <w:szCs w:val="22"/>
              </w:rPr>
            </w:pPr>
            <w:r>
              <w:rPr>
                <w:rFonts w:ascii="Times New Roman" w:hAnsi="Times New Roman" w:cs="Times New Roman"/>
                <w:sz w:val="22"/>
                <w:szCs w:val="22"/>
              </w:rPr>
              <w:t>0.026</w:t>
            </w:r>
          </w:p>
        </w:tc>
        <w:tc>
          <w:tcPr>
            <w:tcW w:w="1667" w:type="pct"/>
            <w:tcBorders>
              <w:top w:val="nil"/>
              <w:left w:val="nil"/>
              <w:bottom w:val="nil"/>
              <w:right w:val="nil"/>
            </w:tcBorders>
            <w:vAlign w:val="center"/>
          </w:tcPr>
          <w:p w14:paraId="5207A62B" w14:textId="6C20AE5F" w:rsidR="0048625D" w:rsidRDefault="009839D5" w:rsidP="00B72501">
            <w:pPr>
              <w:jc w:val="center"/>
              <w:rPr>
                <w:rFonts w:ascii="Times New Roman" w:hAnsi="Times New Roman" w:cs="Times New Roman"/>
                <w:sz w:val="22"/>
                <w:szCs w:val="22"/>
              </w:rPr>
            </w:pPr>
            <w:r>
              <w:rPr>
                <w:rFonts w:ascii="Times New Roman" w:hAnsi="Times New Roman" w:cs="Times New Roman"/>
                <w:sz w:val="22"/>
                <w:szCs w:val="22"/>
              </w:rPr>
              <w:t>11</w:t>
            </w:r>
            <w:r w:rsidR="00ED6D9C">
              <w:rPr>
                <w:rFonts w:ascii="Times New Roman" w:hAnsi="Times New Roman" w:cs="Times New Roman"/>
                <w:sz w:val="22"/>
                <w:szCs w:val="22"/>
              </w:rPr>
              <w:t>.</w:t>
            </w:r>
            <w:r w:rsidR="00F919F9">
              <w:rPr>
                <w:rFonts w:ascii="Times New Roman" w:hAnsi="Times New Roman" w:cs="Times New Roman"/>
                <w:sz w:val="22"/>
                <w:szCs w:val="22"/>
              </w:rPr>
              <w:t>5</w:t>
            </w:r>
            <w:r>
              <w:rPr>
                <w:rFonts w:ascii="Times New Roman" w:hAnsi="Times New Roman" w:cs="Times New Roman"/>
                <w:sz w:val="22"/>
                <w:szCs w:val="22"/>
              </w:rPr>
              <w:t>%</w:t>
            </w:r>
          </w:p>
        </w:tc>
      </w:tr>
      <w:tr w:rsidR="0048625D" w14:paraId="1FFCC529" w14:textId="2C634EF1" w:rsidTr="00534586">
        <w:trPr>
          <w:trHeight w:hRule="exact" w:val="432"/>
          <w:jc w:val="center"/>
        </w:trPr>
        <w:tc>
          <w:tcPr>
            <w:tcW w:w="1666" w:type="pct"/>
            <w:tcBorders>
              <w:top w:val="nil"/>
              <w:left w:val="nil"/>
              <w:bottom w:val="nil"/>
              <w:right w:val="nil"/>
            </w:tcBorders>
            <w:vAlign w:val="center"/>
          </w:tcPr>
          <w:p w14:paraId="0A09323B" w14:textId="51C756B6" w:rsidR="0048625D" w:rsidRDefault="0048625D" w:rsidP="00B72501">
            <w:pPr>
              <w:jc w:val="center"/>
              <w:rPr>
                <w:rFonts w:ascii="Times New Roman" w:hAnsi="Times New Roman" w:cs="Times New Roman"/>
                <w:sz w:val="22"/>
                <w:szCs w:val="22"/>
              </w:rPr>
            </w:pPr>
            <w:r>
              <w:rPr>
                <w:rFonts w:ascii="Times New Roman" w:hAnsi="Times New Roman" w:cs="Times New Roman"/>
                <w:sz w:val="22"/>
                <w:szCs w:val="22"/>
              </w:rPr>
              <w:t>Shaft</w:t>
            </w:r>
          </w:p>
        </w:tc>
        <w:tc>
          <w:tcPr>
            <w:tcW w:w="1667" w:type="pct"/>
            <w:tcBorders>
              <w:top w:val="nil"/>
              <w:left w:val="nil"/>
              <w:bottom w:val="nil"/>
              <w:right w:val="nil"/>
            </w:tcBorders>
            <w:vAlign w:val="center"/>
          </w:tcPr>
          <w:p w14:paraId="1DD8C4A6" w14:textId="013DB934" w:rsidR="0048625D" w:rsidRDefault="00C53C1C" w:rsidP="00B72501">
            <w:pPr>
              <w:jc w:val="center"/>
              <w:rPr>
                <w:rFonts w:ascii="Times New Roman" w:hAnsi="Times New Roman" w:cs="Times New Roman"/>
                <w:sz w:val="22"/>
                <w:szCs w:val="22"/>
              </w:rPr>
            </w:pPr>
            <w:r>
              <w:rPr>
                <w:rFonts w:ascii="Times New Roman" w:hAnsi="Times New Roman" w:cs="Times New Roman"/>
                <w:sz w:val="22"/>
                <w:szCs w:val="22"/>
              </w:rPr>
              <w:t>0.044</w:t>
            </w:r>
          </w:p>
        </w:tc>
        <w:tc>
          <w:tcPr>
            <w:tcW w:w="1667" w:type="pct"/>
            <w:tcBorders>
              <w:top w:val="nil"/>
              <w:left w:val="nil"/>
              <w:bottom w:val="nil"/>
              <w:right w:val="nil"/>
            </w:tcBorders>
            <w:vAlign w:val="center"/>
          </w:tcPr>
          <w:p w14:paraId="78D84B4A" w14:textId="52150D4D" w:rsidR="0048625D" w:rsidRDefault="00E70A51" w:rsidP="00B72501">
            <w:pPr>
              <w:jc w:val="center"/>
              <w:rPr>
                <w:rFonts w:ascii="Times New Roman" w:hAnsi="Times New Roman" w:cs="Times New Roman"/>
                <w:sz w:val="22"/>
                <w:szCs w:val="22"/>
              </w:rPr>
            </w:pPr>
            <w:r>
              <w:rPr>
                <w:rFonts w:ascii="Times New Roman" w:hAnsi="Times New Roman" w:cs="Times New Roman"/>
                <w:sz w:val="22"/>
                <w:szCs w:val="22"/>
              </w:rPr>
              <w:t>7.9</w:t>
            </w:r>
            <w:r w:rsidR="00ED6D9C">
              <w:rPr>
                <w:rFonts w:ascii="Times New Roman" w:hAnsi="Times New Roman" w:cs="Times New Roman"/>
                <w:sz w:val="22"/>
                <w:szCs w:val="22"/>
              </w:rPr>
              <w:t>%</w:t>
            </w:r>
          </w:p>
        </w:tc>
      </w:tr>
      <w:tr w:rsidR="0048625D" w14:paraId="089A6B6A" w14:textId="4BF5D89E" w:rsidTr="00534586">
        <w:trPr>
          <w:trHeight w:hRule="exact" w:val="432"/>
          <w:jc w:val="center"/>
        </w:trPr>
        <w:tc>
          <w:tcPr>
            <w:tcW w:w="1666" w:type="pct"/>
            <w:tcBorders>
              <w:top w:val="nil"/>
              <w:left w:val="nil"/>
              <w:bottom w:val="single" w:sz="4" w:space="0" w:color="auto"/>
              <w:right w:val="nil"/>
            </w:tcBorders>
            <w:vAlign w:val="center"/>
          </w:tcPr>
          <w:p w14:paraId="3F2479DB" w14:textId="145DDEF9" w:rsidR="0048625D" w:rsidRDefault="0048625D" w:rsidP="00B72501">
            <w:pPr>
              <w:jc w:val="center"/>
              <w:rPr>
                <w:rFonts w:ascii="Times New Roman" w:hAnsi="Times New Roman" w:cs="Times New Roman"/>
                <w:sz w:val="22"/>
                <w:szCs w:val="22"/>
              </w:rPr>
            </w:pPr>
            <w:r>
              <w:rPr>
                <w:rFonts w:ascii="Times New Roman" w:hAnsi="Times New Roman" w:cs="Times New Roman"/>
                <w:sz w:val="22"/>
                <w:szCs w:val="22"/>
              </w:rPr>
              <w:t>Distal end</w:t>
            </w:r>
          </w:p>
        </w:tc>
        <w:tc>
          <w:tcPr>
            <w:tcW w:w="1667" w:type="pct"/>
            <w:tcBorders>
              <w:top w:val="nil"/>
              <w:left w:val="nil"/>
              <w:bottom w:val="single" w:sz="4" w:space="0" w:color="auto"/>
              <w:right w:val="nil"/>
            </w:tcBorders>
            <w:vAlign w:val="center"/>
          </w:tcPr>
          <w:p w14:paraId="756396BB" w14:textId="0C81D1A1" w:rsidR="0048625D" w:rsidRDefault="00C53C1C" w:rsidP="00B72501">
            <w:pPr>
              <w:jc w:val="center"/>
              <w:rPr>
                <w:rFonts w:ascii="Times New Roman" w:hAnsi="Times New Roman" w:cs="Times New Roman"/>
                <w:sz w:val="22"/>
                <w:szCs w:val="22"/>
              </w:rPr>
            </w:pPr>
            <w:r>
              <w:rPr>
                <w:rFonts w:ascii="Times New Roman" w:hAnsi="Times New Roman" w:cs="Times New Roman"/>
                <w:sz w:val="22"/>
                <w:szCs w:val="22"/>
              </w:rPr>
              <w:t>0.030</w:t>
            </w:r>
          </w:p>
        </w:tc>
        <w:tc>
          <w:tcPr>
            <w:tcW w:w="1667" w:type="pct"/>
            <w:tcBorders>
              <w:top w:val="nil"/>
              <w:left w:val="nil"/>
              <w:bottom w:val="single" w:sz="4" w:space="0" w:color="auto"/>
              <w:right w:val="nil"/>
            </w:tcBorders>
            <w:vAlign w:val="center"/>
          </w:tcPr>
          <w:p w14:paraId="3183FECA" w14:textId="5DAD91C0" w:rsidR="0048625D" w:rsidRDefault="001D38B3" w:rsidP="00B72501">
            <w:pPr>
              <w:jc w:val="center"/>
              <w:rPr>
                <w:rFonts w:ascii="Times New Roman" w:hAnsi="Times New Roman" w:cs="Times New Roman"/>
                <w:sz w:val="22"/>
                <w:szCs w:val="22"/>
              </w:rPr>
            </w:pPr>
            <w:r>
              <w:rPr>
                <w:rFonts w:ascii="Times New Roman" w:hAnsi="Times New Roman" w:cs="Times New Roman"/>
                <w:sz w:val="22"/>
                <w:szCs w:val="22"/>
              </w:rPr>
              <w:t>10.</w:t>
            </w:r>
            <w:r w:rsidR="00E70A51">
              <w:rPr>
                <w:rFonts w:ascii="Times New Roman" w:hAnsi="Times New Roman" w:cs="Times New Roman"/>
                <w:sz w:val="22"/>
                <w:szCs w:val="22"/>
              </w:rPr>
              <w:t>5</w:t>
            </w:r>
            <w:r w:rsidR="00ED6D9C">
              <w:rPr>
                <w:rFonts w:ascii="Times New Roman" w:hAnsi="Times New Roman" w:cs="Times New Roman"/>
                <w:sz w:val="22"/>
                <w:szCs w:val="22"/>
              </w:rPr>
              <w:t>%</w:t>
            </w:r>
          </w:p>
        </w:tc>
      </w:tr>
    </w:tbl>
    <w:p w14:paraId="21A40A79" w14:textId="3FFFEF01" w:rsidR="00EF25EE" w:rsidRDefault="00EF25EE" w:rsidP="00DD05AD">
      <w:pPr>
        <w:rPr>
          <w:rFonts w:ascii="Times New Roman" w:hAnsi="Times New Roman" w:cs="Times New Roman"/>
          <w:sz w:val="22"/>
          <w:szCs w:val="22"/>
        </w:rPr>
      </w:pPr>
    </w:p>
    <w:p w14:paraId="1BA18A5E" w14:textId="34125D70" w:rsidR="008F585C" w:rsidRDefault="008F585C" w:rsidP="008F585C">
      <w:pPr>
        <w:spacing w:before="120" w:after="120" w:line="480" w:lineRule="auto"/>
        <w:rPr>
          <w:rFonts w:ascii="Times New Roman" w:hAnsi="Times New Roman" w:cs="Times New Roman"/>
          <w:sz w:val="28"/>
          <w:szCs w:val="28"/>
        </w:rPr>
      </w:pPr>
      <w:r w:rsidRPr="004A5992">
        <w:rPr>
          <w:rFonts w:ascii="Times New Roman" w:hAnsi="Times New Roman" w:cs="Times New Roman"/>
          <w:sz w:val="28"/>
          <w:szCs w:val="28"/>
        </w:rPr>
        <w:t>S</w:t>
      </w:r>
      <w:r w:rsidR="00C0539A">
        <w:rPr>
          <w:rFonts w:ascii="Times New Roman" w:hAnsi="Times New Roman" w:cs="Times New Roman"/>
          <w:sz w:val="28"/>
          <w:szCs w:val="28"/>
        </w:rPr>
        <w:t>4</w:t>
      </w:r>
      <w:r w:rsidRPr="004A5992">
        <w:rPr>
          <w:rFonts w:ascii="Times New Roman" w:hAnsi="Times New Roman" w:cs="Times New Roman"/>
          <w:sz w:val="28"/>
          <w:szCs w:val="28"/>
        </w:rPr>
        <w:t>. Systematic bias</w:t>
      </w:r>
      <w:r>
        <w:rPr>
          <w:rFonts w:ascii="Times New Roman" w:hAnsi="Times New Roman" w:cs="Times New Roman"/>
          <w:sz w:val="28"/>
          <w:szCs w:val="28"/>
        </w:rPr>
        <w:t xml:space="preserve"> in Von Mises stress</w:t>
      </w:r>
    </w:p>
    <w:p w14:paraId="1F45FD4F" w14:textId="77777777" w:rsidR="008F585C" w:rsidRDefault="008F585C" w:rsidP="008F585C">
      <w:pPr>
        <w:spacing w:before="120" w:after="120" w:line="480" w:lineRule="auto"/>
        <w:rPr>
          <w:rFonts w:ascii="Times New Roman" w:hAnsi="Times New Roman" w:cs="Times New Roman"/>
          <w:sz w:val="28"/>
          <w:szCs w:val="28"/>
        </w:rPr>
      </w:pPr>
      <w:r w:rsidRPr="00A748AC">
        <w:rPr>
          <w:rFonts w:ascii="Times New Roman" w:hAnsi="Times New Roman" w:cs="Times New Roman"/>
          <w:sz w:val="22"/>
          <w:szCs w:val="22"/>
          <w:lang w:val="en-US"/>
        </w:rPr>
        <w:t xml:space="preserve">Systematic bias and confidence intervals in Von Mises stress values were quantified using Bland-Altman plots in specific regions: proximal end (upper 20% of total length), shaft and distal end (lower 20% of total length) for both femur and tibia </w:t>
      </w:r>
      <w:sdt>
        <w:sdtPr>
          <w:rPr>
            <w:rFonts w:ascii="Times New Roman" w:hAnsi="Times New Roman" w:cs="Times New Roman"/>
            <w:color w:val="000000"/>
            <w:sz w:val="22"/>
            <w:szCs w:val="22"/>
            <w:lang w:val="en-US"/>
          </w:rPr>
          <w:tag w:val="MENDELEY_CITATION_v3_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"/>
          <w:id w:val="1118030839"/>
          <w:placeholder>
            <w:docPart w:val="4CABE0BAE8674CB39C762B84B75713D1"/>
          </w:placeholder>
        </w:sdtPr>
        <w:sdtEndPr/>
        <w:sdtContent>
          <w:r w:rsidRPr="00E1009B">
            <w:rPr>
              <w:rFonts w:ascii="Times New Roman" w:hAnsi="Times New Roman" w:cs="Times New Roman"/>
              <w:color w:val="000000"/>
              <w:sz w:val="22"/>
              <w:szCs w:val="22"/>
              <w:lang w:val="en-US"/>
            </w:rPr>
            <w:t>(Gosman et al. 2013)</w:t>
          </w:r>
        </w:sdtContent>
      </w:sdt>
      <w:r w:rsidRPr="00A748AC">
        <w:rPr>
          <w:rFonts w:ascii="Times New Roman" w:hAnsi="Times New Roman" w:cs="Times New Roman"/>
          <w:sz w:val="22"/>
          <w:szCs w:val="22"/>
          <w:lang w:val="en-US"/>
        </w:rPr>
        <w:t>.</w:t>
      </w:r>
    </w:p>
    <w:p w14:paraId="5B138C46" w14:textId="7D5416F8" w:rsidR="008F585C" w:rsidRPr="00A748AC" w:rsidRDefault="008F585C" w:rsidP="008F585C">
      <w:pPr>
        <w:spacing w:before="120" w:after="120" w:line="480" w:lineRule="auto"/>
        <w:jc w:val="both"/>
        <w:rPr>
          <w:rFonts w:ascii="Times New Roman" w:hAnsi="Times New Roman" w:cs="Times New Roman"/>
          <w:sz w:val="22"/>
          <w:szCs w:val="22"/>
          <w:lang w:val="en-US"/>
        </w:rPr>
      </w:pPr>
      <w:r w:rsidRPr="0078321D">
        <w:rPr>
          <w:rFonts w:ascii="Times New Roman" w:hAnsi="Times New Roman" w:cs="Times New Roman"/>
          <w:sz w:val="22"/>
          <w:szCs w:val="22"/>
          <w:lang w:val="en-US"/>
        </w:rPr>
        <w:t xml:space="preserve">The Bland-Altman plots (Fig. </w:t>
      </w:r>
      <w:r w:rsidR="00E46D22">
        <w:rPr>
          <w:rFonts w:ascii="Times New Roman" w:hAnsi="Times New Roman" w:cs="Times New Roman" w:hint="eastAsia"/>
          <w:sz w:val="22"/>
          <w:szCs w:val="22"/>
          <w:lang w:val="en-US"/>
        </w:rPr>
        <w:t>S5</w:t>
      </w:r>
      <w:r w:rsidRPr="0078321D">
        <w:rPr>
          <w:rFonts w:ascii="Times New Roman" w:hAnsi="Times New Roman" w:cs="Times New Roman"/>
          <w:sz w:val="22"/>
          <w:szCs w:val="22"/>
          <w:lang w:val="en-US"/>
        </w:rPr>
        <w:t xml:space="preserve">) illustrated the agreement between CT-based and shape-density-based FEA in predicting Average Von Mises stress across different regions of the femur and tibia, including proximal end, shaft and distal end. Systematic </w:t>
      </w:r>
      <w:proofErr w:type="gramStart"/>
      <w:r w:rsidRPr="0078321D">
        <w:rPr>
          <w:rFonts w:ascii="Times New Roman" w:hAnsi="Times New Roman" w:cs="Times New Roman"/>
          <w:sz w:val="22"/>
          <w:szCs w:val="22"/>
          <w:lang w:val="en-US"/>
        </w:rPr>
        <w:t>bias</w:t>
      </w:r>
      <w:proofErr w:type="gramEnd"/>
      <w:r w:rsidRPr="0078321D">
        <w:rPr>
          <w:rFonts w:ascii="Times New Roman" w:hAnsi="Times New Roman" w:cs="Times New Roman"/>
          <w:sz w:val="22"/>
          <w:szCs w:val="22"/>
          <w:lang w:val="en-US"/>
        </w:rPr>
        <w:t xml:space="preserve"> were found at the shaft, where the mean differences were negative, indicating that the shape-density-based FEA underestimated the Von Mises stress compared to CT-based FEA. Smaller</w:t>
      </w:r>
      <w:r w:rsidRPr="0078321D">
        <w:rPr>
          <w:rFonts w:ascii="Times New Roman" w:hAnsi="Times New Roman" w:cs="Times New Roman"/>
          <w:sz w:val="22"/>
          <w:szCs w:val="22"/>
        </w:rPr>
        <w:t xml:space="preserve"> bias and discrepancies were observed at the proximal and distal ends of both bones. Overall, there was good agreement between the models, with observed differences in Von Mises stress up to -0.13 MPa and discrepancies up to 0.76 MPa across the various regions.</w:t>
      </w:r>
    </w:p>
    <w:p w14:paraId="17F94BB3" w14:textId="77777777" w:rsidR="008F585C" w:rsidRPr="0078321D" w:rsidRDefault="008F585C" w:rsidP="008F585C">
      <w:pPr>
        <w:spacing w:before="120" w:after="120" w:line="480" w:lineRule="auto"/>
        <w:rPr>
          <w:rFonts w:ascii="Times New Roman" w:hAnsi="Times New Roman" w:cs="Times New Roman"/>
          <w:sz w:val="28"/>
          <w:szCs w:val="28"/>
          <w:lang w:val="en-US"/>
        </w:rPr>
      </w:pPr>
    </w:p>
    <w:p w14:paraId="51D9C594" w14:textId="77777777" w:rsidR="008F585C" w:rsidRPr="00B46B48" w:rsidRDefault="008F585C" w:rsidP="008F585C">
      <w:pPr>
        <w:spacing w:before="120" w:after="120" w:line="480" w:lineRule="auto"/>
        <w:rPr>
          <w:rFonts w:ascii="Times New Roman" w:hAnsi="Times New Roman" w:cs="Times New Roman"/>
          <w:sz w:val="22"/>
          <w:szCs w:val="22"/>
        </w:rPr>
      </w:pPr>
      <w:r>
        <w:rPr>
          <w:noProof/>
        </w:rPr>
        <w:lastRenderedPageBreak/>
        <w:drawing>
          <wp:inline distT="0" distB="0" distL="0" distR="0" wp14:anchorId="2A7D9768" wp14:editId="2F26460D">
            <wp:extent cx="5731510" cy="6230620"/>
            <wp:effectExtent l="0" t="0" r="2540" b="0"/>
            <wp:docPr id="1814815385" name="Picture 1" descr="A group of graphs with red sp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77476" name="Picture 1" descr="A group of graphs with red spots&#10;&#10;Description automatically generated"/>
                    <pic:cNvPicPr/>
                  </pic:nvPicPr>
                  <pic:blipFill>
                    <a:blip r:embed="rId11"/>
                    <a:stretch>
                      <a:fillRect/>
                    </a:stretch>
                  </pic:blipFill>
                  <pic:spPr>
                    <a:xfrm>
                      <a:off x="0" y="0"/>
                      <a:ext cx="5731510" cy="6230620"/>
                    </a:xfrm>
                    <a:prstGeom prst="rect">
                      <a:avLst/>
                    </a:prstGeom>
                  </pic:spPr>
                </pic:pic>
              </a:graphicData>
            </a:graphic>
          </wp:inline>
        </w:drawing>
      </w:r>
      <w:r w:rsidRPr="00772D35">
        <w:rPr>
          <w:rFonts w:ascii="Times New Roman" w:hAnsi="Times New Roman" w:cs="Times New Roman"/>
          <w:b/>
          <w:bCs/>
          <w:sz w:val="22"/>
          <w:szCs w:val="22"/>
          <w:lang w:val="en-US"/>
        </w:rPr>
        <w:t xml:space="preserve">Fig. </w:t>
      </w:r>
      <w:r>
        <w:rPr>
          <w:rFonts w:ascii="Times New Roman" w:hAnsi="Times New Roman" w:cs="Times New Roman"/>
          <w:b/>
          <w:bCs/>
          <w:sz w:val="22"/>
          <w:szCs w:val="22"/>
        </w:rPr>
        <w:t>S5</w:t>
      </w:r>
      <w:r w:rsidRPr="00772D35">
        <w:rPr>
          <w:rFonts w:ascii="Times New Roman" w:hAnsi="Times New Roman" w:cs="Times New Roman"/>
          <w:sz w:val="22"/>
          <w:szCs w:val="22"/>
          <w:lang w:val="en-US"/>
        </w:rPr>
        <w:t xml:space="preserve"> Bland-Altman plots of Von Mises stress for the femur and tibia: average Von Mises stress of CT-based and statistical shape-density-based models against their differences (CT – shape-density) across different regions: proximal femur (a), femoral shaft (b), distal femur (c), proximal tibia (d), tibial shaft</w:t>
      </w:r>
      <w:r>
        <w:rPr>
          <w:rFonts w:ascii="Times New Roman" w:hAnsi="Times New Roman" w:cs="Times New Roman" w:hint="eastAsia"/>
          <w:sz w:val="22"/>
          <w:szCs w:val="22"/>
          <w:lang w:val="en-US"/>
        </w:rPr>
        <w:t xml:space="preserve"> </w:t>
      </w:r>
      <w:r w:rsidRPr="00772D35">
        <w:rPr>
          <w:rFonts w:ascii="Times New Roman" w:hAnsi="Times New Roman" w:cs="Times New Roman"/>
          <w:sz w:val="22"/>
          <w:szCs w:val="22"/>
          <w:lang w:val="en-US"/>
        </w:rPr>
        <w:t>(e), distal tibia (f)</w:t>
      </w:r>
    </w:p>
    <w:p w14:paraId="27C79245" w14:textId="5C63B16A" w:rsidR="00412F63" w:rsidRDefault="00F44F20" w:rsidP="0029381F">
      <w:pPr>
        <w:spacing w:before="120" w:after="120" w:line="480" w:lineRule="auto"/>
        <w:rPr>
          <w:rFonts w:ascii="Times New Roman" w:hAnsi="Times New Roman" w:cs="Times New Roman"/>
          <w:sz w:val="28"/>
          <w:szCs w:val="28"/>
        </w:rPr>
      </w:pPr>
      <w:r>
        <w:rPr>
          <w:rFonts w:ascii="Times New Roman" w:hAnsi="Times New Roman" w:cs="Times New Roman"/>
          <w:sz w:val="28"/>
          <w:szCs w:val="28"/>
        </w:rPr>
        <w:t>S</w:t>
      </w:r>
      <w:r w:rsidR="008F585C">
        <w:rPr>
          <w:rFonts w:ascii="Times New Roman" w:hAnsi="Times New Roman" w:cs="Times New Roman"/>
          <w:sz w:val="28"/>
          <w:szCs w:val="28"/>
        </w:rPr>
        <w:t>5</w:t>
      </w:r>
      <w:r w:rsidR="006804D5" w:rsidRPr="006F34A8">
        <w:rPr>
          <w:rFonts w:ascii="Times New Roman" w:hAnsi="Times New Roman" w:cs="Times New Roman"/>
          <w:sz w:val="28"/>
          <w:szCs w:val="28"/>
        </w:rPr>
        <w:t>.</w:t>
      </w:r>
      <w:r w:rsidR="00412F63" w:rsidRPr="006F34A8">
        <w:rPr>
          <w:rFonts w:ascii="Times New Roman" w:hAnsi="Times New Roman" w:cs="Times New Roman"/>
          <w:sz w:val="28"/>
          <w:szCs w:val="28"/>
        </w:rPr>
        <w:t xml:space="preserve"> Stress and strain prediction accuracy</w:t>
      </w:r>
    </w:p>
    <w:p w14:paraId="20E784B4" w14:textId="3A628B43" w:rsidR="00C668AD" w:rsidRPr="00FF60BF" w:rsidRDefault="00FF60BF" w:rsidP="00FF60BF">
      <w:pPr>
        <w:spacing w:before="120" w:after="120" w:line="480" w:lineRule="auto"/>
        <w:jc w:val="both"/>
        <w:rPr>
          <w:rFonts w:ascii="Times New Roman" w:eastAsia="SimSun" w:hAnsi="Times New Roman" w:cs="Times New Roman"/>
          <w:sz w:val="22"/>
          <w:szCs w:val="22"/>
          <w:lang w:eastAsia="en-US"/>
        </w:rPr>
      </w:pPr>
      <w:r w:rsidRPr="00FF60BF">
        <w:rPr>
          <w:rFonts w:ascii="Times New Roman" w:eastAsia="SimSun" w:hAnsi="Times New Roman" w:cs="Times New Roman"/>
          <w:sz w:val="22"/>
          <w:szCs w:val="22"/>
          <w:lang w:eastAsia="en-US"/>
        </w:rPr>
        <w:t>Von Mises stress differences</w:t>
      </w:r>
      <w:r w:rsidR="00953895">
        <w:rPr>
          <w:rFonts w:ascii="Times New Roman" w:eastAsia="SimSun" w:hAnsi="Times New Roman" w:cs="Times New Roman"/>
          <w:sz w:val="22"/>
          <w:szCs w:val="22"/>
          <w:lang w:eastAsia="en-US"/>
        </w:rPr>
        <w:t xml:space="preserve"> </w:t>
      </w:r>
      <w:r w:rsidRPr="00FF60BF">
        <w:rPr>
          <w:rFonts w:ascii="Times New Roman" w:eastAsia="SimSun" w:hAnsi="Times New Roman" w:cs="Times New Roman"/>
          <w:sz w:val="22"/>
          <w:szCs w:val="22"/>
          <w:lang w:eastAsia="en-US"/>
        </w:rPr>
        <w:t>were assessed at the element level using root-mean-square error (RMSE) and normalized root-mean-square error (NRMSE), which was normalized by the maximum stress</w:t>
      </w:r>
      <w:r w:rsidR="000231C1">
        <w:rPr>
          <w:rFonts w:ascii="Times New Roman" w:eastAsia="SimSun" w:hAnsi="Times New Roman" w:cs="Times New Roman"/>
          <w:sz w:val="22"/>
          <w:szCs w:val="22"/>
          <w:lang w:eastAsia="en-US"/>
        </w:rPr>
        <w:t>.</w:t>
      </w:r>
      <w:r w:rsidR="009F603A" w:rsidRPr="009F603A">
        <w:rPr>
          <w:rFonts w:ascii="Times New Roman" w:hAnsi="Times New Roman" w:cs="Times New Roman"/>
          <w:sz w:val="22"/>
          <w:szCs w:val="22"/>
        </w:rPr>
        <w:t xml:space="preserve"> </w:t>
      </w:r>
      <w:r w:rsidR="009F603A" w:rsidRPr="009F603A">
        <w:rPr>
          <w:rFonts w:ascii="Times New Roman" w:eastAsia="SimSun" w:hAnsi="Times New Roman" w:cs="Times New Roman"/>
          <w:sz w:val="22"/>
          <w:szCs w:val="22"/>
          <w:lang w:eastAsia="en-US"/>
        </w:rPr>
        <w:t xml:space="preserve">In </w:t>
      </w:r>
      <w:r w:rsidR="009F603A" w:rsidRPr="009F603A">
        <w:rPr>
          <w:rFonts w:ascii="Times New Roman" w:eastAsia="SimSun" w:hAnsi="Times New Roman" w:cs="Times New Roman"/>
          <w:sz w:val="22"/>
          <w:szCs w:val="22"/>
          <w:lang w:eastAsia="en-US"/>
        </w:rPr>
        <w:lastRenderedPageBreak/>
        <w:t xml:space="preserve">addition to stress, RMSE and NRMSE were assessed for principal strains across the femur and tibia. </w:t>
      </w:r>
      <w:r w:rsidR="00BF54D1">
        <w:rPr>
          <w:rFonts w:ascii="Times New Roman" w:eastAsia="SimSun" w:hAnsi="Times New Roman" w:cs="Times New Roman"/>
          <w:sz w:val="22"/>
          <w:szCs w:val="22"/>
          <w:lang w:eastAsia="en-US"/>
        </w:rPr>
        <w:t>Maximum</w:t>
      </w:r>
      <w:r w:rsidR="009F603A" w:rsidRPr="009F603A">
        <w:rPr>
          <w:rFonts w:ascii="Times New Roman" w:eastAsia="SimSun" w:hAnsi="Times New Roman" w:cs="Times New Roman"/>
          <w:sz w:val="22"/>
          <w:szCs w:val="22"/>
          <w:lang w:eastAsia="en-US"/>
        </w:rPr>
        <w:t xml:space="preserve"> absolute error</w:t>
      </w:r>
      <w:r w:rsidR="00E92EED">
        <w:rPr>
          <w:rFonts w:ascii="Times New Roman" w:eastAsia="SimSun" w:hAnsi="Times New Roman" w:cs="Times New Roman"/>
          <w:sz w:val="22"/>
          <w:szCs w:val="22"/>
          <w:lang w:eastAsia="en-US"/>
        </w:rPr>
        <w:t xml:space="preserve"> </w:t>
      </w:r>
      <w:r w:rsidR="0091299B">
        <w:rPr>
          <w:rFonts w:ascii="Times New Roman" w:eastAsia="SimSun" w:hAnsi="Times New Roman" w:cs="Times New Roman"/>
          <w:sz w:val="22"/>
          <w:szCs w:val="22"/>
          <w:lang w:eastAsia="en-US"/>
        </w:rPr>
        <w:t>was</w:t>
      </w:r>
      <w:r w:rsidR="009F603A" w:rsidRPr="009F603A">
        <w:rPr>
          <w:rFonts w:ascii="Times New Roman" w:eastAsia="SimSun" w:hAnsi="Times New Roman" w:cs="Times New Roman"/>
          <w:sz w:val="22"/>
          <w:szCs w:val="22"/>
          <w:lang w:eastAsia="en-US"/>
        </w:rPr>
        <w:t xml:space="preserve"> also calculated to evaluate stress and strain differences.</w:t>
      </w:r>
      <w:r w:rsidR="00E5723D" w:rsidRPr="00E5723D">
        <w:rPr>
          <w:rFonts w:ascii="Times New Roman" w:eastAsia="SimSun" w:hAnsi="Times New Roman" w:cs="Times New Roman"/>
          <w:sz w:val="22"/>
          <w:szCs w:val="22"/>
          <w:lang w:eastAsia="en-US"/>
        </w:rPr>
        <w:t xml:space="preserve"> </w:t>
      </w:r>
      <w:r w:rsidR="00D37D93">
        <w:rPr>
          <w:rFonts w:ascii="Times New Roman" w:eastAsia="SimSun" w:hAnsi="Times New Roman" w:cs="Times New Roman"/>
          <w:sz w:val="22"/>
          <w:szCs w:val="22"/>
          <w:lang w:eastAsia="en-US"/>
        </w:rPr>
        <w:t>Maximum</w:t>
      </w:r>
      <w:r w:rsidR="00E5723D" w:rsidRPr="009F603A">
        <w:rPr>
          <w:rFonts w:ascii="Times New Roman" w:eastAsia="SimSun" w:hAnsi="Times New Roman" w:cs="Times New Roman"/>
          <w:sz w:val="22"/>
          <w:szCs w:val="22"/>
          <w:lang w:eastAsia="en-US"/>
        </w:rPr>
        <w:t xml:space="preserve"> absolute error</w:t>
      </w:r>
      <w:r w:rsidR="00E5723D">
        <w:rPr>
          <w:rFonts w:ascii="Times New Roman" w:eastAsia="SimSun" w:hAnsi="Times New Roman" w:cs="Times New Roman"/>
          <w:sz w:val="22"/>
          <w:szCs w:val="22"/>
          <w:lang w:eastAsia="en-US"/>
        </w:rPr>
        <w:t xml:space="preserve"> (percent)</w:t>
      </w:r>
      <w:r w:rsidR="00E56853">
        <w:rPr>
          <w:rFonts w:ascii="Times New Roman" w:eastAsia="SimSun" w:hAnsi="Times New Roman" w:cs="Times New Roman"/>
          <w:sz w:val="22"/>
          <w:szCs w:val="22"/>
          <w:lang w:eastAsia="en-US"/>
        </w:rPr>
        <w:t xml:space="preserve"> was normalized by the maximum value. </w:t>
      </w:r>
    </w:p>
    <w:p w14:paraId="1F5EFCB7" w14:textId="1485722F" w:rsidR="003309D8" w:rsidRPr="00F44F20" w:rsidRDefault="00C84C5F" w:rsidP="00B72501">
      <w:pPr>
        <w:spacing w:before="120" w:after="120" w:line="480" w:lineRule="auto"/>
        <w:rPr>
          <w:rFonts w:ascii="Times New Roman" w:hAnsi="Times New Roman" w:cs="Times New Roman"/>
          <w:sz w:val="22"/>
          <w:szCs w:val="22"/>
        </w:rPr>
      </w:pPr>
      <w:r w:rsidRPr="00F44F20">
        <w:rPr>
          <w:rFonts w:ascii="Times New Roman" w:hAnsi="Times New Roman" w:cs="Times New Roman"/>
          <w:b/>
          <w:bCs/>
          <w:sz w:val="22"/>
          <w:szCs w:val="22"/>
        </w:rPr>
        <w:t xml:space="preserve">Table </w:t>
      </w:r>
      <w:r w:rsidR="008837BE" w:rsidRPr="00F44F20">
        <w:rPr>
          <w:rFonts w:ascii="Times New Roman" w:hAnsi="Times New Roman" w:cs="Times New Roman"/>
          <w:b/>
          <w:bCs/>
          <w:sz w:val="22"/>
          <w:szCs w:val="22"/>
        </w:rPr>
        <w:t>S2</w:t>
      </w:r>
      <w:r w:rsidRPr="00F44F20">
        <w:rPr>
          <w:rFonts w:ascii="Times New Roman" w:hAnsi="Times New Roman" w:cs="Times New Roman"/>
          <w:sz w:val="22"/>
          <w:szCs w:val="22"/>
        </w:rPr>
        <w:t xml:space="preserve"> </w:t>
      </w:r>
      <w:r w:rsidR="00635105" w:rsidRPr="00F44F20">
        <w:rPr>
          <w:rFonts w:ascii="Times New Roman" w:hAnsi="Times New Roman" w:cs="Times New Roman"/>
          <w:sz w:val="22"/>
          <w:szCs w:val="22"/>
          <w:lang w:val="en-US"/>
        </w:rPr>
        <w:t xml:space="preserve">Average </w:t>
      </w:r>
      <w:r w:rsidR="00B70A87" w:rsidRPr="00F44F20">
        <w:rPr>
          <w:rFonts w:ascii="Times New Roman" w:hAnsi="Times New Roman" w:cs="Times New Roman"/>
          <w:sz w:val="22"/>
          <w:szCs w:val="22"/>
          <w:lang w:val="en-US"/>
        </w:rPr>
        <w:t>root-mean-square error</w:t>
      </w:r>
      <w:r w:rsidR="00704AA7" w:rsidRPr="00F44F20">
        <w:rPr>
          <w:rFonts w:ascii="Times New Roman" w:hAnsi="Times New Roman" w:cs="Times New Roman"/>
          <w:sz w:val="22"/>
          <w:szCs w:val="22"/>
          <w:lang w:val="en-US"/>
        </w:rPr>
        <w:t xml:space="preserve"> </w:t>
      </w:r>
      <w:r w:rsidR="00B70A87" w:rsidRPr="00F44F20">
        <w:rPr>
          <w:rFonts w:ascii="Times New Roman" w:hAnsi="Times New Roman" w:cs="Times New Roman"/>
          <w:sz w:val="22"/>
          <w:szCs w:val="22"/>
          <w:lang w:val="en-US"/>
        </w:rPr>
        <w:t>(RMSE)</w:t>
      </w:r>
      <w:r w:rsidR="006E1E55" w:rsidRPr="00F44F20">
        <w:rPr>
          <w:rFonts w:ascii="Times New Roman" w:hAnsi="Times New Roman" w:cs="Times New Roman"/>
          <w:sz w:val="22"/>
          <w:szCs w:val="22"/>
          <w:lang w:val="en-US"/>
        </w:rPr>
        <w:t xml:space="preserve">, normalized RMSE (NRMSE), </w:t>
      </w:r>
      <w:r w:rsidR="00D37D93">
        <w:rPr>
          <w:rFonts w:ascii="Times New Roman" w:hAnsi="Times New Roman" w:cs="Times New Roman"/>
          <w:sz w:val="22"/>
          <w:szCs w:val="22"/>
          <w:lang w:val="en-US"/>
        </w:rPr>
        <w:t>maximum</w:t>
      </w:r>
      <w:r w:rsidR="006E1E55" w:rsidRPr="00F44F20">
        <w:rPr>
          <w:rFonts w:ascii="Times New Roman" w:hAnsi="Times New Roman" w:cs="Times New Roman"/>
          <w:sz w:val="22"/>
          <w:szCs w:val="22"/>
          <w:lang w:val="en-US"/>
        </w:rPr>
        <w:t xml:space="preserve"> error and normalized</w:t>
      </w:r>
      <w:r w:rsidR="00704AA7" w:rsidRPr="00F44F20">
        <w:rPr>
          <w:rFonts w:ascii="Times New Roman" w:hAnsi="Times New Roman" w:cs="Times New Roman"/>
          <w:sz w:val="22"/>
          <w:szCs w:val="22"/>
          <w:lang w:val="en-US"/>
        </w:rPr>
        <w:t xml:space="preserve"> </w:t>
      </w:r>
      <w:r w:rsidR="00D37D93">
        <w:rPr>
          <w:rFonts w:ascii="Times New Roman" w:hAnsi="Times New Roman" w:cs="Times New Roman"/>
          <w:sz w:val="22"/>
          <w:szCs w:val="22"/>
          <w:lang w:val="en-US"/>
        </w:rPr>
        <w:t>maximum</w:t>
      </w:r>
      <w:r w:rsidR="00704AA7" w:rsidRPr="00F44F20">
        <w:rPr>
          <w:rFonts w:ascii="Times New Roman" w:hAnsi="Times New Roman" w:cs="Times New Roman"/>
          <w:sz w:val="22"/>
          <w:szCs w:val="22"/>
          <w:lang w:val="en-US"/>
        </w:rPr>
        <w:t xml:space="preserve"> error between </w:t>
      </w:r>
      <w:r w:rsidR="00B70A87" w:rsidRPr="00F44F20">
        <w:rPr>
          <w:rFonts w:ascii="Times New Roman" w:hAnsi="Times New Roman" w:cs="Times New Roman"/>
          <w:sz w:val="22"/>
          <w:szCs w:val="22"/>
          <w:lang w:val="en-US"/>
        </w:rPr>
        <w:t xml:space="preserve">CT-based and SSDM-based models </w:t>
      </w:r>
      <w:r w:rsidR="00635105" w:rsidRPr="00F44F20">
        <w:rPr>
          <w:rFonts w:ascii="Times New Roman" w:hAnsi="Times New Roman" w:cs="Times New Roman"/>
          <w:sz w:val="22"/>
          <w:szCs w:val="22"/>
          <w:lang w:val="en-US"/>
        </w:rPr>
        <w:t>in femur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1072"/>
        <w:gridCol w:w="974"/>
        <w:gridCol w:w="1976"/>
        <w:gridCol w:w="2825"/>
      </w:tblGrid>
      <w:tr w:rsidR="00E2579B" w:rsidRPr="00BD1A7F" w14:paraId="3F529437" w14:textId="77777777" w:rsidTr="00E2579B">
        <w:trPr>
          <w:trHeight w:val="432"/>
          <w:jc w:val="center"/>
        </w:trPr>
        <w:tc>
          <w:tcPr>
            <w:tcW w:w="0" w:type="auto"/>
            <w:tcBorders>
              <w:top w:val="single" w:sz="4" w:space="0" w:color="auto"/>
              <w:bottom w:val="single" w:sz="4" w:space="0" w:color="auto"/>
            </w:tcBorders>
            <w:vAlign w:val="center"/>
          </w:tcPr>
          <w:p w14:paraId="73652A83" w14:textId="77777777" w:rsidR="002043E1" w:rsidRPr="00BD1A7F" w:rsidRDefault="002043E1" w:rsidP="00704AA7">
            <w:pPr>
              <w:jc w:val="center"/>
              <w:rPr>
                <w:rFonts w:ascii="Times New Roman" w:hAnsi="Times New Roman" w:cs="Times New Roman"/>
                <w:sz w:val="22"/>
                <w:szCs w:val="22"/>
              </w:rPr>
            </w:pPr>
          </w:p>
        </w:tc>
        <w:tc>
          <w:tcPr>
            <w:tcW w:w="0" w:type="auto"/>
            <w:tcBorders>
              <w:top w:val="single" w:sz="4" w:space="0" w:color="auto"/>
              <w:bottom w:val="single" w:sz="4" w:space="0" w:color="auto"/>
            </w:tcBorders>
            <w:vAlign w:val="center"/>
          </w:tcPr>
          <w:p w14:paraId="540650A0" w14:textId="3ADBEFAD"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RMSE</w:t>
            </w:r>
          </w:p>
        </w:tc>
        <w:tc>
          <w:tcPr>
            <w:tcW w:w="0" w:type="auto"/>
            <w:tcBorders>
              <w:top w:val="single" w:sz="4" w:space="0" w:color="auto"/>
              <w:bottom w:val="single" w:sz="4" w:space="0" w:color="auto"/>
            </w:tcBorders>
            <w:vAlign w:val="center"/>
          </w:tcPr>
          <w:p w14:paraId="08B7D5EC" w14:textId="070D49F7"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NRMSE</w:t>
            </w:r>
          </w:p>
        </w:tc>
        <w:tc>
          <w:tcPr>
            <w:tcW w:w="0" w:type="auto"/>
            <w:tcBorders>
              <w:top w:val="single" w:sz="4" w:space="0" w:color="auto"/>
              <w:bottom w:val="single" w:sz="4" w:space="0" w:color="auto"/>
            </w:tcBorders>
            <w:vAlign w:val="center"/>
          </w:tcPr>
          <w:p w14:paraId="0B1CE691" w14:textId="1AD75B81" w:rsidR="002043E1" w:rsidRPr="00BD1A7F" w:rsidRDefault="00D37D93" w:rsidP="00704AA7">
            <w:pPr>
              <w:jc w:val="center"/>
              <w:rPr>
                <w:rFonts w:ascii="Times New Roman" w:hAnsi="Times New Roman" w:cs="Times New Roman"/>
                <w:sz w:val="22"/>
                <w:szCs w:val="22"/>
              </w:rPr>
            </w:pPr>
            <w:r>
              <w:rPr>
                <w:rFonts w:ascii="Times New Roman" w:hAnsi="Times New Roman" w:cs="Times New Roman"/>
                <w:sz w:val="22"/>
                <w:szCs w:val="22"/>
              </w:rPr>
              <w:t>Max</w:t>
            </w:r>
            <w:r w:rsidR="002043E1" w:rsidRPr="00BD1A7F">
              <w:rPr>
                <w:rFonts w:ascii="Times New Roman" w:hAnsi="Times New Roman" w:cs="Times New Roman"/>
                <w:sz w:val="22"/>
                <w:szCs w:val="22"/>
              </w:rPr>
              <w:t xml:space="preserve"> </w:t>
            </w:r>
            <w:r w:rsidR="00A54236">
              <w:rPr>
                <w:rFonts w:ascii="Times New Roman" w:hAnsi="Times New Roman" w:cs="Times New Roman"/>
                <w:sz w:val="22"/>
                <w:szCs w:val="22"/>
              </w:rPr>
              <w:t xml:space="preserve">Absolute </w:t>
            </w:r>
            <w:r w:rsidR="002043E1" w:rsidRPr="00BD1A7F">
              <w:rPr>
                <w:rFonts w:ascii="Times New Roman" w:hAnsi="Times New Roman" w:cs="Times New Roman"/>
                <w:sz w:val="22"/>
                <w:szCs w:val="22"/>
              </w:rPr>
              <w:t>Error</w:t>
            </w:r>
          </w:p>
        </w:tc>
        <w:tc>
          <w:tcPr>
            <w:tcW w:w="0" w:type="auto"/>
            <w:tcBorders>
              <w:top w:val="single" w:sz="4" w:space="0" w:color="auto"/>
              <w:bottom w:val="single" w:sz="4" w:space="0" w:color="auto"/>
            </w:tcBorders>
            <w:vAlign w:val="center"/>
          </w:tcPr>
          <w:p w14:paraId="6EC60FA1" w14:textId="61A4DE3E" w:rsidR="002043E1" w:rsidRPr="00BD1A7F" w:rsidRDefault="00D37D93" w:rsidP="00704AA7">
            <w:pPr>
              <w:jc w:val="center"/>
              <w:rPr>
                <w:rFonts w:ascii="Times New Roman" w:hAnsi="Times New Roman" w:cs="Times New Roman"/>
                <w:sz w:val="22"/>
                <w:szCs w:val="22"/>
              </w:rPr>
            </w:pPr>
            <w:r>
              <w:rPr>
                <w:rFonts w:ascii="Times New Roman" w:hAnsi="Times New Roman" w:cs="Times New Roman"/>
                <w:sz w:val="22"/>
                <w:szCs w:val="22"/>
              </w:rPr>
              <w:t>Max</w:t>
            </w:r>
            <w:r w:rsidR="002043E1" w:rsidRPr="00BD1A7F">
              <w:rPr>
                <w:rFonts w:ascii="Times New Roman" w:hAnsi="Times New Roman" w:cs="Times New Roman"/>
                <w:sz w:val="22"/>
                <w:szCs w:val="22"/>
              </w:rPr>
              <w:t xml:space="preserve"> </w:t>
            </w:r>
            <w:r w:rsidR="00E2579B">
              <w:rPr>
                <w:rFonts w:ascii="Times New Roman" w:hAnsi="Times New Roman" w:cs="Times New Roman"/>
                <w:sz w:val="22"/>
                <w:szCs w:val="22"/>
              </w:rPr>
              <w:t xml:space="preserve">Absolute </w:t>
            </w:r>
            <w:r w:rsidR="002043E1" w:rsidRPr="00BD1A7F">
              <w:rPr>
                <w:rFonts w:ascii="Times New Roman" w:hAnsi="Times New Roman" w:cs="Times New Roman"/>
                <w:sz w:val="22"/>
                <w:szCs w:val="22"/>
              </w:rPr>
              <w:t>Error</w:t>
            </w:r>
            <w:r w:rsidR="00E2579B">
              <w:rPr>
                <w:rFonts w:ascii="Times New Roman" w:hAnsi="Times New Roman" w:cs="Times New Roman"/>
                <w:sz w:val="22"/>
                <w:szCs w:val="22"/>
              </w:rPr>
              <w:t xml:space="preserve"> (percent)</w:t>
            </w:r>
          </w:p>
        </w:tc>
      </w:tr>
      <w:tr w:rsidR="00E2579B" w:rsidRPr="00BD1A7F" w14:paraId="27C99D31" w14:textId="77777777" w:rsidTr="00E2579B">
        <w:trPr>
          <w:trHeight w:val="432"/>
          <w:jc w:val="center"/>
        </w:trPr>
        <w:tc>
          <w:tcPr>
            <w:tcW w:w="0" w:type="auto"/>
            <w:tcBorders>
              <w:top w:val="single" w:sz="4" w:space="0" w:color="auto"/>
            </w:tcBorders>
            <w:vAlign w:val="center"/>
          </w:tcPr>
          <w:p w14:paraId="5E0CDE37" w14:textId="2178FDD1"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Von Mises stress</w:t>
            </w:r>
          </w:p>
        </w:tc>
        <w:tc>
          <w:tcPr>
            <w:tcW w:w="0" w:type="auto"/>
            <w:tcBorders>
              <w:top w:val="single" w:sz="4" w:space="0" w:color="auto"/>
            </w:tcBorders>
            <w:vAlign w:val="center"/>
          </w:tcPr>
          <w:p w14:paraId="38DF1195" w14:textId="0D01EF49" w:rsidR="002043E1" w:rsidRPr="00BD1A7F" w:rsidRDefault="002A58F8" w:rsidP="00704AA7">
            <w:pPr>
              <w:jc w:val="center"/>
              <w:rPr>
                <w:rFonts w:ascii="Times New Roman" w:hAnsi="Times New Roman" w:cs="Times New Roman"/>
                <w:sz w:val="22"/>
                <w:szCs w:val="22"/>
              </w:rPr>
            </w:pPr>
            <w:r w:rsidRPr="00BD1A7F">
              <w:rPr>
                <w:rFonts w:ascii="Times New Roman" w:hAnsi="Times New Roman" w:cs="Times New Roman"/>
                <w:sz w:val="22"/>
                <w:szCs w:val="22"/>
              </w:rPr>
              <w:t>0.85</w:t>
            </w:r>
            <w:r w:rsidR="005B15D1" w:rsidRPr="00BD1A7F">
              <w:rPr>
                <w:rFonts w:ascii="Times New Roman" w:hAnsi="Times New Roman" w:cs="Times New Roman"/>
                <w:sz w:val="22"/>
                <w:szCs w:val="22"/>
              </w:rPr>
              <w:t xml:space="preserve"> MPa</w:t>
            </w:r>
          </w:p>
        </w:tc>
        <w:tc>
          <w:tcPr>
            <w:tcW w:w="0" w:type="auto"/>
            <w:tcBorders>
              <w:top w:val="single" w:sz="4" w:space="0" w:color="auto"/>
            </w:tcBorders>
            <w:vAlign w:val="center"/>
          </w:tcPr>
          <w:p w14:paraId="4A082DF0" w14:textId="178ECF1E" w:rsidR="002043E1" w:rsidRPr="00BD1A7F" w:rsidRDefault="005B15D1" w:rsidP="00704AA7">
            <w:pPr>
              <w:jc w:val="center"/>
              <w:rPr>
                <w:rFonts w:ascii="Times New Roman" w:hAnsi="Times New Roman" w:cs="Times New Roman"/>
                <w:sz w:val="22"/>
                <w:szCs w:val="22"/>
              </w:rPr>
            </w:pPr>
            <w:r w:rsidRPr="00BD1A7F">
              <w:rPr>
                <w:rFonts w:ascii="Times New Roman" w:hAnsi="Times New Roman" w:cs="Times New Roman"/>
                <w:sz w:val="22"/>
                <w:szCs w:val="22"/>
              </w:rPr>
              <w:t>6.0</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c>
          <w:tcPr>
            <w:tcW w:w="0" w:type="auto"/>
            <w:tcBorders>
              <w:top w:val="single" w:sz="4" w:space="0" w:color="auto"/>
            </w:tcBorders>
            <w:vAlign w:val="center"/>
          </w:tcPr>
          <w:p w14:paraId="2EB5D4D3" w14:textId="529ACBF1"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6.85 MPa</w:t>
            </w:r>
          </w:p>
        </w:tc>
        <w:tc>
          <w:tcPr>
            <w:tcW w:w="0" w:type="auto"/>
            <w:tcBorders>
              <w:top w:val="single" w:sz="4" w:space="0" w:color="auto"/>
            </w:tcBorders>
            <w:vAlign w:val="center"/>
          </w:tcPr>
          <w:p w14:paraId="10B26B43" w14:textId="4B22E83C"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48.9</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r>
      <w:tr w:rsidR="00E2579B" w:rsidRPr="00BD1A7F" w14:paraId="75CF60E9" w14:textId="77777777" w:rsidTr="00E2579B">
        <w:trPr>
          <w:trHeight w:val="432"/>
          <w:jc w:val="center"/>
        </w:trPr>
        <w:tc>
          <w:tcPr>
            <w:tcW w:w="0" w:type="auto"/>
            <w:vAlign w:val="center"/>
          </w:tcPr>
          <w:p w14:paraId="7CA02EF3" w14:textId="1389D4E3"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1</w:t>
            </w:r>
            <w:r w:rsidRPr="00BD1A7F">
              <w:rPr>
                <w:rFonts w:ascii="Times New Roman" w:hAnsi="Times New Roman" w:cs="Times New Roman"/>
                <w:sz w:val="22"/>
                <w:szCs w:val="22"/>
                <w:vertAlign w:val="superscript"/>
              </w:rPr>
              <w:t>st</w:t>
            </w:r>
            <w:r w:rsidRPr="00BD1A7F">
              <w:rPr>
                <w:rFonts w:ascii="Times New Roman" w:hAnsi="Times New Roman" w:cs="Times New Roman"/>
                <w:sz w:val="22"/>
                <w:szCs w:val="22"/>
              </w:rPr>
              <w:t xml:space="preserve"> principal strain</w:t>
            </w:r>
          </w:p>
        </w:tc>
        <w:tc>
          <w:tcPr>
            <w:tcW w:w="0" w:type="auto"/>
            <w:vAlign w:val="center"/>
          </w:tcPr>
          <w:p w14:paraId="4A3D3CBF" w14:textId="2E792C57" w:rsidR="002043E1" w:rsidRPr="00BD1A7F" w:rsidRDefault="00821F3A" w:rsidP="00704AA7">
            <w:pPr>
              <w:jc w:val="center"/>
              <w:rPr>
                <w:rFonts w:ascii="Times New Roman" w:hAnsi="Times New Roman" w:cs="Times New Roman"/>
                <w:sz w:val="22"/>
                <w:szCs w:val="22"/>
              </w:rPr>
            </w:pPr>
            <w:r w:rsidRPr="00BD1A7F">
              <w:rPr>
                <w:rFonts w:ascii="Times New Roman" w:hAnsi="Times New Roman" w:cs="Times New Roman"/>
                <w:sz w:val="22"/>
                <w:szCs w:val="22"/>
              </w:rPr>
              <w:t>5</w:t>
            </w:r>
            <w:r w:rsidR="0022573D">
              <w:rPr>
                <w:rFonts w:ascii="Times New Roman" w:hAnsi="Times New Roman" w:cs="Times New Roman"/>
                <w:sz w:val="22"/>
                <w:szCs w:val="22"/>
              </w:rPr>
              <w:t>4</w:t>
            </w:r>
            <w:r w:rsidR="00BC247F" w:rsidRPr="00BD1A7F">
              <w:rPr>
                <w:rFonts w:ascii="Times New Roman" w:hAnsi="Times New Roman" w:cs="Times New Roman"/>
                <w:sz w:val="22"/>
                <w:szCs w:val="22"/>
              </w:rPr>
              <w:t xml:space="preserve"> µε</w:t>
            </w:r>
          </w:p>
        </w:tc>
        <w:tc>
          <w:tcPr>
            <w:tcW w:w="0" w:type="auto"/>
            <w:vAlign w:val="center"/>
          </w:tcPr>
          <w:p w14:paraId="33E42A4B" w14:textId="5CAC8152" w:rsidR="002043E1" w:rsidRPr="00BD1A7F" w:rsidRDefault="00BC247F" w:rsidP="00704AA7">
            <w:pPr>
              <w:jc w:val="center"/>
              <w:rPr>
                <w:rFonts w:ascii="Times New Roman" w:hAnsi="Times New Roman" w:cs="Times New Roman"/>
                <w:sz w:val="22"/>
                <w:szCs w:val="22"/>
              </w:rPr>
            </w:pPr>
            <w:r w:rsidRPr="00BD1A7F">
              <w:rPr>
                <w:rFonts w:ascii="Times New Roman" w:hAnsi="Times New Roman" w:cs="Times New Roman"/>
                <w:sz w:val="22"/>
                <w:szCs w:val="22"/>
              </w:rPr>
              <w:t>1.2</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c>
          <w:tcPr>
            <w:tcW w:w="0" w:type="auto"/>
            <w:vAlign w:val="center"/>
          </w:tcPr>
          <w:p w14:paraId="28360B6D" w14:textId="310F121C"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1217 µε</w:t>
            </w:r>
          </w:p>
        </w:tc>
        <w:tc>
          <w:tcPr>
            <w:tcW w:w="0" w:type="auto"/>
            <w:vAlign w:val="center"/>
          </w:tcPr>
          <w:p w14:paraId="3C6124D9" w14:textId="1534129A"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26.3</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r>
      <w:tr w:rsidR="00E2579B" w:rsidRPr="00BD1A7F" w14:paraId="5CB3288F" w14:textId="77777777" w:rsidTr="00E2579B">
        <w:trPr>
          <w:trHeight w:val="432"/>
          <w:jc w:val="center"/>
        </w:trPr>
        <w:tc>
          <w:tcPr>
            <w:tcW w:w="0" w:type="auto"/>
            <w:tcBorders>
              <w:bottom w:val="single" w:sz="4" w:space="0" w:color="auto"/>
            </w:tcBorders>
            <w:vAlign w:val="center"/>
          </w:tcPr>
          <w:p w14:paraId="2FC5C0CF" w14:textId="46DBF418"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3</w:t>
            </w:r>
            <w:r w:rsidRPr="00BD1A7F">
              <w:rPr>
                <w:rFonts w:ascii="Times New Roman" w:hAnsi="Times New Roman" w:cs="Times New Roman"/>
                <w:sz w:val="22"/>
                <w:szCs w:val="22"/>
                <w:vertAlign w:val="superscript"/>
              </w:rPr>
              <w:t>rd</w:t>
            </w:r>
            <w:r w:rsidRPr="00BD1A7F">
              <w:rPr>
                <w:rFonts w:ascii="Times New Roman" w:hAnsi="Times New Roman" w:cs="Times New Roman"/>
                <w:sz w:val="22"/>
                <w:szCs w:val="22"/>
              </w:rPr>
              <w:t xml:space="preserve"> principal strain</w:t>
            </w:r>
          </w:p>
        </w:tc>
        <w:tc>
          <w:tcPr>
            <w:tcW w:w="0" w:type="auto"/>
            <w:tcBorders>
              <w:bottom w:val="single" w:sz="4" w:space="0" w:color="auto"/>
            </w:tcBorders>
            <w:vAlign w:val="center"/>
          </w:tcPr>
          <w:p w14:paraId="2716E4FB" w14:textId="428CF4E2" w:rsidR="002043E1" w:rsidRPr="00BD1A7F" w:rsidRDefault="00C40DE3" w:rsidP="00704AA7">
            <w:pPr>
              <w:jc w:val="center"/>
              <w:rPr>
                <w:rFonts w:ascii="Times New Roman" w:hAnsi="Times New Roman" w:cs="Times New Roman"/>
                <w:sz w:val="22"/>
                <w:szCs w:val="22"/>
              </w:rPr>
            </w:pPr>
            <w:r w:rsidRPr="00BD1A7F">
              <w:rPr>
                <w:rFonts w:ascii="Times New Roman" w:hAnsi="Times New Roman" w:cs="Times New Roman"/>
                <w:sz w:val="22"/>
                <w:szCs w:val="22"/>
              </w:rPr>
              <w:t>8</w:t>
            </w:r>
            <w:r w:rsidR="0022573D">
              <w:rPr>
                <w:rFonts w:ascii="Times New Roman" w:hAnsi="Times New Roman" w:cs="Times New Roman"/>
                <w:sz w:val="22"/>
                <w:szCs w:val="22"/>
              </w:rPr>
              <w:t xml:space="preserve">6 </w:t>
            </w:r>
            <w:r w:rsidRPr="00BD1A7F">
              <w:rPr>
                <w:rFonts w:ascii="Times New Roman" w:hAnsi="Times New Roman" w:cs="Times New Roman"/>
                <w:sz w:val="22"/>
                <w:szCs w:val="22"/>
              </w:rPr>
              <w:t>µε</w:t>
            </w:r>
          </w:p>
        </w:tc>
        <w:tc>
          <w:tcPr>
            <w:tcW w:w="0" w:type="auto"/>
            <w:tcBorders>
              <w:bottom w:val="single" w:sz="4" w:space="0" w:color="auto"/>
            </w:tcBorders>
            <w:vAlign w:val="center"/>
          </w:tcPr>
          <w:p w14:paraId="65263D40" w14:textId="60EA154E" w:rsidR="002043E1" w:rsidRPr="00BD1A7F" w:rsidRDefault="00044129" w:rsidP="00704AA7">
            <w:pPr>
              <w:jc w:val="center"/>
              <w:rPr>
                <w:rFonts w:ascii="Times New Roman" w:hAnsi="Times New Roman" w:cs="Times New Roman"/>
                <w:sz w:val="22"/>
                <w:szCs w:val="22"/>
              </w:rPr>
            </w:pPr>
            <w:r w:rsidRPr="00BD1A7F">
              <w:rPr>
                <w:rFonts w:ascii="Times New Roman" w:hAnsi="Times New Roman" w:cs="Times New Roman"/>
                <w:sz w:val="22"/>
                <w:szCs w:val="22"/>
              </w:rPr>
              <w:t>2.3</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c>
          <w:tcPr>
            <w:tcW w:w="0" w:type="auto"/>
            <w:tcBorders>
              <w:bottom w:val="single" w:sz="4" w:space="0" w:color="auto"/>
            </w:tcBorders>
            <w:vAlign w:val="center"/>
          </w:tcPr>
          <w:p w14:paraId="508289E8" w14:textId="07A7CAFC"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1288 µε</w:t>
            </w:r>
          </w:p>
        </w:tc>
        <w:tc>
          <w:tcPr>
            <w:tcW w:w="0" w:type="auto"/>
            <w:tcBorders>
              <w:bottom w:val="single" w:sz="4" w:space="0" w:color="auto"/>
            </w:tcBorders>
            <w:vAlign w:val="center"/>
          </w:tcPr>
          <w:p w14:paraId="3AF178C6" w14:textId="09BA5865" w:rsidR="002043E1" w:rsidRPr="00BD1A7F" w:rsidRDefault="002043E1" w:rsidP="00704AA7">
            <w:pPr>
              <w:jc w:val="center"/>
              <w:rPr>
                <w:rFonts w:ascii="Times New Roman" w:hAnsi="Times New Roman" w:cs="Times New Roman"/>
                <w:sz w:val="22"/>
                <w:szCs w:val="22"/>
              </w:rPr>
            </w:pPr>
            <w:r w:rsidRPr="00BD1A7F">
              <w:rPr>
                <w:rFonts w:ascii="Times New Roman" w:hAnsi="Times New Roman" w:cs="Times New Roman"/>
                <w:sz w:val="22"/>
                <w:szCs w:val="22"/>
              </w:rPr>
              <w:t>33.1</w:t>
            </w:r>
            <w:r w:rsidR="00C854C3">
              <w:rPr>
                <w:rFonts w:ascii="Times New Roman" w:hAnsi="Times New Roman" w:cs="Times New Roman"/>
                <w:sz w:val="22"/>
                <w:szCs w:val="22"/>
              </w:rPr>
              <w:t xml:space="preserve"> </w:t>
            </w:r>
            <w:r w:rsidRPr="00BD1A7F">
              <w:rPr>
                <w:rFonts w:ascii="Times New Roman" w:hAnsi="Times New Roman" w:cs="Times New Roman"/>
                <w:sz w:val="22"/>
                <w:szCs w:val="22"/>
              </w:rPr>
              <w:t>%</w:t>
            </w:r>
          </w:p>
        </w:tc>
      </w:tr>
    </w:tbl>
    <w:p w14:paraId="3DD1B2BA" w14:textId="77777777" w:rsidR="00B72501" w:rsidRDefault="00B72501" w:rsidP="0029381F">
      <w:pPr>
        <w:spacing w:before="120" w:after="120" w:line="480" w:lineRule="auto"/>
        <w:jc w:val="both"/>
        <w:rPr>
          <w:rFonts w:ascii="Times New Roman" w:hAnsi="Times New Roman" w:cs="Times New Roman"/>
          <w:i/>
          <w:iCs/>
          <w:sz w:val="22"/>
          <w:szCs w:val="22"/>
        </w:rPr>
      </w:pPr>
    </w:p>
    <w:p w14:paraId="48C3AF01" w14:textId="26629FA6" w:rsidR="00A529B4" w:rsidRPr="00F44F20" w:rsidRDefault="00A529B4" w:rsidP="00B72501">
      <w:pPr>
        <w:spacing w:before="120" w:after="120" w:line="480" w:lineRule="auto"/>
        <w:rPr>
          <w:rFonts w:ascii="Times New Roman" w:hAnsi="Times New Roman" w:cs="Times New Roman"/>
          <w:sz w:val="22"/>
          <w:szCs w:val="22"/>
        </w:rPr>
      </w:pPr>
      <w:r w:rsidRPr="00F44F20">
        <w:rPr>
          <w:rFonts w:ascii="Times New Roman" w:hAnsi="Times New Roman" w:cs="Times New Roman"/>
          <w:b/>
          <w:bCs/>
          <w:sz w:val="22"/>
          <w:szCs w:val="22"/>
        </w:rPr>
        <w:t>Table S</w:t>
      </w:r>
      <w:r w:rsidR="00B378C5" w:rsidRPr="00F44F20">
        <w:rPr>
          <w:rFonts w:ascii="Times New Roman" w:hAnsi="Times New Roman" w:cs="Times New Roman"/>
          <w:b/>
          <w:bCs/>
          <w:sz w:val="22"/>
          <w:szCs w:val="22"/>
        </w:rPr>
        <w:t>3</w:t>
      </w:r>
      <w:r w:rsidRPr="00F44F20">
        <w:rPr>
          <w:rFonts w:ascii="Times New Roman" w:hAnsi="Times New Roman" w:cs="Times New Roman"/>
          <w:sz w:val="22"/>
          <w:szCs w:val="22"/>
        </w:rPr>
        <w:t xml:space="preserve"> </w:t>
      </w:r>
      <w:r w:rsidRPr="00F44F20">
        <w:rPr>
          <w:rFonts w:ascii="Times New Roman" w:hAnsi="Times New Roman" w:cs="Times New Roman"/>
          <w:sz w:val="22"/>
          <w:szCs w:val="22"/>
          <w:lang w:val="en-US"/>
        </w:rPr>
        <w:t xml:space="preserve">Average root-mean-square error (RMSE), normalized RMSE (NRMSE), </w:t>
      </w:r>
      <w:r w:rsidR="00D37D93">
        <w:rPr>
          <w:rFonts w:ascii="Times New Roman" w:hAnsi="Times New Roman" w:cs="Times New Roman"/>
          <w:sz w:val="22"/>
          <w:szCs w:val="22"/>
          <w:lang w:val="en-US"/>
        </w:rPr>
        <w:t>maximum</w:t>
      </w:r>
      <w:r w:rsidRPr="00F44F20">
        <w:rPr>
          <w:rFonts w:ascii="Times New Roman" w:hAnsi="Times New Roman" w:cs="Times New Roman"/>
          <w:sz w:val="22"/>
          <w:szCs w:val="22"/>
          <w:lang w:val="en-US"/>
        </w:rPr>
        <w:t xml:space="preserve"> error and normalized </w:t>
      </w:r>
      <w:r w:rsidR="00D37D93">
        <w:rPr>
          <w:rFonts w:ascii="Times New Roman" w:hAnsi="Times New Roman" w:cs="Times New Roman"/>
          <w:sz w:val="22"/>
          <w:szCs w:val="22"/>
          <w:lang w:val="en-US"/>
        </w:rPr>
        <w:t>maximum</w:t>
      </w:r>
      <w:r w:rsidRPr="00F44F20">
        <w:rPr>
          <w:rFonts w:ascii="Times New Roman" w:hAnsi="Times New Roman" w:cs="Times New Roman"/>
          <w:sz w:val="22"/>
          <w:szCs w:val="22"/>
          <w:lang w:val="en-US"/>
        </w:rPr>
        <w:t xml:space="preserve"> error between CT-based and SSDM-based models in tibia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1072"/>
        <w:gridCol w:w="974"/>
        <w:gridCol w:w="1976"/>
        <w:gridCol w:w="2825"/>
      </w:tblGrid>
      <w:tr w:rsidR="00536B97" w:rsidRPr="00BD1A7F" w14:paraId="02DCBFE9" w14:textId="77777777" w:rsidTr="00536B97">
        <w:trPr>
          <w:trHeight w:val="432"/>
          <w:jc w:val="center"/>
        </w:trPr>
        <w:tc>
          <w:tcPr>
            <w:tcW w:w="0" w:type="auto"/>
            <w:tcBorders>
              <w:top w:val="single" w:sz="4" w:space="0" w:color="auto"/>
              <w:bottom w:val="single" w:sz="4" w:space="0" w:color="auto"/>
            </w:tcBorders>
            <w:vAlign w:val="center"/>
          </w:tcPr>
          <w:p w14:paraId="161DA437" w14:textId="77777777" w:rsidR="00536B97" w:rsidRPr="00BD1A7F" w:rsidRDefault="00536B97" w:rsidP="00536B97">
            <w:pPr>
              <w:jc w:val="center"/>
              <w:rPr>
                <w:rFonts w:ascii="Times New Roman" w:hAnsi="Times New Roman" w:cs="Times New Roman"/>
                <w:sz w:val="22"/>
                <w:szCs w:val="22"/>
              </w:rPr>
            </w:pPr>
          </w:p>
        </w:tc>
        <w:tc>
          <w:tcPr>
            <w:tcW w:w="0" w:type="auto"/>
            <w:tcBorders>
              <w:top w:val="single" w:sz="4" w:space="0" w:color="auto"/>
              <w:bottom w:val="single" w:sz="4" w:space="0" w:color="auto"/>
            </w:tcBorders>
            <w:vAlign w:val="center"/>
          </w:tcPr>
          <w:p w14:paraId="0A318636" w14:textId="77777777" w:rsidR="00536B97" w:rsidRPr="00BD1A7F" w:rsidRDefault="00536B97" w:rsidP="00536B97">
            <w:pPr>
              <w:jc w:val="center"/>
              <w:rPr>
                <w:rFonts w:ascii="Times New Roman" w:hAnsi="Times New Roman" w:cs="Times New Roman"/>
                <w:sz w:val="22"/>
                <w:szCs w:val="22"/>
              </w:rPr>
            </w:pPr>
            <w:r w:rsidRPr="00BD1A7F">
              <w:rPr>
                <w:rFonts w:ascii="Times New Roman" w:hAnsi="Times New Roman" w:cs="Times New Roman"/>
                <w:sz w:val="22"/>
                <w:szCs w:val="22"/>
              </w:rPr>
              <w:t>RMSE</w:t>
            </w:r>
          </w:p>
        </w:tc>
        <w:tc>
          <w:tcPr>
            <w:tcW w:w="0" w:type="auto"/>
            <w:tcBorders>
              <w:top w:val="single" w:sz="4" w:space="0" w:color="auto"/>
              <w:bottom w:val="single" w:sz="4" w:space="0" w:color="auto"/>
            </w:tcBorders>
            <w:vAlign w:val="center"/>
          </w:tcPr>
          <w:p w14:paraId="28F669E2" w14:textId="77777777" w:rsidR="00536B97" w:rsidRPr="00BD1A7F" w:rsidRDefault="00536B97" w:rsidP="00536B97">
            <w:pPr>
              <w:jc w:val="center"/>
              <w:rPr>
                <w:rFonts w:ascii="Times New Roman" w:hAnsi="Times New Roman" w:cs="Times New Roman"/>
                <w:sz w:val="22"/>
                <w:szCs w:val="22"/>
              </w:rPr>
            </w:pPr>
            <w:r w:rsidRPr="00BD1A7F">
              <w:rPr>
                <w:rFonts w:ascii="Times New Roman" w:hAnsi="Times New Roman" w:cs="Times New Roman"/>
                <w:sz w:val="22"/>
                <w:szCs w:val="22"/>
              </w:rPr>
              <w:t>NRMSE</w:t>
            </w:r>
          </w:p>
        </w:tc>
        <w:tc>
          <w:tcPr>
            <w:tcW w:w="0" w:type="auto"/>
            <w:tcBorders>
              <w:top w:val="single" w:sz="4" w:space="0" w:color="auto"/>
              <w:bottom w:val="single" w:sz="4" w:space="0" w:color="auto"/>
            </w:tcBorders>
            <w:vAlign w:val="center"/>
          </w:tcPr>
          <w:p w14:paraId="1048D9A6" w14:textId="48395B90" w:rsidR="00536B97" w:rsidRPr="00BD1A7F" w:rsidRDefault="00D37D93" w:rsidP="00536B97">
            <w:pPr>
              <w:jc w:val="center"/>
              <w:rPr>
                <w:rFonts w:ascii="Times New Roman" w:hAnsi="Times New Roman" w:cs="Times New Roman"/>
                <w:sz w:val="22"/>
                <w:szCs w:val="22"/>
              </w:rPr>
            </w:pPr>
            <w:r>
              <w:rPr>
                <w:rFonts w:ascii="Times New Roman" w:hAnsi="Times New Roman" w:cs="Times New Roman"/>
                <w:sz w:val="22"/>
                <w:szCs w:val="22"/>
              </w:rPr>
              <w:t xml:space="preserve">Max </w:t>
            </w:r>
            <w:r w:rsidR="00536B97">
              <w:rPr>
                <w:rFonts w:ascii="Times New Roman" w:hAnsi="Times New Roman" w:cs="Times New Roman"/>
                <w:sz w:val="22"/>
                <w:szCs w:val="22"/>
              </w:rPr>
              <w:t xml:space="preserve">Absolute </w:t>
            </w:r>
            <w:r w:rsidR="00536B97" w:rsidRPr="00BD1A7F">
              <w:rPr>
                <w:rFonts w:ascii="Times New Roman" w:hAnsi="Times New Roman" w:cs="Times New Roman"/>
                <w:sz w:val="22"/>
                <w:szCs w:val="22"/>
              </w:rPr>
              <w:t>Error</w:t>
            </w:r>
          </w:p>
        </w:tc>
        <w:tc>
          <w:tcPr>
            <w:tcW w:w="0" w:type="auto"/>
            <w:tcBorders>
              <w:top w:val="single" w:sz="4" w:space="0" w:color="auto"/>
              <w:bottom w:val="single" w:sz="4" w:space="0" w:color="auto"/>
            </w:tcBorders>
            <w:vAlign w:val="center"/>
          </w:tcPr>
          <w:p w14:paraId="55D260E9" w14:textId="5EB88E22" w:rsidR="00536B97" w:rsidRPr="00BD1A7F" w:rsidRDefault="00D37D93" w:rsidP="00536B97">
            <w:pPr>
              <w:jc w:val="center"/>
              <w:rPr>
                <w:rFonts w:ascii="Times New Roman" w:hAnsi="Times New Roman" w:cs="Times New Roman"/>
                <w:sz w:val="22"/>
                <w:szCs w:val="22"/>
              </w:rPr>
            </w:pPr>
            <w:r>
              <w:rPr>
                <w:rFonts w:ascii="Times New Roman" w:hAnsi="Times New Roman" w:cs="Times New Roman"/>
                <w:sz w:val="22"/>
                <w:szCs w:val="22"/>
              </w:rPr>
              <w:t>Max</w:t>
            </w:r>
            <w:r w:rsidR="00536B97" w:rsidRPr="00BD1A7F">
              <w:rPr>
                <w:rFonts w:ascii="Times New Roman" w:hAnsi="Times New Roman" w:cs="Times New Roman"/>
                <w:sz w:val="22"/>
                <w:szCs w:val="22"/>
              </w:rPr>
              <w:t xml:space="preserve"> </w:t>
            </w:r>
            <w:r w:rsidR="00536B97">
              <w:rPr>
                <w:rFonts w:ascii="Times New Roman" w:hAnsi="Times New Roman" w:cs="Times New Roman"/>
                <w:sz w:val="22"/>
                <w:szCs w:val="22"/>
              </w:rPr>
              <w:t xml:space="preserve">Absolute </w:t>
            </w:r>
            <w:r w:rsidR="00536B97" w:rsidRPr="00BD1A7F">
              <w:rPr>
                <w:rFonts w:ascii="Times New Roman" w:hAnsi="Times New Roman" w:cs="Times New Roman"/>
                <w:sz w:val="22"/>
                <w:szCs w:val="22"/>
              </w:rPr>
              <w:t>Error</w:t>
            </w:r>
            <w:r w:rsidR="00536B97">
              <w:rPr>
                <w:rFonts w:ascii="Times New Roman" w:hAnsi="Times New Roman" w:cs="Times New Roman"/>
                <w:sz w:val="22"/>
                <w:szCs w:val="22"/>
              </w:rPr>
              <w:t xml:space="preserve"> (percent)</w:t>
            </w:r>
          </w:p>
        </w:tc>
      </w:tr>
      <w:tr w:rsidR="00A529B4" w:rsidRPr="00BD1A7F" w14:paraId="699EBF22" w14:textId="77777777" w:rsidTr="00536B97">
        <w:trPr>
          <w:trHeight w:val="432"/>
          <w:jc w:val="center"/>
        </w:trPr>
        <w:tc>
          <w:tcPr>
            <w:tcW w:w="0" w:type="auto"/>
            <w:tcBorders>
              <w:top w:val="single" w:sz="4" w:space="0" w:color="auto"/>
            </w:tcBorders>
            <w:vAlign w:val="center"/>
          </w:tcPr>
          <w:p w14:paraId="69BB0B62" w14:textId="77777777" w:rsidR="00A529B4" w:rsidRPr="00BD1A7F" w:rsidRDefault="00A529B4">
            <w:pPr>
              <w:jc w:val="center"/>
              <w:rPr>
                <w:rFonts w:ascii="Times New Roman" w:hAnsi="Times New Roman" w:cs="Times New Roman"/>
                <w:sz w:val="22"/>
                <w:szCs w:val="22"/>
              </w:rPr>
            </w:pPr>
            <w:r w:rsidRPr="00BD1A7F">
              <w:rPr>
                <w:rFonts w:ascii="Times New Roman" w:hAnsi="Times New Roman" w:cs="Times New Roman"/>
                <w:sz w:val="22"/>
                <w:szCs w:val="22"/>
              </w:rPr>
              <w:t>Von Mises stress</w:t>
            </w:r>
          </w:p>
        </w:tc>
        <w:tc>
          <w:tcPr>
            <w:tcW w:w="0" w:type="auto"/>
            <w:tcBorders>
              <w:top w:val="single" w:sz="4" w:space="0" w:color="auto"/>
            </w:tcBorders>
            <w:vAlign w:val="center"/>
          </w:tcPr>
          <w:p w14:paraId="47B0A238" w14:textId="1DA84B8F" w:rsidR="00A529B4" w:rsidRPr="00BD1A7F" w:rsidRDefault="003A52EB">
            <w:pPr>
              <w:jc w:val="center"/>
              <w:rPr>
                <w:rFonts w:ascii="Times New Roman" w:hAnsi="Times New Roman" w:cs="Times New Roman"/>
                <w:sz w:val="22"/>
                <w:szCs w:val="22"/>
              </w:rPr>
            </w:pPr>
            <w:r>
              <w:rPr>
                <w:rFonts w:ascii="Times New Roman" w:hAnsi="Times New Roman" w:cs="Times New Roman"/>
                <w:sz w:val="22"/>
                <w:szCs w:val="22"/>
              </w:rPr>
              <w:t>1.18</w:t>
            </w:r>
            <w:r w:rsidR="00FB5EC4" w:rsidRPr="00BD1A7F">
              <w:rPr>
                <w:rFonts w:ascii="Times New Roman" w:hAnsi="Times New Roman" w:cs="Times New Roman"/>
                <w:sz w:val="22"/>
                <w:szCs w:val="22"/>
              </w:rPr>
              <w:t xml:space="preserve"> MPa</w:t>
            </w:r>
          </w:p>
        </w:tc>
        <w:tc>
          <w:tcPr>
            <w:tcW w:w="0" w:type="auto"/>
            <w:tcBorders>
              <w:top w:val="single" w:sz="4" w:space="0" w:color="auto"/>
            </w:tcBorders>
            <w:vAlign w:val="center"/>
          </w:tcPr>
          <w:p w14:paraId="5E4C133C" w14:textId="20A9CFBB" w:rsidR="00A529B4" w:rsidRPr="00BD1A7F" w:rsidRDefault="00FB5EC4">
            <w:pPr>
              <w:jc w:val="center"/>
              <w:rPr>
                <w:rFonts w:ascii="Times New Roman" w:hAnsi="Times New Roman" w:cs="Times New Roman"/>
                <w:sz w:val="22"/>
                <w:szCs w:val="22"/>
              </w:rPr>
            </w:pPr>
            <w:r>
              <w:rPr>
                <w:rFonts w:ascii="Times New Roman" w:hAnsi="Times New Roman" w:cs="Times New Roman"/>
                <w:sz w:val="22"/>
                <w:szCs w:val="22"/>
              </w:rPr>
              <w:t>8.0 %</w:t>
            </w:r>
          </w:p>
        </w:tc>
        <w:tc>
          <w:tcPr>
            <w:tcW w:w="0" w:type="auto"/>
            <w:tcBorders>
              <w:top w:val="single" w:sz="4" w:space="0" w:color="auto"/>
            </w:tcBorders>
            <w:vAlign w:val="center"/>
          </w:tcPr>
          <w:p w14:paraId="278ADD49" w14:textId="7263AE80" w:rsidR="00A529B4" w:rsidRPr="00BD1A7F" w:rsidRDefault="00C854C3">
            <w:pPr>
              <w:jc w:val="center"/>
              <w:rPr>
                <w:rFonts w:ascii="Times New Roman" w:hAnsi="Times New Roman" w:cs="Times New Roman"/>
                <w:sz w:val="22"/>
                <w:szCs w:val="22"/>
              </w:rPr>
            </w:pPr>
            <w:r>
              <w:rPr>
                <w:rFonts w:ascii="Times New Roman" w:hAnsi="Times New Roman" w:cs="Times New Roman"/>
                <w:sz w:val="22"/>
                <w:szCs w:val="22"/>
              </w:rPr>
              <w:t>8.23 MPa</w:t>
            </w:r>
          </w:p>
        </w:tc>
        <w:tc>
          <w:tcPr>
            <w:tcW w:w="0" w:type="auto"/>
            <w:tcBorders>
              <w:top w:val="single" w:sz="4" w:space="0" w:color="auto"/>
            </w:tcBorders>
            <w:vAlign w:val="center"/>
          </w:tcPr>
          <w:p w14:paraId="1557EFFF" w14:textId="6167AF3D" w:rsidR="00A529B4" w:rsidRPr="00BD1A7F" w:rsidRDefault="00143FCF">
            <w:pPr>
              <w:jc w:val="center"/>
              <w:rPr>
                <w:rFonts w:ascii="Times New Roman" w:hAnsi="Times New Roman" w:cs="Times New Roman"/>
                <w:sz w:val="22"/>
                <w:szCs w:val="22"/>
              </w:rPr>
            </w:pPr>
            <w:r>
              <w:rPr>
                <w:rFonts w:ascii="Times New Roman" w:hAnsi="Times New Roman" w:cs="Times New Roman"/>
                <w:sz w:val="22"/>
                <w:szCs w:val="22"/>
              </w:rPr>
              <w:t>55.5</w:t>
            </w:r>
            <w:r w:rsidR="00D77F12">
              <w:rPr>
                <w:rFonts w:ascii="Times New Roman" w:hAnsi="Times New Roman" w:cs="Times New Roman"/>
                <w:sz w:val="22"/>
                <w:szCs w:val="22"/>
              </w:rPr>
              <w:t xml:space="preserve"> </w:t>
            </w:r>
            <w:r>
              <w:rPr>
                <w:rFonts w:ascii="Times New Roman" w:hAnsi="Times New Roman" w:cs="Times New Roman"/>
                <w:sz w:val="22"/>
                <w:szCs w:val="22"/>
              </w:rPr>
              <w:t>%</w:t>
            </w:r>
          </w:p>
        </w:tc>
      </w:tr>
      <w:tr w:rsidR="00A529B4" w:rsidRPr="00BD1A7F" w14:paraId="4D4213FD" w14:textId="77777777" w:rsidTr="00536B97">
        <w:trPr>
          <w:trHeight w:val="432"/>
          <w:jc w:val="center"/>
        </w:trPr>
        <w:tc>
          <w:tcPr>
            <w:tcW w:w="0" w:type="auto"/>
            <w:vAlign w:val="center"/>
          </w:tcPr>
          <w:p w14:paraId="0A176FB8" w14:textId="77777777" w:rsidR="00A529B4" w:rsidRPr="00BD1A7F" w:rsidRDefault="00A529B4">
            <w:pPr>
              <w:jc w:val="center"/>
              <w:rPr>
                <w:rFonts w:ascii="Times New Roman" w:hAnsi="Times New Roman" w:cs="Times New Roman"/>
                <w:sz w:val="22"/>
                <w:szCs w:val="22"/>
              </w:rPr>
            </w:pPr>
            <w:r w:rsidRPr="00BD1A7F">
              <w:rPr>
                <w:rFonts w:ascii="Times New Roman" w:hAnsi="Times New Roman" w:cs="Times New Roman"/>
                <w:sz w:val="22"/>
                <w:szCs w:val="22"/>
              </w:rPr>
              <w:t>1</w:t>
            </w:r>
            <w:r w:rsidRPr="00BD1A7F">
              <w:rPr>
                <w:rFonts w:ascii="Times New Roman" w:hAnsi="Times New Roman" w:cs="Times New Roman"/>
                <w:sz w:val="22"/>
                <w:szCs w:val="22"/>
                <w:vertAlign w:val="superscript"/>
              </w:rPr>
              <w:t>st</w:t>
            </w:r>
            <w:r w:rsidRPr="00BD1A7F">
              <w:rPr>
                <w:rFonts w:ascii="Times New Roman" w:hAnsi="Times New Roman" w:cs="Times New Roman"/>
                <w:sz w:val="22"/>
                <w:szCs w:val="22"/>
              </w:rPr>
              <w:t xml:space="preserve"> principal strain</w:t>
            </w:r>
          </w:p>
        </w:tc>
        <w:tc>
          <w:tcPr>
            <w:tcW w:w="0" w:type="auto"/>
            <w:vAlign w:val="center"/>
          </w:tcPr>
          <w:p w14:paraId="40259CB1" w14:textId="5C6039A7" w:rsidR="00A529B4" w:rsidRPr="00BD1A7F" w:rsidRDefault="0090445C">
            <w:pPr>
              <w:jc w:val="center"/>
              <w:rPr>
                <w:rFonts w:ascii="Times New Roman" w:hAnsi="Times New Roman" w:cs="Times New Roman"/>
                <w:sz w:val="22"/>
                <w:szCs w:val="22"/>
              </w:rPr>
            </w:pPr>
            <w:r>
              <w:rPr>
                <w:rFonts w:ascii="Times New Roman" w:hAnsi="Times New Roman" w:cs="Times New Roman"/>
                <w:sz w:val="22"/>
                <w:szCs w:val="22"/>
              </w:rPr>
              <w:t>10</w:t>
            </w:r>
            <w:r w:rsidR="0022573D">
              <w:rPr>
                <w:rFonts w:ascii="Times New Roman" w:hAnsi="Times New Roman" w:cs="Times New Roman"/>
                <w:sz w:val="22"/>
                <w:szCs w:val="22"/>
              </w:rPr>
              <w:t>9</w:t>
            </w:r>
            <w:r w:rsidR="00D77F12" w:rsidRPr="00BD1A7F">
              <w:rPr>
                <w:rFonts w:ascii="Times New Roman" w:hAnsi="Times New Roman" w:cs="Times New Roman"/>
                <w:sz w:val="22"/>
                <w:szCs w:val="22"/>
              </w:rPr>
              <w:t xml:space="preserve"> µε</w:t>
            </w:r>
          </w:p>
        </w:tc>
        <w:tc>
          <w:tcPr>
            <w:tcW w:w="0" w:type="auto"/>
            <w:vAlign w:val="center"/>
          </w:tcPr>
          <w:p w14:paraId="7DF90AA3" w14:textId="77D92B86" w:rsidR="00A529B4" w:rsidRPr="00BD1A7F" w:rsidRDefault="00D77F12">
            <w:pPr>
              <w:jc w:val="center"/>
              <w:rPr>
                <w:rFonts w:ascii="Times New Roman" w:hAnsi="Times New Roman" w:cs="Times New Roman"/>
                <w:sz w:val="22"/>
                <w:szCs w:val="22"/>
              </w:rPr>
            </w:pPr>
            <w:r>
              <w:rPr>
                <w:rFonts w:ascii="Times New Roman" w:hAnsi="Times New Roman" w:cs="Times New Roman"/>
                <w:sz w:val="22"/>
                <w:szCs w:val="22"/>
              </w:rPr>
              <w:t>2.4 %</w:t>
            </w:r>
          </w:p>
        </w:tc>
        <w:tc>
          <w:tcPr>
            <w:tcW w:w="0" w:type="auto"/>
            <w:vAlign w:val="center"/>
          </w:tcPr>
          <w:p w14:paraId="561A1556" w14:textId="42318750" w:rsidR="00A529B4" w:rsidRPr="00BD1A7F" w:rsidRDefault="00AB28F5">
            <w:pPr>
              <w:jc w:val="center"/>
              <w:rPr>
                <w:rFonts w:ascii="Times New Roman" w:hAnsi="Times New Roman" w:cs="Times New Roman"/>
                <w:sz w:val="22"/>
                <w:szCs w:val="22"/>
              </w:rPr>
            </w:pPr>
            <w:r>
              <w:rPr>
                <w:rFonts w:ascii="Times New Roman" w:hAnsi="Times New Roman" w:cs="Times New Roman"/>
                <w:sz w:val="22"/>
                <w:szCs w:val="22"/>
              </w:rPr>
              <w:t>2551</w:t>
            </w:r>
            <w:r w:rsidR="00D77F12" w:rsidRPr="00BD1A7F">
              <w:rPr>
                <w:rFonts w:ascii="Times New Roman" w:hAnsi="Times New Roman" w:cs="Times New Roman"/>
                <w:sz w:val="22"/>
                <w:szCs w:val="22"/>
              </w:rPr>
              <w:t xml:space="preserve"> µε</w:t>
            </w:r>
          </w:p>
        </w:tc>
        <w:tc>
          <w:tcPr>
            <w:tcW w:w="0" w:type="auto"/>
            <w:vAlign w:val="center"/>
          </w:tcPr>
          <w:p w14:paraId="41B1637A" w14:textId="61BA95CB" w:rsidR="00A529B4" w:rsidRPr="00BD1A7F" w:rsidRDefault="00E463E5">
            <w:pPr>
              <w:jc w:val="center"/>
              <w:rPr>
                <w:rFonts w:ascii="Times New Roman" w:hAnsi="Times New Roman" w:cs="Times New Roman"/>
                <w:sz w:val="22"/>
                <w:szCs w:val="22"/>
              </w:rPr>
            </w:pPr>
            <w:r>
              <w:rPr>
                <w:rFonts w:ascii="Times New Roman" w:hAnsi="Times New Roman" w:cs="Times New Roman"/>
                <w:sz w:val="22"/>
                <w:szCs w:val="22"/>
              </w:rPr>
              <w:t>50.9</w:t>
            </w:r>
            <w:r w:rsidR="00D77F12">
              <w:rPr>
                <w:rFonts w:ascii="Times New Roman" w:hAnsi="Times New Roman" w:cs="Times New Roman"/>
                <w:sz w:val="22"/>
                <w:szCs w:val="22"/>
              </w:rPr>
              <w:t xml:space="preserve"> </w:t>
            </w:r>
            <w:r>
              <w:rPr>
                <w:rFonts w:ascii="Times New Roman" w:hAnsi="Times New Roman" w:cs="Times New Roman"/>
                <w:sz w:val="22"/>
                <w:szCs w:val="22"/>
              </w:rPr>
              <w:t>%</w:t>
            </w:r>
          </w:p>
        </w:tc>
      </w:tr>
      <w:tr w:rsidR="00A529B4" w:rsidRPr="00BD1A7F" w14:paraId="7D6E0297" w14:textId="77777777" w:rsidTr="00536B97">
        <w:trPr>
          <w:trHeight w:val="432"/>
          <w:jc w:val="center"/>
        </w:trPr>
        <w:tc>
          <w:tcPr>
            <w:tcW w:w="0" w:type="auto"/>
            <w:tcBorders>
              <w:bottom w:val="single" w:sz="4" w:space="0" w:color="auto"/>
            </w:tcBorders>
            <w:vAlign w:val="center"/>
          </w:tcPr>
          <w:p w14:paraId="7B05B47D" w14:textId="77777777" w:rsidR="00A529B4" w:rsidRPr="00BD1A7F" w:rsidRDefault="00A529B4">
            <w:pPr>
              <w:jc w:val="center"/>
              <w:rPr>
                <w:rFonts w:ascii="Times New Roman" w:hAnsi="Times New Roman" w:cs="Times New Roman"/>
                <w:sz w:val="22"/>
                <w:szCs w:val="22"/>
              </w:rPr>
            </w:pPr>
            <w:r w:rsidRPr="00BD1A7F">
              <w:rPr>
                <w:rFonts w:ascii="Times New Roman" w:hAnsi="Times New Roman" w:cs="Times New Roman"/>
                <w:sz w:val="22"/>
                <w:szCs w:val="22"/>
              </w:rPr>
              <w:t>3</w:t>
            </w:r>
            <w:r w:rsidRPr="00BD1A7F">
              <w:rPr>
                <w:rFonts w:ascii="Times New Roman" w:hAnsi="Times New Roman" w:cs="Times New Roman"/>
                <w:sz w:val="22"/>
                <w:szCs w:val="22"/>
                <w:vertAlign w:val="superscript"/>
              </w:rPr>
              <w:t>rd</w:t>
            </w:r>
            <w:r w:rsidRPr="00BD1A7F">
              <w:rPr>
                <w:rFonts w:ascii="Times New Roman" w:hAnsi="Times New Roman" w:cs="Times New Roman"/>
                <w:sz w:val="22"/>
                <w:szCs w:val="22"/>
              </w:rPr>
              <w:t xml:space="preserve"> principal strain</w:t>
            </w:r>
          </w:p>
        </w:tc>
        <w:tc>
          <w:tcPr>
            <w:tcW w:w="0" w:type="auto"/>
            <w:tcBorders>
              <w:bottom w:val="single" w:sz="4" w:space="0" w:color="auto"/>
            </w:tcBorders>
            <w:vAlign w:val="center"/>
          </w:tcPr>
          <w:p w14:paraId="24EA089D" w14:textId="3CC7565D" w:rsidR="00A529B4" w:rsidRPr="00BD1A7F" w:rsidRDefault="003D02BD">
            <w:pPr>
              <w:jc w:val="center"/>
              <w:rPr>
                <w:rFonts w:ascii="Times New Roman" w:hAnsi="Times New Roman" w:cs="Times New Roman"/>
                <w:sz w:val="22"/>
                <w:szCs w:val="22"/>
              </w:rPr>
            </w:pPr>
            <w:r>
              <w:rPr>
                <w:rFonts w:ascii="Times New Roman" w:hAnsi="Times New Roman" w:cs="Times New Roman"/>
                <w:sz w:val="22"/>
                <w:szCs w:val="22"/>
              </w:rPr>
              <w:t>225</w:t>
            </w:r>
            <w:r w:rsidRPr="00BD1A7F">
              <w:rPr>
                <w:rFonts w:ascii="Times New Roman" w:hAnsi="Times New Roman" w:cs="Times New Roman"/>
                <w:sz w:val="22"/>
                <w:szCs w:val="22"/>
              </w:rPr>
              <w:t xml:space="preserve"> µε</w:t>
            </w:r>
          </w:p>
        </w:tc>
        <w:tc>
          <w:tcPr>
            <w:tcW w:w="0" w:type="auto"/>
            <w:tcBorders>
              <w:bottom w:val="single" w:sz="4" w:space="0" w:color="auto"/>
            </w:tcBorders>
            <w:vAlign w:val="center"/>
          </w:tcPr>
          <w:p w14:paraId="41592369" w14:textId="4DD65F0B" w:rsidR="00A529B4" w:rsidRPr="00BD1A7F" w:rsidRDefault="00A76923">
            <w:pPr>
              <w:jc w:val="center"/>
              <w:rPr>
                <w:rFonts w:ascii="Times New Roman" w:hAnsi="Times New Roman" w:cs="Times New Roman"/>
                <w:sz w:val="22"/>
                <w:szCs w:val="22"/>
              </w:rPr>
            </w:pPr>
            <w:r>
              <w:rPr>
                <w:rFonts w:ascii="Times New Roman" w:hAnsi="Times New Roman" w:cs="Times New Roman"/>
                <w:sz w:val="22"/>
                <w:szCs w:val="22"/>
              </w:rPr>
              <w:t>5.5 %</w:t>
            </w:r>
          </w:p>
        </w:tc>
        <w:tc>
          <w:tcPr>
            <w:tcW w:w="0" w:type="auto"/>
            <w:tcBorders>
              <w:bottom w:val="single" w:sz="4" w:space="0" w:color="auto"/>
            </w:tcBorders>
            <w:vAlign w:val="center"/>
          </w:tcPr>
          <w:p w14:paraId="13B04BB6" w14:textId="670B3B21" w:rsidR="00A529B4" w:rsidRPr="00BD1A7F" w:rsidRDefault="009922CD">
            <w:pPr>
              <w:jc w:val="center"/>
              <w:rPr>
                <w:rFonts w:ascii="Times New Roman" w:hAnsi="Times New Roman" w:cs="Times New Roman"/>
                <w:sz w:val="22"/>
                <w:szCs w:val="22"/>
              </w:rPr>
            </w:pPr>
            <w:r>
              <w:rPr>
                <w:rFonts w:ascii="Times New Roman" w:hAnsi="Times New Roman" w:cs="Times New Roman"/>
                <w:sz w:val="22"/>
                <w:szCs w:val="22"/>
              </w:rPr>
              <w:t>2279</w:t>
            </w:r>
            <w:r w:rsidR="00D77F12" w:rsidRPr="00BD1A7F">
              <w:rPr>
                <w:rFonts w:ascii="Times New Roman" w:hAnsi="Times New Roman" w:cs="Times New Roman"/>
                <w:sz w:val="22"/>
                <w:szCs w:val="22"/>
              </w:rPr>
              <w:t xml:space="preserve"> µε</w:t>
            </w:r>
          </w:p>
        </w:tc>
        <w:tc>
          <w:tcPr>
            <w:tcW w:w="0" w:type="auto"/>
            <w:tcBorders>
              <w:bottom w:val="single" w:sz="4" w:space="0" w:color="auto"/>
            </w:tcBorders>
            <w:vAlign w:val="center"/>
          </w:tcPr>
          <w:p w14:paraId="6D55536A" w14:textId="4E117665" w:rsidR="00A529B4" w:rsidRPr="00BD1A7F" w:rsidRDefault="00806EA6">
            <w:pPr>
              <w:jc w:val="center"/>
              <w:rPr>
                <w:rFonts w:ascii="Times New Roman" w:hAnsi="Times New Roman" w:cs="Times New Roman"/>
                <w:sz w:val="22"/>
                <w:szCs w:val="22"/>
              </w:rPr>
            </w:pPr>
            <w:r>
              <w:rPr>
                <w:rFonts w:ascii="Times New Roman" w:hAnsi="Times New Roman" w:cs="Times New Roman"/>
                <w:sz w:val="22"/>
                <w:szCs w:val="22"/>
              </w:rPr>
              <w:t>52.5</w:t>
            </w:r>
            <w:r w:rsidR="00D77F12">
              <w:rPr>
                <w:rFonts w:ascii="Times New Roman" w:hAnsi="Times New Roman" w:cs="Times New Roman"/>
                <w:sz w:val="22"/>
                <w:szCs w:val="22"/>
              </w:rPr>
              <w:t xml:space="preserve"> </w:t>
            </w:r>
            <w:r>
              <w:rPr>
                <w:rFonts w:ascii="Times New Roman" w:hAnsi="Times New Roman" w:cs="Times New Roman"/>
                <w:sz w:val="22"/>
                <w:szCs w:val="22"/>
              </w:rPr>
              <w:t>%</w:t>
            </w:r>
          </w:p>
        </w:tc>
      </w:tr>
    </w:tbl>
    <w:p w14:paraId="5C038D12" w14:textId="121C8D3C" w:rsidR="00493BAA" w:rsidRDefault="00493BAA" w:rsidP="003F05C3">
      <w:pPr>
        <w:spacing w:before="120" w:after="120" w:line="480" w:lineRule="auto"/>
        <w:rPr>
          <w:rFonts w:ascii="Times New Roman" w:hAnsi="Times New Roman" w:cs="Times New Roman"/>
          <w:sz w:val="28"/>
          <w:szCs w:val="28"/>
        </w:rPr>
      </w:pPr>
    </w:p>
    <w:p w14:paraId="0F196048" w14:textId="68A15707" w:rsidR="00020E79" w:rsidRPr="003F05C3" w:rsidRDefault="00020E79" w:rsidP="00BB7EBE">
      <w:pPr>
        <w:spacing w:before="120" w:after="120" w:line="480" w:lineRule="auto"/>
        <w:rPr>
          <w:rFonts w:ascii="Times New Roman" w:hAnsi="Times New Roman" w:cs="Times New Roman"/>
          <w:sz w:val="28"/>
          <w:szCs w:val="28"/>
        </w:rPr>
      </w:pPr>
      <w:r w:rsidRPr="003F05C3">
        <w:rPr>
          <w:rFonts w:ascii="Times New Roman" w:hAnsi="Times New Roman" w:cs="Times New Roman"/>
          <w:sz w:val="28"/>
          <w:szCs w:val="28"/>
        </w:rPr>
        <w:t>Reference</w:t>
      </w:r>
    </w:p>
    <w:sdt>
      <w:sdtPr>
        <w:rPr>
          <w:rFonts w:ascii="Times New Roman" w:hAnsi="Times New Roman" w:cs="Times New Roman"/>
          <w:color w:val="000000"/>
          <w:sz w:val="22"/>
          <w:szCs w:val="22"/>
        </w:rPr>
        <w:tag w:val="MENDELEY_BIBLIOGRAPHY"/>
        <w:id w:val="-1818789590"/>
        <w:placeholder>
          <w:docPart w:val="DefaultPlaceholder_-1854013440"/>
        </w:placeholder>
      </w:sdtPr>
      <w:sdtEndPr/>
      <w:sdtContent>
        <w:p w14:paraId="411D2DF2" w14:textId="77777777" w:rsidR="00E1009B" w:rsidRPr="003F05C3" w:rsidRDefault="00E1009B" w:rsidP="0030451A">
          <w:pPr>
            <w:autoSpaceDE w:val="0"/>
            <w:autoSpaceDN w:val="0"/>
            <w:spacing w:before="120" w:after="120" w:line="240" w:lineRule="auto"/>
            <w:ind w:hanging="475"/>
            <w:divId w:val="450324667"/>
            <w:rPr>
              <w:rFonts w:ascii="Times New Roman" w:eastAsia="Times New Roman" w:hAnsi="Times New Roman" w:cs="Times New Roman"/>
              <w:kern w:val="0"/>
              <w:sz w:val="22"/>
              <w:szCs w:val="22"/>
              <w14:ligatures w14:val="none"/>
            </w:rPr>
          </w:pPr>
          <w:r w:rsidRPr="003F05C3">
            <w:rPr>
              <w:rFonts w:ascii="Times New Roman" w:eastAsia="Times New Roman" w:hAnsi="Times New Roman" w:cs="Times New Roman"/>
              <w:sz w:val="22"/>
              <w:szCs w:val="22"/>
            </w:rPr>
            <w:t xml:space="preserve">Carman L, </w:t>
          </w:r>
          <w:proofErr w:type="spellStart"/>
          <w:r w:rsidRPr="003F05C3">
            <w:rPr>
              <w:rFonts w:ascii="Times New Roman" w:eastAsia="Times New Roman" w:hAnsi="Times New Roman" w:cs="Times New Roman"/>
              <w:sz w:val="22"/>
              <w:szCs w:val="22"/>
            </w:rPr>
            <w:t>Besier</w:t>
          </w:r>
          <w:proofErr w:type="spellEnd"/>
          <w:r w:rsidRPr="003F05C3">
            <w:rPr>
              <w:rFonts w:ascii="Times New Roman" w:eastAsia="Times New Roman" w:hAnsi="Times New Roman" w:cs="Times New Roman"/>
              <w:sz w:val="22"/>
              <w:szCs w:val="22"/>
            </w:rPr>
            <w:t xml:space="preserve"> T, Stott NS, </w:t>
          </w:r>
          <w:proofErr w:type="spellStart"/>
          <w:r w:rsidRPr="003F05C3">
            <w:rPr>
              <w:rFonts w:ascii="Times New Roman" w:eastAsia="Times New Roman" w:hAnsi="Times New Roman" w:cs="Times New Roman"/>
              <w:sz w:val="22"/>
              <w:szCs w:val="22"/>
            </w:rPr>
            <w:t>Choisne</w:t>
          </w:r>
          <w:proofErr w:type="spellEnd"/>
          <w:r w:rsidRPr="003F05C3">
            <w:rPr>
              <w:rFonts w:ascii="Times New Roman" w:eastAsia="Times New Roman" w:hAnsi="Times New Roman" w:cs="Times New Roman"/>
              <w:sz w:val="22"/>
              <w:szCs w:val="22"/>
            </w:rPr>
            <w:t xml:space="preserve"> J (2023) Sex differences in linear bone measurements occur following puberty but do not influence femoral or tibial torsion. Sci Rep 13:11733. https://doi.org/10.1038/s41598-023-38783-6</w:t>
          </w:r>
        </w:p>
        <w:p w14:paraId="17788092" w14:textId="77777777" w:rsidR="00E1009B" w:rsidRPr="003F05C3" w:rsidRDefault="00E1009B" w:rsidP="0030451A">
          <w:pPr>
            <w:autoSpaceDE w:val="0"/>
            <w:autoSpaceDN w:val="0"/>
            <w:spacing w:before="120" w:after="120" w:line="240" w:lineRule="auto"/>
            <w:ind w:hanging="475"/>
            <w:divId w:val="899828560"/>
            <w:rPr>
              <w:rFonts w:ascii="Times New Roman" w:eastAsia="Times New Roman" w:hAnsi="Times New Roman" w:cs="Times New Roman"/>
              <w:sz w:val="22"/>
              <w:szCs w:val="22"/>
            </w:rPr>
          </w:pPr>
          <w:r w:rsidRPr="003F05C3">
            <w:rPr>
              <w:rFonts w:ascii="Times New Roman" w:eastAsia="Times New Roman" w:hAnsi="Times New Roman" w:cs="Times New Roman"/>
              <w:sz w:val="22"/>
              <w:szCs w:val="22"/>
            </w:rPr>
            <w:t>Chen BPJ (2020) Measuring Femoral and Tibial Torsion in Children with Cerebral Palsy. In: Cerebral Palsy: Second Edition. Springer International Publishing, pp 1381–1400</w:t>
          </w:r>
        </w:p>
        <w:p w14:paraId="04E92AD9" w14:textId="77777777" w:rsidR="00E1009B" w:rsidRPr="003F05C3" w:rsidRDefault="00E1009B" w:rsidP="0030451A">
          <w:pPr>
            <w:autoSpaceDE w:val="0"/>
            <w:autoSpaceDN w:val="0"/>
            <w:spacing w:before="120" w:after="120" w:line="240" w:lineRule="auto"/>
            <w:ind w:hanging="475"/>
            <w:divId w:val="177156056"/>
            <w:rPr>
              <w:rFonts w:ascii="Times New Roman" w:eastAsia="Times New Roman" w:hAnsi="Times New Roman" w:cs="Times New Roman"/>
              <w:sz w:val="22"/>
              <w:szCs w:val="22"/>
            </w:rPr>
          </w:pPr>
          <w:r w:rsidRPr="003F05C3">
            <w:rPr>
              <w:rFonts w:ascii="Times New Roman" w:eastAsia="Times New Roman" w:hAnsi="Times New Roman" w:cs="Times New Roman"/>
              <w:sz w:val="22"/>
              <w:szCs w:val="22"/>
            </w:rPr>
            <w:t>Gosman JH, Hubbell ZR, Shaw CN, Ryan TM (2013) Development of Cortical Bone Geometry in the Human Femoral and Tibial Diaphysis. Anatomical Record 296:774–787. https://doi.org/10.1002/ar.22688</w:t>
          </w:r>
        </w:p>
        <w:p w14:paraId="308CCC3A" w14:textId="001D7717" w:rsidR="00020E79" w:rsidRPr="00E75F95" w:rsidRDefault="00E1009B" w:rsidP="00E75F95">
          <w:pPr>
            <w:spacing w:before="120" w:after="120" w:line="480" w:lineRule="auto"/>
            <w:jc w:val="both"/>
            <w:rPr>
              <w:rFonts w:ascii="Times New Roman" w:hAnsi="Times New Roman" w:cs="Times New Roman"/>
              <w:sz w:val="22"/>
              <w:szCs w:val="22"/>
            </w:rPr>
          </w:pPr>
          <w:r>
            <w:rPr>
              <w:rFonts w:eastAsia="Times New Roman"/>
            </w:rPr>
            <w:t> </w:t>
          </w:r>
        </w:p>
      </w:sdtContent>
    </w:sdt>
    <w:sectPr w:rsidR="00020E79" w:rsidRPr="00E75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A3B9B"/>
    <w:multiLevelType w:val="hybridMultilevel"/>
    <w:tmpl w:val="F626D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842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97"/>
    <w:rsid w:val="00010E0F"/>
    <w:rsid w:val="00020E79"/>
    <w:rsid w:val="000231C1"/>
    <w:rsid w:val="00033414"/>
    <w:rsid w:val="00033C4B"/>
    <w:rsid w:val="00042559"/>
    <w:rsid w:val="00044129"/>
    <w:rsid w:val="000532B4"/>
    <w:rsid w:val="0005503C"/>
    <w:rsid w:val="00060189"/>
    <w:rsid w:val="00063845"/>
    <w:rsid w:val="000770A1"/>
    <w:rsid w:val="000859AA"/>
    <w:rsid w:val="00091A39"/>
    <w:rsid w:val="000F35AF"/>
    <w:rsid w:val="00110647"/>
    <w:rsid w:val="0012570F"/>
    <w:rsid w:val="00143FCF"/>
    <w:rsid w:val="00146B18"/>
    <w:rsid w:val="00152159"/>
    <w:rsid w:val="00171B13"/>
    <w:rsid w:val="0018750F"/>
    <w:rsid w:val="001A4568"/>
    <w:rsid w:val="001B5B4E"/>
    <w:rsid w:val="001B5D9F"/>
    <w:rsid w:val="001B7937"/>
    <w:rsid w:val="001C3F4C"/>
    <w:rsid w:val="001D38B3"/>
    <w:rsid w:val="001E703A"/>
    <w:rsid w:val="002043E1"/>
    <w:rsid w:val="0021605B"/>
    <w:rsid w:val="002169BE"/>
    <w:rsid w:val="0022573D"/>
    <w:rsid w:val="00242158"/>
    <w:rsid w:val="00246DE6"/>
    <w:rsid w:val="00260C0D"/>
    <w:rsid w:val="00271A86"/>
    <w:rsid w:val="00283971"/>
    <w:rsid w:val="0029381F"/>
    <w:rsid w:val="002971B4"/>
    <w:rsid w:val="002A51E7"/>
    <w:rsid w:val="002A58F8"/>
    <w:rsid w:val="002A7067"/>
    <w:rsid w:val="002B49BC"/>
    <w:rsid w:val="002B5272"/>
    <w:rsid w:val="002E0250"/>
    <w:rsid w:val="0030451A"/>
    <w:rsid w:val="0032686C"/>
    <w:rsid w:val="003309D8"/>
    <w:rsid w:val="00350D11"/>
    <w:rsid w:val="003625BC"/>
    <w:rsid w:val="003631A0"/>
    <w:rsid w:val="00365DAC"/>
    <w:rsid w:val="00366A29"/>
    <w:rsid w:val="0036712E"/>
    <w:rsid w:val="003671A6"/>
    <w:rsid w:val="003704CA"/>
    <w:rsid w:val="00390251"/>
    <w:rsid w:val="00392E18"/>
    <w:rsid w:val="003A52EB"/>
    <w:rsid w:val="003B0860"/>
    <w:rsid w:val="003C6CF8"/>
    <w:rsid w:val="003C782D"/>
    <w:rsid w:val="003D02BD"/>
    <w:rsid w:val="003D1749"/>
    <w:rsid w:val="003D54D0"/>
    <w:rsid w:val="003F05C3"/>
    <w:rsid w:val="003F4F9F"/>
    <w:rsid w:val="00411039"/>
    <w:rsid w:val="00412F63"/>
    <w:rsid w:val="00424EE2"/>
    <w:rsid w:val="00430012"/>
    <w:rsid w:val="00433E79"/>
    <w:rsid w:val="004344DB"/>
    <w:rsid w:val="00440135"/>
    <w:rsid w:val="00451BE2"/>
    <w:rsid w:val="0046752B"/>
    <w:rsid w:val="00483798"/>
    <w:rsid w:val="0048625D"/>
    <w:rsid w:val="00487B76"/>
    <w:rsid w:val="00490FF5"/>
    <w:rsid w:val="00493BAA"/>
    <w:rsid w:val="004A5992"/>
    <w:rsid w:val="004B562A"/>
    <w:rsid w:val="004D52AF"/>
    <w:rsid w:val="004E5B3E"/>
    <w:rsid w:val="004F1DEF"/>
    <w:rsid w:val="00500CBF"/>
    <w:rsid w:val="00507EB9"/>
    <w:rsid w:val="00534586"/>
    <w:rsid w:val="00536B97"/>
    <w:rsid w:val="00541AAD"/>
    <w:rsid w:val="0055270D"/>
    <w:rsid w:val="005537F7"/>
    <w:rsid w:val="00555ABB"/>
    <w:rsid w:val="005565B3"/>
    <w:rsid w:val="00556AE6"/>
    <w:rsid w:val="00575991"/>
    <w:rsid w:val="00581F5A"/>
    <w:rsid w:val="005830F9"/>
    <w:rsid w:val="005976B9"/>
    <w:rsid w:val="005A03B9"/>
    <w:rsid w:val="005A67C2"/>
    <w:rsid w:val="005B15D1"/>
    <w:rsid w:val="005C1A82"/>
    <w:rsid w:val="005E7119"/>
    <w:rsid w:val="005F4EC6"/>
    <w:rsid w:val="00600B12"/>
    <w:rsid w:val="00617193"/>
    <w:rsid w:val="0063029C"/>
    <w:rsid w:val="00635105"/>
    <w:rsid w:val="0063668D"/>
    <w:rsid w:val="006804D5"/>
    <w:rsid w:val="0069384B"/>
    <w:rsid w:val="006A09A7"/>
    <w:rsid w:val="006B4967"/>
    <w:rsid w:val="006C7370"/>
    <w:rsid w:val="006D718D"/>
    <w:rsid w:val="006E1E55"/>
    <w:rsid w:val="006F34A8"/>
    <w:rsid w:val="006F7D65"/>
    <w:rsid w:val="00704AA7"/>
    <w:rsid w:val="007168A9"/>
    <w:rsid w:val="0072622F"/>
    <w:rsid w:val="00745A1B"/>
    <w:rsid w:val="00776902"/>
    <w:rsid w:val="00777673"/>
    <w:rsid w:val="0078321D"/>
    <w:rsid w:val="00785761"/>
    <w:rsid w:val="00787EC7"/>
    <w:rsid w:val="00790993"/>
    <w:rsid w:val="007A6898"/>
    <w:rsid w:val="007A746F"/>
    <w:rsid w:val="007C0353"/>
    <w:rsid w:val="007C4A52"/>
    <w:rsid w:val="007F2CCD"/>
    <w:rsid w:val="00802742"/>
    <w:rsid w:val="0080399C"/>
    <w:rsid w:val="00806EA6"/>
    <w:rsid w:val="008110C6"/>
    <w:rsid w:val="00811761"/>
    <w:rsid w:val="00821F3A"/>
    <w:rsid w:val="008228C1"/>
    <w:rsid w:val="00823DCA"/>
    <w:rsid w:val="008404E5"/>
    <w:rsid w:val="00842F78"/>
    <w:rsid w:val="00872C41"/>
    <w:rsid w:val="00880ED6"/>
    <w:rsid w:val="008837BE"/>
    <w:rsid w:val="00884864"/>
    <w:rsid w:val="008D3B8B"/>
    <w:rsid w:val="008D52F0"/>
    <w:rsid w:val="008E2CDD"/>
    <w:rsid w:val="008E4437"/>
    <w:rsid w:val="008E45C9"/>
    <w:rsid w:val="008F585C"/>
    <w:rsid w:val="0090445C"/>
    <w:rsid w:val="00910144"/>
    <w:rsid w:val="009104B4"/>
    <w:rsid w:val="00912296"/>
    <w:rsid w:val="0091299B"/>
    <w:rsid w:val="00921522"/>
    <w:rsid w:val="00922452"/>
    <w:rsid w:val="0094180F"/>
    <w:rsid w:val="00941E55"/>
    <w:rsid w:val="00944896"/>
    <w:rsid w:val="0095239B"/>
    <w:rsid w:val="00953895"/>
    <w:rsid w:val="009839D5"/>
    <w:rsid w:val="009922CD"/>
    <w:rsid w:val="009A36E8"/>
    <w:rsid w:val="009B029D"/>
    <w:rsid w:val="009B2EFD"/>
    <w:rsid w:val="009D40E7"/>
    <w:rsid w:val="009E38E5"/>
    <w:rsid w:val="009F3F50"/>
    <w:rsid w:val="009F603A"/>
    <w:rsid w:val="00A21C69"/>
    <w:rsid w:val="00A3144F"/>
    <w:rsid w:val="00A40143"/>
    <w:rsid w:val="00A529B4"/>
    <w:rsid w:val="00A54236"/>
    <w:rsid w:val="00A6012B"/>
    <w:rsid w:val="00A6319F"/>
    <w:rsid w:val="00A729D7"/>
    <w:rsid w:val="00A73D5B"/>
    <w:rsid w:val="00A76923"/>
    <w:rsid w:val="00A9663A"/>
    <w:rsid w:val="00AA7799"/>
    <w:rsid w:val="00AB0402"/>
    <w:rsid w:val="00AB28F5"/>
    <w:rsid w:val="00B004FA"/>
    <w:rsid w:val="00B106CF"/>
    <w:rsid w:val="00B25CBA"/>
    <w:rsid w:val="00B2688A"/>
    <w:rsid w:val="00B378C5"/>
    <w:rsid w:val="00B46B48"/>
    <w:rsid w:val="00B70A87"/>
    <w:rsid w:val="00B72501"/>
    <w:rsid w:val="00B740AE"/>
    <w:rsid w:val="00B80494"/>
    <w:rsid w:val="00BB7EBE"/>
    <w:rsid w:val="00BC22BB"/>
    <w:rsid w:val="00BC247F"/>
    <w:rsid w:val="00BD1A7F"/>
    <w:rsid w:val="00BE0122"/>
    <w:rsid w:val="00BF3493"/>
    <w:rsid w:val="00BF54D1"/>
    <w:rsid w:val="00C0539A"/>
    <w:rsid w:val="00C1040F"/>
    <w:rsid w:val="00C24C89"/>
    <w:rsid w:val="00C30783"/>
    <w:rsid w:val="00C36F34"/>
    <w:rsid w:val="00C40DE3"/>
    <w:rsid w:val="00C53C1C"/>
    <w:rsid w:val="00C668AD"/>
    <w:rsid w:val="00C81072"/>
    <w:rsid w:val="00C84C5F"/>
    <w:rsid w:val="00C854C3"/>
    <w:rsid w:val="00C86578"/>
    <w:rsid w:val="00CA53BA"/>
    <w:rsid w:val="00CA6FC8"/>
    <w:rsid w:val="00CB4E3E"/>
    <w:rsid w:val="00CC42B0"/>
    <w:rsid w:val="00CC7F1E"/>
    <w:rsid w:val="00CD0BD1"/>
    <w:rsid w:val="00CE1CC8"/>
    <w:rsid w:val="00CF32AD"/>
    <w:rsid w:val="00CF3BA4"/>
    <w:rsid w:val="00D067A6"/>
    <w:rsid w:val="00D10E77"/>
    <w:rsid w:val="00D1611A"/>
    <w:rsid w:val="00D23436"/>
    <w:rsid w:val="00D26874"/>
    <w:rsid w:val="00D3117A"/>
    <w:rsid w:val="00D37D93"/>
    <w:rsid w:val="00D416E8"/>
    <w:rsid w:val="00D54FD2"/>
    <w:rsid w:val="00D702A7"/>
    <w:rsid w:val="00D77F12"/>
    <w:rsid w:val="00D97C97"/>
    <w:rsid w:val="00DC001C"/>
    <w:rsid w:val="00DC2D97"/>
    <w:rsid w:val="00DD05AD"/>
    <w:rsid w:val="00DD685C"/>
    <w:rsid w:val="00DD6CE6"/>
    <w:rsid w:val="00DD7E5F"/>
    <w:rsid w:val="00DE1CE2"/>
    <w:rsid w:val="00DF220E"/>
    <w:rsid w:val="00E01D12"/>
    <w:rsid w:val="00E01F17"/>
    <w:rsid w:val="00E05A0F"/>
    <w:rsid w:val="00E05F92"/>
    <w:rsid w:val="00E1009B"/>
    <w:rsid w:val="00E25065"/>
    <w:rsid w:val="00E2579B"/>
    <w:rsid w:val="00E44948"/>
    <w:rsid w:val="00E455FC"/>
    <w:rsid w:val="00E463E5"/>
    <w:rsid w:val="00E46D22"/>
    <w:rsid w:val="00E47EC2"/>
    <w:rsid w:val="00E56853"/>
    <w:rsid w:val="00E5723D"/>
    <w:rsid w:val="00E60595"/>
    <w:rsid w:val="00E6093D"/>
    <w:rsid w:val="00E65CA0"/>
    <w:rsid w:val="00E70A51"/>
    <w:rsid w:val="00E75F95"/>
    <w:rsid w:val="00E92EED"/>
    <w:rsid w:val="00E93586"/>
    <w:rsid w:val="00EB374B"/>
    <w:rsid w:val="00EB45D7"/>
    <w:rsid w:val="00EB5896"/>
    <w:rsid w:val="00ED6D9C"/>
    <w:rsid w:val="00ED7AC7"/>
    <w:rsid w:val="00EF25EE"/>
    <w:rsid w:val="00EF305A"/>
    <w:rsid w:val="00EF6CD7"/>
    <w:rsid w:val="00F0492D"/>
    <w:rsid w:val="00F12F1B"/>
    <w:rsid w:val="00F14492"/>
    <w:rsid w:val="00F4010C"/>
    <w:rsid w:val="00F44F20"/>
    <w:rsid w:val="00F6118D"/>
    <w:rsid w:val="00F63B4D"/>
    <w:rsid w:val="00F63E82"/>
    <w:rsid w:val="00F73BF5"/>
    <w:rsid w:val="00F919F9"/>
    <w:rsid w:val="00FB451B"/>
    <w:rsid w:val="00FB5EC4"/>
    <w:rsid w:val="00FC5737"/>
    <w:rsid w:val="00FD2B40"/>
    <w:rsid w:val="00FF134C"/>
    <w:rsid w:val="00FF4477"/>
    <w:rsid w:val="00FF60B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DA2D"/>
  <w15:chartTrackingRefBased/>
  <w15:docId w15:val="{72E83D48-2787-43D0-86CB-1833E121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97"/>
    <w:rPr>
      <w:rFonts w:eastAsiaTheme="majorEastAsia" w:cstheme="majorBidi"/>
      <w:color w:val="272727" w:themeColor="text1" w:themeTint="D8"/>
    </w:rPr>
  </w:style>
  <w:style w:type="paragraph" w:styleId="Title">
    <w:name w:val="Title"/>
    <w:basedOn w:val="Normal"/>
    <w:next w:val="Normal"/>
    <w:link w:val="TitleChar"/>
    <w:uiPriority w:val="10"/>
    <w:qFormat/>
    <w:rsid w:val="00D9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97"/>
    <w:pPr>
      <w:spacing w:before="160"/>
      <w:jc w:val="center"/>
    </w:pPr>
    <w:rPr>
      <w:i/>
      <w:iCs/>
      <w:color w:val="404040" w:themeColor="text1" w:themeTint="BF"/>
    </w:rPr>
  </w:style>
  <w:style w:type="character" w:customStyle="1" w:styleId="QuoteChar">
    <w:name w:val="Quote Char"/>
    <w:basedOn w:val="DefaultParagraphFont"/>
    <w:link w:val="Quote"/>
    <w:uiPriority w:val="29"/>
    <w:rsid w:val="00D97C97"/>
    <w:rPr>
      <w:i/>
      <w:iCs/>
      <w:color w:val="404040" w:themeColor="text1" w:themeTint="BF"/>
    </w:rPr>
  </w:style>
  <w:style w:type="paragraph" w:styleId="ListParagraph">
    <w:name w:val="List Paragraph"/>
    <w:basedOn w:val="Normal"/>
    <w:uiPriority w:val="34"/>
    <w:qFormat/>
    <w:rsid w:val="00D97C97"/>
    <w:pPr>
      <w:ind w:left="720"/>
      <w:contextualSpacing/>
    </w:pPr>
  </w:style>
  <w:style w:type="character" w:styleId="IntenseEmphasis">
    <w:name w:val="Intense Emphasis"/>
    <w:basedOn w:val="DefaultParagraphFont"/>
    <w:uiPriority w:val="21"/>
    <w:qFormat/>
    <w:rsid w:val="00D97C97"/>
    <w:rPr>
      <w:i/>
      <w:iCs/>
      <w:color w:val="0F4761" w:themeColor="accent1" w:themeShade="BF"/>
    </w:rPr>
  </w:style>
  <w:style w:type="paragraph" w:styleId="IntenseQuote">
    <w:name w:val="Intense Quote"/>
    <w:basedOn w:val="Normal"/>
    <w:next w:val="Normal"/>
    <w:link w:val="IntenseQuoteChar"/>
    <w:uiPriority w:val="30"/>
    <w:qFormat/>
    <w:rsid w:val="00D9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C97"/>
    <w:rPr>
      <w:i/>
      <w:iCs/>
      <w:color w:val="0F4761" w:themeColor="accent1" w:themeShade="BF"/>
    </w:rPr>
  </w:style>
  <w:style w:type="character" w:styleId="IntenseReference">
    <w:name w:val="Intense Reference"/>
    <w:basedOn w:val="DefaultParagraphFont"/>
    <w:uiPriority w:val="32"/>
    <w:qFormat/>
    <w:rsid w:val="00D97C97"/>
    <w:rPr>
      <w:b/>
      <w:bCs/>
      <w:smallCaps/>
      <w:color w:val="0F4761" w:themeColor="accent1" w:themeShade="BF"/>
      <w:spacing w:val="5"/>
    </w:rPr>
  </w:style>
  <w:style w:type="table" w:styleId="TableGrid">
    <w:name w:val="Table Grid"/>
    <w:basedOn w:val="TableNormal"/>
    <w:uiPriority w:val="39"/>
    <w:rsid w:val="002B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5AD"/>
    <w:rPr>
      <w:sz w:val="16"/>
      <w:szCs w:val="16"/>
    </w:rPr>
  </w:style>
  <w:style w:type="paragraph" w:styleId="CommentText">
    <w:name w:val="annotation text"/>
    <w:basedOn w:val="Normal"/>
    <w:link w:val="CommentTextChar"/>
    <w:uiPriority w:val="99"/>
    <w:unhideWhenUsed/>
    <w:rsid w:val="00DD05AD"/>
    <w:pPr>
      <w:spacing w:line="240" w:lineRule="auto"/>
    </w:pPr>
    <w:rPr>
      <w:sz w:val="20"/>
      <w:szCs w:val="20"/>
    </w:rPr>
  </w:style>
  <w:style w:type="character" w:customStyle="1" w:styleId="CommentTextChar">
    <w:name w:val="Comment Text Char"/>
    <w:basedOn w:val="DefaultParagraphFont"/>
    <w:link w:val="CommentText"/>
    <w:uiPriority w:val="99"/>
    <w:rsid w:val="00DD05AD"/>
    <w:rPr>
      <w:sz w:val="20"/>
      <w:szCs w:val="20"/>
    </w:rPr>
  </w:style>
  <w:style w:type="character" w:styleId="PlaceholderText">
    <w:name w:val="Placeholder Text"/>
    <w:basedOn w:val="DefaultParagraphFont"/>
    <w:uiPriority w:val="99"/>
    <w:semiHidden/>
    <w:rsid w:val="00A40143"/>
    <w:rPr>
      <w:color w:val="666666"/>
    </w:rPr>
  </w:style>
  <w:style w:type="paragraph" w:styleId="Revision">
    <w:name w:val="Revision"/>
    <w:hidden/>
    <w:uiPriority w:val="99"/>
    <w:semiHidden/>
    <w:rsid w:val="00F63B4D"/>
    <w:pPr>
      <w:spacing w:after="0" w:line="240" w:lineRule="auto"/>
    </w:pPr>
  </w:style>
  <w:style w:type="paragraph" w:styleId="CommentSubject">
    <w:name w:val="annotation subject"/>
    <w:basedOn w:val="CommentText"/>
    <w:next w:val="CommentText"/>
    <w:link w:val="CommentSubjectChar"/>
    <w:uiPriority w:val="99"/>
    <w:semiHidden/>
    <w:unhideWhenUsed/>
    <w:rsid w:val="00787EC7"/>
    <w:rPr>
      <w:b/>
      <w:bCs/>
    </w:rPr>
  </w:style>
  <w:style w:type="character" w:customStyle="1" w:styleId="CommentSubjectChar">
    <w:name w:val="Comment Subject Char"/>
    <w:basedOn w:val="CommentTextChar"/>
    <w:link w:val="CommentSubject"/>
    <w:uiPriority w:val="99"/>
    <w:semiHidden/>
    <w:rsid w:val="00787E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628">
      <w:bodyDiv w:val="1"/>
      <w:marLeft w:val="0"/>
      <w:marRight w:val="0"/>
      <w:marTop w:val="0"/>
      <w:marBottom w:val="0"/>
      <w:divBdr>
        <w:top w:val="none" w:sz="0" w:space="0" w:color="auto"/>
        <w:left w:val="none" w:sz="0" w:space="0" w:color="auto"/>
        <w:bottom w:val="none" w:sz="0" w:space="0" w:color="auto"/>
        <w:right w:val="none" w:sz="0" w:space="0" w:color="auto"/>
      </w:divBdr>
      <w:divsChild>
        <w:div w:id="482477612">
          <w:marLeft w:val="480"/>
          <w:marRight w:val="0"/>
          <w:marTop w:val="0"/>
          <w:marBottom w:val="0"/>
          <w:divBdr>
            <w:top w:val="none" w:sz="0" w:space="0" w:color="auto"/>
            <w:left w:val="none" w:sz="0" w:space="0" w:color="auto"/>
            <w:bottom w:val="none" w:sz="0" w:space="0" w:color="auto"/>
            <w:right w:val="none" w:sz="0" w:space="0" w:color="auto"/>
          </w:divBdr>
        </w:div>
        <w:div w:id="1715881257">
          <w:marLeft w:val="480"/>
          <w:marRight w:val="0"/>
          <w:marTop w:val="0"/>
          <w:marBottom w:val="0"/>
          <w:divBdr>
            <w:top w:val="none" w:sz="0" w:space="0" w:color="auto"/>
            <w:left w:val="none" w:sz="0" w:space="0" w:color="auto"/>
            <w:bottom w:val="none" w:sz="0" w:space="0" w:color="auto"/>
            <w:right w:val="none" w:sz="0" w:space="0" w:color="auto"/>
          </w:divBdr>
        </w:div>
      </w:divsChild>
    </w:div>
    <w:div w:id="589851545">
      <w:bodyDiv w:val="1"/>
      <w:marLeft w:val="0"/>
      <w:marRight w:val="0"/>
      <w:marTop w:val="0"/>
      <w:marBottom w:val="0"/>
      <w:divBdr>
        <w:top w:val="none" w:sz="0" w:space="0" w:color="auto"/>
        <w:left w:val="none" w:sz="0" w:space="0" w:color="auto"/>
        <w:bottom w:val="none" w:sz="0" w:space="0" w:color="auto"/>
        <w:right w:val="none" w:sz="0" w:space="0" w:color="auto"/>
      </w:divBdr>
      <w:divsChild>
        <w:div w:id="1276215028">
          <w:marLeft w:val="480"/>
          <w:marRight w:val="0"/>
          <w:marTop w:val="0"/>
          <w:marBottom w:val="0"/>
          <w:divBdr>
            <w:top w:val="none" w:sz="0" w:space="0" w:color="auto"/>
            <w:left w:val="none" w:sz="0" w:space="0" w:color="auto"/>
            <w:bottom w:val="none" w:sz="0" w:space="0" w:color="auto"/>
            <w:right w:val="none" w:sz="0" w:space="0" w:color="auto"/>
          </w:divBdr>
        </w:div>
        <w:div w:id="2079397622">
          <w:marLeft w:val="480"/>
          <w:marRight w:val="0"/>
          <w:marTop w:val="0"/>
          <w:marBottom w:val="0"/>
          <w:divBdr>
            <w:top w:val="none" w:sz="0" w:space="0" w:color="auto"/>
            <w:left w:val="none" w:sz="0" w:space="0" w:color="auto"/>
            <w:bottom w:val="none" w:sz="0" w:space="0" w:color="auto"/>
            <w:right w:val="none" w:sz="0" w:space="0" w:color="auto"/>
          </w:divBdr>
        </w:div>
      </w:divsChild>
    </w:div>
    <w:div w:id="594554942">
      <w:bodyDiv w:val="1"/>
      <w:marLeft w:val="0"/>
      <w:marRight w:val="0"/>
      <w:marTop w:val="0"/>
      <w:marBottom w:val="0"/>
      <w:divBdr>
        <w:top w:val="none" w:sz="0" w:space="0" w:color="auto"/>
        <w:left w:val="none" w:sz="0" w:space="0" w:color="auto"/>
        <w:bottom w:val="none" w:sz="0" w:space="0" w:color="auto"/>
        <w:right w:val="none" w:sz="0" w:space="0" w:color="auto"/>
      </w:divBdr>
      <w:divsChild>
        <w:div w:id="913005772">
          <w:marLeft w:val="480"/>
          <w:marRight w:val="0"/>
          <w:marTop w:val="0"/>
          <w:marBottom w:val="0"/>
          <w:divBdr>
            <w:top w:val="none" w:sz="0" w:space="0" w:color="auto"/>
            <w:left w:val="none" w:sz="0" w:space="0" w:color="auto"/>
            <w:bottom w:val="none" w:sz="0" w:space="0" w:color="auto"/>
            <w:right w:val="none" w:sz="0" w:space="0" w:color="auto"/>
          </w:divBdr>
        </w:div>
        <w:div w:id="1030837557">
          <w:marLeft w:val="480"/>
          <w:marRight w:val="0"/>
          <w:marTop w:val="0"/>
          <w:marBottom w:val="0"/>
          <w:divBdr>
            <w:top w:val="none" w:sz="0" w:space="0" w:color="auto"/>
            <w:left w:val="none" w:sz="0" w:space="0" w:color="auto"/>
            <w:bottom w:val="none" w:sz="0" w:space="0" w:color="auto"/>
            <w:right w:val="none" w:sz="0" w:space="0" w:color="auto"/>
          </w:divBdr>
        </w:div>
      </w:divsChild>
    </w:div>
    <w:div w:id="602424343">
      <w:bodyDiv w:val="1"/>
      <w:marLeft w:val="0"/>
      <w:marRight w:val="0"/>
      <w:marTop w:val="0"/>
      <w:marBottom w:val="0"/>
      <w:divBdr>
        <w:top w:val="none" w:sz="0" w:space="0" w:color="auto"/>
        <w:left w:val="none" w:sz="0" w:space="0" w:color="auto"/>
        <w:bottom w:val="none" w:sz="0" w:space="0" w:color="auto"/>
        <w:right w:val="none" w:sz="0" w:space="0" w:color="auto"/>
      </w:divBdr>
      <w:divsChild>
        <w:div w:id="1192374246">
          <w:marLeft w:val="480"/>
          <w:marRight w:val="0"/>
          <w:marTop w:val="0"/>
          <w:marBottom w:val="0"/>
          <w:divBdr>
            <w:top w:val="none" w:sz="0" w:space="0" w:color="auto"/>
            <w:left w:val="none" w:sz="0" w:space="0" w:color="auto"/>
            <w:bottom w:val="none" w:sz="0" w:space="0" w:color="auto"/>
            <w:right w:val="none" w:sz="0" w:space="0" w:color="auto"/>
          </w:divBdr>
        </w:div>
        <w:div w:id="1689717155">
          <w:marLeft w:val="480"/>
          <w:marRight w:val="0"/>
          <w:marTop w:val="0"/>
          <w:marBottom w:val="0"/>
          <w:divBdr>
            <w:top w:val="none" w:sz="0" w:space="0" w:color="auto"/>
            <w:left w:val="none" w:sz="0" w:space="0" w:color="auto"/>
            <w:bottom w:val="none" w:sz="0" w:space="0" w:color="auto"/>
            <w:right w:val="none" w:sz="0" w:space="0" w:color="auto"/>
          </w:divBdr>
        </w:div>
      </w:divsChild>
    </w:div>
    <w:div w:id="1111893616">
      <w:bodyDiv w:val="1"/>
      <w:marLeft w:val="0"/>
      <w:marRight w:val="0"/>
      <w:marTop w:val="0"/>
      <w:marBottom w:val="0"/>
      <w:divBdr>
        <w:top w:val="none" w:sz="0" w:space="0" w:color="auto"/>
        <w:left w:val="none" w:sz="0" w:space="0" w:color="auto"/>
        <w:bottom w:val="none" w:sz="0" w:space="0" w:color="auto"/>
        <w:right w:val="none" w:sz="0" w:space="0" w:color="auto"/>
      </w:divBdr>
      <w:divsChild>
        <w:div w:id="876431932">
          <w:marLeft w:val="480"/>
          <w:marRight w:val="0"/>
          <w:marTop w:val="0"/>
          <w:marBottom w:val="0"/>
          <w:divBdr>
            <w:top w:val="none" w:sz="0" w:space="0" w:color="auto"/>
            <w:left w:val="none" w:sz="0" w:space="0" w:color="auto"/>
            <w:bottom w:val="none" w:sz="0" w:space="0" w:color="auto"/>
            <w:right w:val="none" w:sz="0" w:space="0" w:color="auto"/>
          </w:divBdr>
        </w:div>
        <w:div w:id="1545286848">
          <w:marLeft w:val="480"/>
          <w:marRight w:val="0"/>
          <w:marTop w:val="0"/>
          <w:marBottom w:val="0"/>
          <w:divBdr>
            <w:top w:val="none" w:sz="0" w:space="0" w:color="auto"/>
            <w:left w:val="none" w:sz="0" w:space="0" w:color="auto"/>
            <w:bottom w:val="none" w:sz="0" w:space="0" w:color="auto"/>
            <w:right w:val="none" w:sz="0" w:space="0" w:color="auto"/>
          </w:divBdr>
        </w:div>
        <w:div w:id="1857689306">
          <w:marLeft w:val="480"/>
          <w:marRight w:val="0"/>
          <w:marTop w:val="0"/>
          <w:marBottom w:val="0"/>
          <w:divBdr>
            <w:top w:val="none" w:sz="0" w:space="0" w:color="auto"/>
            <w:left w:val="none" w:sz="0" w:space="0" w:color="auto"/>
            <w:bottom w:val="none" w:sz="0" w:space="0" w:color="auto"/>
            <w:right w:val="none" w:sz="0" w:space="0" w:color="auto"/>
          </w:divBdr>
        </w:div>
      </w:divsChild>
    </w:div>
    <w:div w:id="1149371189">
      <w:bodyDiv w:val="1"/>
      <w:marLeft w:val="0"/>
      <w:marRight w:val="0"/>
      <w:marTop w:val="0"/>
      <w:marBottom w:val="0"/>
      <w:divBdr>
        <w:top w:val="none" w:sz="0" w:space="0" w:color="auto"/>
        <w:left w:val="none" w:sz="0" w:space="0" w:color="auto"/>
        <w:bottom w:val="none" w:sz="0" w:space="0" w:color="auto"/>
        <w:right w:val="none" w:sz="0" w:space="0" w:color="auto"/>
      </w:divBdr>
      <w:divsChild>
        <w:div w:id="262880539">
          <w:marLeft w:val="480"/>
          <w:marRight w:val="0"/>
          <w:marTop w:val="0"/>
          <w:marBottom w:val="0"/>
          <w:divBdr>
            <w:top w:val="none" w:sz="0" w:space="0" w:color="auto"/>
            <w:left w:val="none" w:sz="0" w:space="0" w:color="auto"/>
            <w:bottom w:val="none" w:sz="0" w:space="0" w:color="auto"/>
            <w:right w:val="none" w:sz="0" w:space="0" w:color="auto"/>
          </w:divBdr>
        </w:div>
        <w:div w:id="310409337">
          <w:marLeft w:val="480"/>
          <w:marRight w:val="0"/>
          <w:marTop w:val="0"/>
          <w:marBottom w:val="0"/>
          <w:divBdr>
            <w:top w:val="none" w:sz="0" w:space="0" w:color="auto"/>
            <w:left w:val="none" w:sz="0" w:space="0" w:color="auto"/>
            <w:bottom w:val="none" w:sz="0" w:space="0" w:color="auto"/>
            <w:right w:val="none" w:sz="0" w:space="0" w:color="auto"/>
          </w:divBdr>
        </w:div>
        <w:div w:id="958489493">
          <w:marLeft w:val="480"/>
          <w:marRight w:val="0"/>
          <w:marTop w:val="0"/>
          <w:marBottom w:val="0"/>
          <w:divBdr>
            <w:top w:val="none" w:sz="0" w:space="0" w:color="auto"/>
            <w:left w:val="none" w:sz="0" w:space="0" w:color="auto"/>
            <w:bottom w:val="none" w:sz="0" w:space="0" w:color="auto"/>
            <w:right w:val="none" w:sz="0" w:space="0" w:color="auto"/>
          </w:divBdr>
        </w:div>
      </w:divsChild>
    </w:div>
    <w:div w:id="1312293680">
      <w:bodyDiv w:val="1"/>
      <w:marLeft w:val="0"/>
      <w:marRight w:val="0"/>
      <w:marTop w:val="0"/>
      <w:marBottom w:val="0"/>
      <w:divBdr>
        <w:top w:val="none" w:sz="0" w:space="0" w:color="auto"/>
        <w:left w:val="none" w:sz="0" w:space="0" w:color="auto"/>
        <w:bottom w:val="none" w:sz="0" w:space="0" w:color="auto"/>
        <w:right w:val="none" w:sz="0" w:space="0" w:color="auto"/>
      </w:divBdr>
      <w:divsChild>
        <w:div w:id="363100317">
          <w:marLeft w:val="480"/>
          <w:marRight w:val="0"/>
          <w:marTop w:val="0"/>
          <w:marBottom w:val="0"/>
          <w:divBdr>
            <w:top w:val="none" w:sz="0" w:space="0" w:color="auto"/>
            <w:left w:val="none" w:sz="0" w:space="0" w:color="auto"/>
            <w:bottom w:val="none" w:sz="0" w:space="0" w:color="auto"/>
            <w:right w:val="none" w:sz="0" w:space="0" w:color="auto"/>
          </w:divBdr>
        </w:div>
        <w:div w:id="1581908091">
          <w:marLeft w:val="480"/>
          <w:marRight w:val="0"/>
          <w:marTop w:val="0"/>
          <w:marBottom w:val="0"/>
          <w:divBdr>
            <w:top w:val="none" w:sz="0" w:space="0" w:color="auto"/>
            <w:left w:val="none" w:sz="0" w:space="0" w:color="auto"/>
            <w:bottom w:val="none" w:sz="0" w:space="0" w:color="auto"/>
            <w:right w:val="none" w:sz="0" w:space="0" w:color="auto"/>
          </w:divBdr>
        </w:div>
        <w:div w:id="2145542599">
          <w:marLeft w:val="480"/>
          <w:marRight w:val="0"/>
          <w:marTop w:val="0"/>
          <w:marBottom w:val="0"/>
          <w:divBdr>
            <w:top w:val="none" w:sz="0" w:space="0" w:color="auto"/>
            <w:left w:val="none" w:sz="0" w:space="0" w:color="auto"/>
            <w:bottom w:val="none" w:sz="0" w:space="0" w:color="auto"/>
            <w:right w:val="none" w:sz="0" w:space="0" w:color="auto"/>
          </w:divBdr>
        </w:div>
      </w:divsChild>
    </w:div>
    <w:div w:id="1970625822">
      <w:bodyDiv w:val="1"/>
      <w:marLeft w:val="0"/>
      <w:marRight w:val="0"/>
      <w:marTop w:val="0"/>
      <w:marBottom w:val="0"/>
      <w:divBdr>
        <w:top w:val="none" w:sz="0" w:space="0" w:color="auto"/>
        <w:left w:val="none" w:sz="0" w:space="0" w:color="auto"/>
        <w:bottom w:val="none" w:sz="0" w:space="0" w:color="auto"/>
        <w:right w:val="none" w:sz="0" w:space="0" w:color="auto"/>
      </w:divBdr>
      <w:divsChild>
        <w:div w:id="86387523">
          <w:marLeft w:val="480"/>
          <w:marRight w:val="0"/>
          <w:marTop w:val="0"/>
          <w:marBottom w:val="0"/>
          <w:divBdr>
            <w:top w:val="none" w:sz="0" w:space="0" w:color="auto"/>
            <w:left w:val="none" w:sz="0" w:space="0" w:color="auto"/>
            <w:bottom w:val="none" w:sz="0" w:space="0" w:color="auto"/>
            <w:right w:val="none" w:sz="0" w:space="0" w:color="auto"/>
          </w:divBdr>
        </w:div>
        <w:div w:id="518159514">
          <w:marLeft w:val="480"/>
          <w:marRight w:val="0"/>
          <w:marTop w:val="0"/>
          <w:marBottom w:val="0"/>
          <w:divBdr>
            <w:top w:val="none" w:sz="0" w:space="0" w:color="auto"/>
            <w:left w:val="none" w:sz="0" w:space="0" w:color="auto"/>
            <w:bottom w:val="none" w:sz="0" w:space="0" w:color="auto"/>
            <w:right w:val="none" w:sz="0" w:space="0" w:color="auto"/>
          </w:divBdr>
        </w:div>
      </w:divsChild>
    </w:div>
    <w:div w:id="2053311974">
      <w:bodyDiv w:val="1"/>
      <w:marLeft w:val="0"/>
      <w:marRight w:val="0"/>
      <w:marTop w:val="0"/>
      <w:marBottom w:val="0"/>
      <w:divBdr>
        <w:top w:val="none" w:sz="0" w:space="0" w:color="auto"/>
        <w:left w:val="none" w:sz="0" w:space="0" w:color="auto"/>
        <w:bottom w:val="none" w:sz="0" w:space="0" w:color="auto"/>
        <w:right w:val="none" w:sz="0" w:space="0" w:color="auto"/>
      </w:divBdr>
      <w:divsChild>
        <w:div w:id="177156056">
          <w:marLeft w:val="480"/>
          <w:marRight w:val="0"/>
          <w:marTop w:val="0"/>
          <w:marBottom w:val="0"/>
          <w:divBdr>
            <w:top w:val="none" w:sz="0" w:space="0" w:color="auto"/>
            <w:left w:val="none" w:sz="0" w:space="0" w:color="auto"/>
            <w:bottom w:val="none" w:sz="0" w:space="0" w:color="auto"/>
            <w:right w:val="none" w:sz="0" w:space="0" w:color="auto"/>
          </w:divBdr>
        </w:div>
        <w:div w:id="450324667">
          <w:marLeft w:val="480"/>
          <w:marRight w:val="0"/>
          <w:marTop w:val="0"/>
          <w:marBottom w:val="0"/>
          <w:divBdr>
            <w:top w:val="none" w:sz="0" w:space="0" w:color="auto"/>
            <w:left w:val="none" w:sz="0" w:space="0" w:color="auto"/>
            <w:bottom w:val="none" w:sz="0" w:space="0" w:color="auto"/>
            <w:right w:val="none" w:sz="0" w:space="0" w:color="auto"/>
          </w:divBdr>
        </w:div>
        <w:div w:id="8998285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6F32EC-5BF4-4173-BB10-77DA0C0EBC3A}"/>
      </w:docPartPr>
      <w:docPartBody>
        <w:p w:rsidR="004C2C0D" w:rsidRDefault="006D2CF9">
          <w:r w:rsidRPr="00D77589">
            <w:rPr>
              <w:rStyle w:val="PlaceholderText"/>
            </w:rPr>
            <w:t>Click or tap here to enter text.</w:t>
          </w:r>
        </w:p>
      </w:docPartBody>
    </w:docPart>
    <w:docPart>
      <w:docPartPr>
        <w:name w:val="80E5519F4B844C10999F48946AD74D6C"/>
        <w:category>
          <w:name w:val="General"/>
          <w:gallery w:val="placeholder"/>
        </w:category>
        <w:types>
          <w:type w:val="bbPlcHdr"/>
        </w:types>
        <w:behaviors>
          <w:behavior w:val="content"/>
        </w:behaviors>
        <w:guid w:val="{2B5A1ED2-4D3B-4F96-84E2-DF5AFB0A8AF8}"/>
      </w:docPartPr>
      <w:docPartBody>
        <w:p w:rsidR="0038621C" w:rsidRDefault="00C06DA9" w:rsidP="00C06DA9">
          <w:pPr>
            <w:pStyle w:val="80E5519F4B844C10999F48946AD74D6C"/>
          </w:pPr>
          <w:r w:rsidRPr="00D77589">
            <w:rPr>
              <w:rStyle w:val="PlaceholderText"/>
            </w:rPr>
            <w:t>Click or tap here to enter text.</w:t>
          </w:r>
        </w:p>
      </w:docPartBody>
    </w:docPart>
    <w:docPart>
      <w:docPartPr>
        <w:name w:val="4CABE0BAE8674CB39C762B84B75713D1"/>
        <w:category>
          <w:name w:val="General"/>
          <w:gallery w:val="placeholder"/>
        </w:category>
        <w:types>
          <w:type w:val="bbPlcHdr"/>
        </w:types>
        <w:behaviors>
          <w:behavior w:val="content"/>
        </w:behaviors>
        <w:guid w:val="{4E9E82FA-FDBC-4ACC-9A3B-74B86FFB1DBE}"/>
      </w:docPartPr>
      <w:docPartBody>
        <w:p w:rsidR="0038621C" w:rsidRDefault="00C06DA9" w:rsidP="00C06DA9">
          <w:pPr>
            <w:pStyle w:val="4CABE0BAE8674CB39C762B84B75713D1"/>
          </w:pPr>
          <w:r w:rsidRPr="00215D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F9"/>
    <w:rsid w:val="00075372"/>
    <w:rsid w:val="00076E44"/>
    <w:rsid w:val="000770A1"/>
    <w:rsid w:val="000D7CB0"/>
    <w:rsid w:val="001179F7"/>
    <w:rsid w:val="001706D5"/>
    <w:rsid w:val="001741ED"/>
    <w:rsid w:val="00350D11"/>
    <w:rsid w:val="003671A6"/>
    <w:rsid w:val="003704CA"/>
    <w:rsid w:val="0038621C"/>
    <w:rsid w:val="004C2C0D"/>
    <w:rsid w:val="004C51FD"/>
    <w:rsid w:val="00555ABB"/>
    <w:rsid w:val="0063668D"/>
    <w:rsid w:val="006A09A7"/>
    <w:rsid w:val="006D2CF9"/>
    <w:rsid w:val="008522FC"/>
    <w:rsid w:val="00922452"/>
    <w:rsid w:val="00A01B19"/>
    <w:rsid w:val="00B30F08"/>
    <w:rsid w:val="00C06DA9"/>
    <w:rsid w:val="00CD0BD1"/>
    <w:rsid w:val="00CE1CC8"/>
    <w:rsid w:val="00E6093D"/>
    <w:rsid w:val="00FF134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DA9"/>
    <w:rPr>
      <w:color w:val="666666"/>
    </w:rPr>
  </w:style>
  <w:style w:type="paragraph" w:customStyle="1" w:styleId="80E5519F4B844C10999F48946AD74D6C">
    <w:name w:val="80E5519F4B844C10999F48946AD74D6C"/>
    <w:rsid w:val="00C06DA9"/>
    <w:rPr>
      <w:lang w:eastAsia="en-NZ"/>
    </w:rPr>
  </w:style>
  <w:style w:type="paragraph" w:customStyle="1" w:styleId="4CABE0BAE8674CB39C762B84B75713D1">
    <w:name w:val="4CABE0BAE8674CB39C762B84B75713D1"/>
    <w:rsid w:val="00C06DA9"/>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75E0DF-18DE-4ABC-BD12-78508CC8599D}">
  <we:reference id="wa104382081" version="1.55.1.0" store="en-US" storeType="OMEX"/>
  <we:alternateReferences>
    <we:reference id="wa104382081" version="1.55.1.0" store="" storeType="OMEX"/>
  </we:alternateReferences>
  <we:properties>
    <we:property name="MENDELEY_CITATIONS" value="[{&quot;citationID&quot;:&quot;MENDELEY_CITATION_e935edf4-2d4c-4301-9b24-a6b2c2c6b6c2&quot;,&quot;properties&quot;:{&quot;noteIndex&quot;:0},&quot;isEdited&quot;:false,&quot;manualOverride&quot;:{&quot;isManuallyOverridden&quot;:false,&quot;citeprocText&quot;:&quot;(Carman et al. 2023)&quot;,&quot;manualOverrideText&quot;:&quot;&quot;},&quot;citationTag&quot;:&quot;MENDELEY_CITATION_v3_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&quot;,&quot;citationItems&quot;:[{&quot;id&quot;:&quot;e8faafc9-acf7-3ced-835c-f0aeb7583a5f&quot;,&quot;itemData&quot;:{&quot;type&quot;:&quot;article-journal&quot;,&quot;id&quot;:&quot;e8faafc9-acf7-3ced-835c-f0aeb7583a5f&quot;,&quot;title&quot;:&quot;Sex differences in linear bone measurements occur following puberty but do not influence femoral or tibial torsion&quot;,&quot;author&quot;:[{&quot;family&quot;:&quot;Carman&quot;,&quot;given&quot;:&quot;Laura&quot;,&quot;parse-names&quot;:false,&quot;dropping-particle&quot;:&quot;&quot;,&quot;non-dropping-particle&quot;:&quot;&quot;},{&quot;family&quot;:&quot;Besier&quot;,&quot;given&quot;:&quot;Thor&quot;,&quot;parse-names&quot;:false,&quot;dropping-particle&quot;:&quot;&quot;,&quot;non-dropping-particle&quot;:&quot;&quot;},{&quot;family&quot;:&quot;Stott&quot;,&quot;given&quot;:&quot;N. Susan&quot;,&quot;parse-names&quot;:false,&quot;dropping-particle&quot;:&quot;&quot;,&quot;non-dropping-particle&quot;:&quot;&quot;},{&quot;family&quot;:&quot;Choisne&quot;,&quot;given&quot;:&quot;Julie&quot;,&quot;parse-names&quot;:false,&quot;dropping-particle&quot;:&quot;&quot;,&quot;non-dropping-particle&quot;:&quot;&quot;}],&quot;container-title&quot;:&quot;Scientific Reports&quot;,&quot;container-title-short&quot;:&quot;Sci Rep&quot;,&quot;DOI&quot;:&quot;10.1038/s41598-023-38783-6&quot;,&quot;ISSN&quot;:&quot;2045-2322&quot;,&quot;issued&quot;:{&quot;date-parts&quot;:[[2023,7,20]]},&quot;page&quot;:&quot;11733&quot;,&quot;abstract&quot;:&quot;&lt;p&gt;Torsional, angular, and linear measurements in a paediatric population are clinically important but not well defined and understood. Different methods of measurement and discrepancies between assessors leads to a lack of understanding of what should be defined as typical or atypical for the growing skeleton. From a large dataset of 333 paediatric CT scans, we extracted three-dimensional torsional, angular, and linear measurements from the pelvis, femur, and tibia/fibula. Sex differences in linear measurements were observed in bones of children aged 13+ (around puberty), but femoral and tibial torsion were similar between males and females. The rotational profile (femoral anteversion minus tibial torsion) tended to increase with growth. Epicondylar, condylar, and malleolar widths were smaller in females than males for the same bone length after the age of 13 years, which could explain why females may be more at risk for sport injuries during adolescence. This rich dataset can be used as an atlas for researchers and clinicians to understand typical development of critical rotational profiles and linear bone measurements in children.&lt;/p&gt;&quot;,&quot;issue&quot;:&quot;1&quot;,&quot;volume&quot;:&quot;13&quot;},&quot;isTemporary&quot;:false}]},{&quot;citationID&quot;:&quot;MENDELEY_CITATION_4c943291-7e44-4997-8f84-724c4c998fa4&quot;,&quot;properties&quot;:{&quot;noteIndex&quot;:0},&quot;isEdited&quot;:false,&quot;manualOverride&quot;:{&quot;isManuallyOverridden&quot;:false,&quot;citeprocText&quot;:&quot;(Carman et al. 2023)&quot;,&quot;manualOverrideText&quot;:&quot;&quot;},&quot;citationTag&quot;:&quot;MENDELEY_CITATION_v3_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&quot;,&quot;citationItems&quot;:[{&quot;id&quot;:&quot;e8faafc9-acf7-3ced-835c-f0aeb7583a5f&quot;,&quot;itemData&quot;:{&quot;type&quot;:&quot;article-journal&quot;,&quot;id&quot;:&quot;e8faafc9-acf7-3ced-835c-f0aeb7583a5f&quot;,&quot;title&quot;:&quot;Sex differences in linear bone measurements occur following puberty but do not influence femoral or tibial torsion&quot;,&quot;author&quot;:[{&quot;family&quot;:&quot;Carman&quot;,&quot;given&quot;:&quot;Laura&quot;,&quot;parse-names&quot;:false,&quot;dropping-particle&quot;:&quot;&quot;,&quot;non-dropping-particle&quot;:&quot;&quot;},{&quot;family&quot;:&quot;Besier&quot;,&quot;given&quot;:&quot;Thor&quot;,&quot;parse-names&quot;:false,&quot;dropping-particle&quot;:&quot;&quot;,&quot;non-dropping-particle&quot;:&quot;&quot;},{&quot;family&quot;:&quot;Stott&quot;,&quot;given&quot;:&quot;N. Susan&quot;,&quot;parse-names&quot;:false,&quot;dropping-particle&quot;:&quot;&quot;,&quot;non-dropping-particle&quot;:&quot;&quot;},{&quot;family&quot;:&quot;Choisne&quot;,&quot;given&quot;:&quot;Julie&quot;,&quot;parse-names&quot;:false,&quot;dropping-particle&quot;:&quot;&quot;,&quot;non-dropping-particle&quot;:&quot;&quot;}],&quot;container-title&quot;:&quot;Scientific Reports&quot;,&quot;container-title-short&quot;:&quot;Sci Rep&quot;,&quot;DOI&quot;:&quot;10.1038/s41598-023-38783-6&quot;,&quot;ISSN&quot;:&quot;2045-2322&quot;,&quot;issued&quot;:{&quot;date-parts&quot;:[[2023,7,20]]},&quot;page&quot;:&quot;11733&quot;,&quot;abstract&quot;:&quot;&lt;p&gt;Torsional, angular, and linear measurements in a paediatric population are clinically important but not well defined and understood. Different methods of measurement and discrepancies between assessors leads to a lack of understanding of what should be defined as typical or atypical for the growing skeleton. From a large dataset of 333 paediatric CT scans, we extracted three-dimensional torsional, angular, and linear measurements from the pelvis, femur, and tibia/fibula. Sex differences in linear measurements were observed in bones of children aged 13+ (around puberty), but femoral and tibial torsion were similar between males and females. The rotational profile (femoral anteversion minus tibial torsion) tended to increase with growth. Epicondylar, condylar, and malleolar widths were smaller in females than males for the same bone length after the age of 13 years, which could explain why females may be more at risk for sport injuries during adolescence. This rich dataset can be used as an atlas for researchers and clinicians to understand typical development of critical rotational profiles and linear bone measurements in children.&lt;/p&gt;&quot;,&quot;issue&quot;:&quot;1&quot;,&quot;volume&quot;:&quot;13&quot;},&quot;isTemporary&quot;:false}]},{&quot;citationID&quot;:&quot;MENDELEY_CITATION_a3179d28-4975-4ace-bb61-0aa3aa0a0b47&quot;,&quot;properties&quot;:{&quot;noteIndex&quot;:0},&quot;isEdited&quot;:false,&quot;manualOverride&quot;:{&quot;isManuallyOverridden&quot;:false,&quot;citeprocText&quot;:&quot;(Chen 2020)&quot;,&quot;manualOverrideText&quot;:&quot;&quot;},&quot;citationTag&quot;:&quot;MENDELEY_CITATION_v3_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&quot;,&quot;citationItems&quot;:[{&quot;id&quot;:&quot;c4890092-7d37-37df-bf95-7f63c85f537f&quot;,&quot;itemData&quot;:{&quot;type&quot;:&quot;chapter&quot;,&quot;id&quot;:&quot;c4890092-7d37-37df-bf95-7f63c85f537f&quot;,&quot;title&quot;:&quot;Measuring Femoral and Tibial Torsion in Children with Cerebral Palsy&quot;,&quot;author&quot;:[{&quot;family&quot;:&quot;Chen&quot;,&quot;given&quot;:&quot;Brian Po Jung&quot;,&quot;parse-names&quot;:false,&quot;dropping-particle&quot;:&quot;&quot;,&quot;non-dropping-particle&quot;:&quot;&quot;}],&quot;container-title&quot;:&quot;Cerebral Palsy: Second Edition&quot;,&quot;DOI&quot;:&quot;10.1007/978-3-319-74558-9_203&quot;,&quot;ISBN&quot;:&quot;9783319745589&quot;,&quot;issued&quot;:{&quot;date-parts&quot;:[[2020,1,1]]},&quot;page&quot;:&quot;1381-1400&quot;,&quot;abstract&quot;:&quot;Lower limb torsional deformity is one of the most common musculoskeletal pathologies in children with cerebral palsy. Lower limb torsional deformity may cause many functional issues, such as problems of intoeing or out-toeing gait pattern and decreased energy efficiency during walking. Understanding more about how the rotational profile should be measured and the measurement accuracy enables more precise location of the deformity and should improve clinical treatment decision-making. In this chapter, we are going to discuss the measuring techniques for lower limb torsional deformities, specifically tibial torsion and femoral anteversion or torsion, which are described in the literature. Methods including physical examination, imaging study, and three-dimensional motion analysis are reviewed and discussed. Understanding the wide range of measurement options are important when assessing lower extremity torsional problem and planning treatment options for the musculoskeletal pathology in cerebral palsy.&quot;,&quot;publisher&quot;:&quot;Springer International Publishing&quot;,&quot;container-title-short&quot;:&quot;&quot;},&quot;isTemporary&quot;:false}]},{&quot;citationID&quot;:&quot;MENDELEY_CITATION_5fda6cf9-6c09-49c8-a896-3913a41c197c&quot;,&quot;properties&quot;:{&quot;noteIndex&quot;:0},&quot;isEdited&quot;:false,&quot;manualOverride&quot;:{&quot;isManuallyOverridden&quot;:false,&quot;citeprocText&quot;:&quot;(Gosman et al. 2013)&quot;,&quot;manualOverrideText&quot;:&quot;&quot;},&quot;citationTag&quot;:&quot;MENDELEY_CITATION_v3_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&quot;,&quot;citationItems&quot;:[{&quot;id&quot;:&quot;5b7a5bf3-a91c-3bab-bb63-d3c0cef1e04e&quot;,&quot;itemData&quot;:{&quot;type&quot;:&quot;article-journal&quot;,&quot;id&quot;:&quot;5b7a5bf3-a91c-3bab-bb63-d3c0cef1e04e&quot;,&quot;title&quot;:&quot;Development of Cortical Bone Geometry in the Human Femoral and Tibial Diaphysis&quot;,&quot;author&quot;:[{&quot;family&quot;:&quot;Gosman&quot;,&quot;given&quot;:&quot;James H.&quot;,&quot;parse-names&quot;:false,&quot;dropping-particle&quot;:&quot;&quot;,&quot;non-dropping-particle&quot;:&quot;&quot;},{&quot;family&quot;:&quot;Hubbell&quot;,&quot;given&quot;:&quot;Zachariah R.&quot;,&quot;parse-names&quot;:false,&quot;dropping-particle&quot;:&quot;&quot;,&quot;non-dropping-particle&quot;:&quot;&quot;},{&quot;family&quot;:&quot;Shaw&quot;,&quot;given&quot;:&quot;Colin N.&quot;,&quot;parse-names&quot;:false,&quot;dropping-particle&quot;:&quot;&quot;,&quot;non-dropping-particle&quot;:&quot;&quot;},{&quot;family&quot;:&quot;Ryan&quot;,&quot;given&quot;:&quot;Timothy M.&quot;,&quot;parse-names&quot;:false,&quot;dropping-particle&quot;:&quot;&quot;,&quot;non-dropping-particle&quot;:&quot;&quot;}],&quot;container-title&quot;:&quot;Anatomical Record&quot;,&quot;DOI&quot;:&quot;10.1002/ar.22688&quot;,&quot;ISSN&quot;:&quot;19328486&quot;,&quot;PMID&quot;:&quot;23533061&quot;,&quot;issued&quot;:{&quot;date-parts&quot;:[[2013,5]]},&quot;page&quot;:&quot;774-787&quot;,&quot;abstract&quot;:&quot;Ontogenetic growth processes in human long bones are key elements, determining the variability of adult bone structure. This study seeks to identify and describe the interaction between ontogenetic growth periods and changes in femoral and tibial diaphyseal shape. Femora and tibiae (n=46) ranging developmentally from neonate to skeletally mature were obtained from the Norris Farms No. 36 archeological skeletal series. High-resolution X-ray computed tomography scans were collected. Whole-diaphysis cortical bone drift patterns and relative bone envelope modeling activity across ages were assessed in five cross-sections per bone (total bone length: 20%, 35%, 50%, 65%, and 80%) by measuring the distance from the section centroid to the endosteal and periosteal margins in eight sectors using ImageJ. Pearson correlations were performed to document and interpret the relationship between the cross-sectional shape (Imax/Imin), total subperiosteal area, cortical area, and medullary cavity area for each slice location and age for both the femur and the tibia. Differences in cross-sectional shape between age groups at each cross-sectional position were assessed using nonparametric Mann-Whitney U tests. The data reveal that the femoral and tibial midshaft shape are relatively conserved throughout growth; yet, conversely, the proximal and distal femoral diaphysis and proximal tibial diaphysis appear more sensitive to developmentally induced changes in mechanical loading. Two time periods of accelerated change are identified: early childhood and prepuberty/adolescence. © 2013 Wiley Periodicals, Inc.&quot;,&quot;issue&quot;:&quot;5&quot;,&quot;volume&quot;:&quot;296&quot;,&quot;container-title-short&quot;:&quot;&quot;},&quot;isTemporary&quot;:false}]}]"/>
    <we:property name="MENDELEY_CITATIONS_LOCALE_CODE" value="&quot;en-US&quot;"/>
    <we:property name="MENDELEY_CITATIONS_STYLE" value="{&quot;id&quot;:&quot;https://www.zotero.org/styles/biomechanics-and-modeling-in-mechanobiology&quot;,&quot;title&quot;:&quot;Biomechanics and Modeling in Mechanobi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BDAB-C7B3-42DC-9E44-3E93BBAB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10218</TotalTime>
  <Pages>7</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Yidan Xu</dc:creator>
  <cp:keywords/>
  <dc:description/>
  <cp:lastModifiedBy>Yidan Xu</cp:lastModifiedBy>
  <cp:revision>259</cp:revision>
  <dcterms:created xsi:type="dcterms:W3CDTF">2024-09-08T20:06:00Z</dcterms:created>
  <dcterms:modified xsi:type="dcterms:W3CDTF">2025-04-12T01:48:00Z</dcterms:modified>
</cp:coreProperties>
</file>