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77BAC" w14:textId="77777777" w:rsidR="00770D01" w:rsidRPr="00CE5FAD" w:rsidRDefault="00770D01" w:rsidP="00770D01">
      <w:pPr>
        <w:spacing w:before="240" w:after="240"/>
        <w:rPr>
          <w:b/>
          <w:bCs/>
        </w:rPr>
      </w:pPr>
      <w:r w:rsidRPr="00CE5FAD">
        <w:rPr>
          <w:b/>
          <w:bCs/>
        </w:rPr>
        <w:t>Supplementary Figures</w:t>
      </w:r>
    </w:p>
    <w:p w14:paraId="74E066FF" w14:textId="77777777" w:rsidR="00770D01" w:rsidRPr="00CE5FAD" w:rsidRDefault="00770D01" w:rsidP="00770D01">
      <w:pPr>
        <w:jc w:val="center"/>
        <w:rPr>
          <w:color w:val="000000"/>
          <w:highlight w:val="yellow"/>
        </w:rPr>
      </w:pPr>
      <w:r w:rsidRPr="00CE5FAD">
        <w:rPr>
          <w:rFonts w:ascii="Arial" w:hAnsi="Arial" w:cs="Arial"/>
          <w:noProof/>
          <w:color w:val="333333"/>
          <w:bdr w:val="none" w:sz="0" w:space="0" w:color="auto" w:frame="1"/>
          <w:shd w:val="clear" w:color="auto" w:fill="F5F5F5"/>
          <w14:ligatures w14:val="standardContextual"/>
        </w:rPr>
        <w:drawing>
          <wp:inline distT="0" distB="0" distL="0" distR="0" wp14:anchorId="475C0928" wp14:editId="30D816DA">
            <wp:extent cx="5943600" cy="3991610"/>
            <wp:effectExtent l="0" t="0" r="0" b="8890"/>
            <wp:docPr id="1833744649" name="Picture 1" descr="A graph of a graph showing the rate of primary and secondary syphili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3744649" name="Picture 1" descr="A graph of a graph showing the rate of primary and secondary syphilis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983"/>
                    <a:stretch/>
                  </pic:blipFill>
                  <pic:spPr bwMode="auto">
                    <a:xfrm>
                      <a:off x="0" y="0"/>
                      <a:ext cx="5943600" cy="39916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DC4C08" w14:textId="77777777" w:rsidR="00770D01" w:rsidRPr="00CE5FAD" w:rsidRDefault="00770D01" w:rsidP="00770D01">
      <w:pPr>
        <w:jc w:val="center"/>
        <w:rPr>
          <w:color w:val="000000"/>
        </w:rPr>
      </w:pPr>
    </w:p>
    <w:p w14:paraId="215DB170" w14:textId="77777777" w:rsidR="00770D01" w:rsidRPr="00CE5FAD" w:rsidRDefault="00770D01" w:rsidP="00770D01">
      <w:pPr>
        <w:rPr>
          <w:b/>
          <w:bCs/>
          <w:color w:val="000000"/>
        </w:rPr>
      </w:pPr>
      <w:r w:rsidRPr="00CE5FAD">
        <w:rPr>
          <w:b/>
          <w:bCs/>
          <w:color w:val="000000"/>
        </w:rPr>
        <w:t>Supplementary Figure 1. Trends in Primary and Secondary Syphilis Rates, United States, 2018–2022.</w:t>
      </w:r>
    </w:p>
    <w:p w14:paraId="226CEA0F" w14:textId="77777777" w:rsidR="00770D01" w:rsidRPr="00CE5FAD" w:rsidRDefault="00770D01" w:rsidP="00770D01">
      <w:pPr>
        <w:rPr>
          <w:color w:val="000000"/>
        </w:rPr>
      </w:pPr>
      <w:r w:rsidRPr="00CE5FAD">
        <w:rPr>
          <w:color w:val="000000"/>
        </w:rPr>
        <w:t>Rates of primary and secondary syphilis per 100,000 population from 2018 to 2022, based on CDC surveillance data. The figure illustrates a substantial increase in syphilis rates over the five-year period.</w:t>
      </w:r>
    </w:p>
    <w:p w14:paraId="02057867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D01"/>
    <w:rsid w:val="002978F5"/>
    <w:rsid w:val="003852CF"/>
    <w:rsid w:val="004E780C"/>
    <w:rsid w:val="00770D01"/>
    <w:rsid w:val="00C85A8D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F239B"/>
  <w15:chartTrackingRefBased/>
  <w15:docId w15:val="{DA00B899-0300-4CFE-97AE-242E39438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0D01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0D0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0D0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0D0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0D0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0D0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0D0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0D0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0D0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0D0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0D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0D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0D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0D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0D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0D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0D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0D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0D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0D0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70D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0D0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70D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0D0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70D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0D0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70D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0D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0D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0D0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2025-05-05T23:03:00Z</dcterms:created>
  <dcterms:modified xsi:type="dcterms:W3CDTF">2025-05-05T23:03:00Z</dcterms:modified>
</cp:coreProperties>
</file>