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63F0" w14:textId="77777777" w:rsidR="00126514" w:rsidRPr="00126514" w:rsidRDefault="00126514" w:rsidP="00126514">
      <w:pPr>
        <w:spacing w:after="160" w:line="360" w:lineRule="auto"/>
        <w:jc w:val="center"/>
        <w:rPr>
          <w:rFonts w:eastAsiaTheme="minorEastAsia"/>
          <w:b/>
          <w:bCs/>
          <w:kern w:val="2"/>
          <w:sz w:val="36"/>
          <w:szCs w:val="36"/>
          <w14:ligatures w14:val="standardContextual"/>
        </w:rPr>
      </w:pPr>
      <w:r w:rsidRPr="00126514">
        <w:rPr>
          <w:rFonts w:eastAsiaTheme="minorEastAsia"/>
          <w:b/>
          <w:bCs/>
          <w:kern w:val="2"/>
          <w:sz w:val="36"/>
          <w:szCs w:val="36"/>
          <w14:ligatures w14:val="standardContextual"/>
        </w:rPr>
        <w:t>Decoding Neurodegenerative Disease with High-Sensitivity Plasma Proteomics: Disease-Specific Biomarkers and Predictive Signatures</w:t>
      </w:r>
    </w:p>
    <w:p w14:paraId="3611AC01" w14:textId="3801FB4D" w:rsidR="00126514" w:rsidRPr="00126514" w:rsidRDefault="00126514" w:rsidP="00126514">
      <w:pPr>
        <w:spacing w:after="160" w:line="360" w:lineRule="auto"/>
        <w:jc w:val="center"/>
        <w:rPr>
          <w:rFonts w:eastAsiaTheme="minorEastAsia"/>
          <w:kern w:val="2"/>
          <w14:ligatures w14:val="standardContextual"/>
        </w:rPr>
      </w:pPr>
      <w:r w:rsidRPr="00126514">
        <w:rPr>
          <w:rFonts w:eastAsiaTheme="minorEastAsia"/>
          <w:kern w:val="2"/>
          <w14:ligatures w14:val="standardContextual"/>
        </w:rPr>
        <w:t>Katherine Gong</w:t>
      </w:r>
      <w:r w:rsidRPr="00126514">
        <w:rPr>
          <w:rFonts w:eastAsiaTheme="minorEastAsia"/>
          <w:kern w:val="2"/>
          <w:vertAlign w:val="superscript"/>
          <w14:ligatures w14:val="standardContextual"/>
        </w:rPr>
        <w:t>1,2</w:t>
      </w:r>
      <w:r w:rsidRPr="00126514">
        <w:rPr>
          <w:rFonts w:eastAsiaTheme="minorEastAsia"/>
          <w:kern w:val="2"/>
          <w14:ligatures w14:val="standardContextual"/>
        </w:rPr>
        <w:t>, Jigyasha Timsina</w:t>
      </w:r>
      <w:r w:rsidRPr="00126514">
        <w:rPr>
          <w:rFonts w:eastAsiaTheme="minorEastAsia"/>
          <w:kern w:val="2"/>
          <w:vertAlign w:val="superscript"/>
          <w14:ligatures w14:val="standardContextual"/>
        </w:rPr>
        <w:t>1,2</w:t>
      </w:r>
      <w:r w:rsidRPr="00126514">
        <w:rPr>
          <w:rFonts w:eastAsiaTheme="minorEastAsia"/>
          <w:kern w:val="2"/>
          <w14:ligatures w14:val="standardContextual"/>
        </w:rPr>
        <w:t>, Muhammad Ali</w:t>
      </w:r>
      <w:r w:rsidRPr="00126514">
        <w:rPr>
          <w:rFonts w:eastAsiaTheme="minorEastAsia"/>
          <w:kern w:val="2"/>
          <w:vertAlign w:val="superscript"/>
          <w14:ligatures w14:val="standardContextual"/>
        </w:rPr>
        <w:t>1,2</w:t>
      </w:r>
      <w:r w:rsidRPr="00126514">
        <w:rPr>
          <w:rFonts w:eastAsiaTheme="minorEastAsia"/>
          <w:kern w:val="2"/>
          <w14:ligatures w14:val="standardContextual"/>
        </w:rPr>
        <w:t>, Yike Chen</w:t>
      </w:r>
      <w:r w:rsidRPr="00126514">
        <w:rPr>
          <w:rFonts w:eastAsiaTheme="minorEastAsia"/>
          <w:kern w:val="2"/>
          <w:vertAlign w:val="superscript"/>
          <w14:ligatures w14:val="standardContextual"/>
        </w:rPr>
        <w:t>1,2</w:t>
      </w:r>
      <w:r w:rsidRPr="00126514">
        <w:rPr>
          <w:rFonts w:eastAsiaTheme="minorEastAsia"/>
          <w:kern w:val="2"/>
          <w14:ligatures w14:val="standardContextual"/>
        </w:rPr>
        <w:t>, Menghan Liu</w:t>
      </w:r>
      <w:r w:rsidRPr="00126514">
        <w:rPr>
          <w:rFonts w:eastAsiaTheme="minorEastAsia"/>
          <w:kern w:val="2"/>
          <w:vertAlign w:val="superscript"/>
          <w14:ligatures w14:val="standardContextual"/>
        </w:rPr>
        <w:t>1,2</w:t>
      </w:r>
      <w:r w:rsidRPr="00126514">
        <w:rPr>
          <w:rFonts w:eastAsiaTheme="minorEastAsia"/>
          <w:kern w:val="2"/>
          <w14:ligatures w14:val="standardContextual"/>
        </w:rPr>
        <w:t xml:space="preserve">, </w:t>
      </w:r>
      <w:r w:rsidR="00B63600" w:rsidRPr="00126514">
        <w:rPr>
          <w:rFonts w:eastAsiaTheme="minorEastAsia"/>
          <w:kern w:val="2"/>
          <w14:ligatures w14:val="standardContextual"/>
        </w:rPr>
        <w:t>Cyril Pottier</w:t>
      </w:r>
      <w:r w:rsidR="00B63600" w:rsidRPr="00126514">
        <w:rPr>
          <w:rFonts w:eastAsiaTheme="minorEastAsia"/>
          <w:kern w:val="2"/>
          <w:vertAlign w:val="superscript"/>
          <w14:ligatures w14:val="standardContextual"/>
        </w:rPr>
        <w:t>2,4</w:t>
      </w:r>
      <w:r w:rsidR="00B63600" w:rsidRPr="00126514">
        <w:rPr>
          <w:rFonts w:eastAsiaTheme="minorEastAsia"/>
          <w:kern w:val="2"/>
          <w14:ligatures w14:val="standardContextual"/>
        </w:rPr>
        <w:t>,</w:t>
      </w:r>
      <w:r w:rsidR="00B63600">
        <w:rPr>
          <w:rFonts w:eastAsiaTheme="minorEastAsia"/>
          <w:kern w:val="2"/>
          <w14:ligatures w14:val="standardContextual"/>
        </w:rPr>
        <w:t xml:space="preserve"> </w:t>
      </w:r>
      <w:r w:rsidRPr="00126514">
        <w:rPr>
          <w:rFonts w:eastAsiaTheme="minorEastAsia"/>
          <w:kern w:val="2"/>
          <w14:ligatures w14:val="standardContextual"/>
        </w:rPr>
        <w:t>Ciyang Wang</w:t>
      </w:r>
      <w:r w:rsidRPr="00126514">
        <w:rPr>
          <w:rFonts w:eastAsiaTheme="minorEastAsia"/>
          <w:kern w:val="2"/>
          <w:vertAlign w:val="superscript"/>
          <w14:ligatures w14:val="standardContextual"/>
        </w:rPr>
        <w:t>1,2,3</w:t>
      </w:r>
      <w:r w:rsidRPr="00126514">
        <w:rPr>
          <w:rFonts w:eastAsiaTheme="minorEastAsia"/>
          <w:kern w:val="2"/>
          <w14:ligatures w14:val="standardContextual"/>
        </w:rPr>
        <w:t>, Gyujin Heo</w:t>
      </w:r>
      <w:r w:rsidRPr="00126514">
        <w:rPr>
          <w:rFonts w:eastAsiaTheme="minorEastAsia"/>
          <w:kern w:val="2"/>
          <w:vertAlign w:val="superscript"/>
          <w14:ligatures w14:val="standardContextual"/>
        </w:rPr>
        <w:t>1,2</w:t>
      </w:r>
      <w:r w:rsidRPr="00126514">
        <w:rPr>
          <w:rFonts w:eastAsiaTheme="minorEastAsia"/>
          <w:kern w:val="2"/>
          <w14:ligatures w14:val="standardContextual"/>
        </w:rPr>
        <w:t>, Tammie L. S. Benzinger</w:t>
      </w:r>
      <w:r w:rsidRPr="00126514">
        <w:rPr>
          <w:rFonts w:eastAsia="Calibri"/>
          <w:kern w:val="2"/>
          <w:vertAlign w:val="superscript"/>
          <w14:ligatures w14:val="standardContextual"/>
        </w:rPr>
        <w:t>6,7,8</w:t>
      </w:r>
      <w:r w:rsidRPr="00126514">
        <w:rPr>
          <w:rFonts w:eastAsiaTheme="minorEastAsia"/>
          <w:kern w:val="2"/>
          <w14:ligatures w14:val="standardContextual"/>
        </w:rPr>
        <w:t>,</w:t>
      </w:r>
      <w:r w:rsidRPr="00126514">
        <w:rPr>
          <w:rFonts w:eastAsia="Calibri"/>
          <w:kern w:val="2"/>
          <w14:ligatures w14:val="standardContextual"/>
        </w:rPr>
        <w:t xml:space="preserve"> Cyrus A. Raji</w:t>
      </w:r>
      <w:r w:rsidRPr="00126514">
        <w:rPr>
          <w:rFonts w:eastAsia="Calibri"/>
          <w:kern w:val="2"/>
          <w:vertAlign w:val="superscript"/>
          <w14:ligatures w14:val="standardContextual"/>
        </w:rPr>
        <w:t>7,8</w:t>
      </w:r>
      <w:r w:rsidRPr="00126514">
        <w:rPr>
          <w:rFonts w:eastAsia="Calibri"/>
          <w:kern w:val="2"/>
          <w14:ligatures w14:val="standardContextual"/>
        </w:rPr>
        <w:t>, Beau Ances</w:t>
      </w:r>
      <w:r w:rsidRPr="00126514">
        <w:rPr>
          <w:rFonts w:eastAsia="Calibri"/>
          <w:kern w:val="2"/>
          <w:vertAlign w:val="superscript"/>
          <w14:ligatures w14:val="standardContextual"/>
        </w:rPr>
        <w:t>6,7</w:t>
      </w:r>
      <w:r w:rsidRPr="00126514">
        <w:rPr>
          <w:rFonts w:eastAsia="Calibri"/>
          <w:kern w:val="2"/>
          <w14:ligatures w14:val="standardContextual"/>
        </w:rPr>
        <w:t>, Brian A. Gordon</w:t>
      </w:r>
      <w:r w:rsidRPr="00126514">
        <w:rPr>
          <w:rFonts w:eastAsia="Calibri"/>
          <w:kern w:val="2"/>
          <w:vertAlign w:val="superscript"/>
          <w14:ligatures w14:val="standardContextual"/>
        </w:rPr>
        <w:t>6,7</w:t>
      </w:r>
      <w:r w:rsidRPr="00126514">
        <w:rPr>
          <w:rFonts w:eastAsia="Calibri"/>
          <w:kern w:val="2"/>
          <w14:ligatures w14:val="standardContextual"/>
        </w:rPr>
        <w:t>, Julie K. Wisch</w:t>
      </w:r>
      <w:r w:rsidRPr="00126514">
        <w:rPr>
          <w:rFonts w:eastAsia="Calibri"/>
          <w:kern w:val="2"/>
          <w:vertAlign w:val="superscript"/>
          <w14:ligatures w14:val="standardContextual"/>
        </w:rPr>
        <w:t>6</w:t>
      </w:r>
      <w:r w:rsidRPr="00126514">
        <w:rPr>
          <w:rFonts w:eastAsiaTheme="minorEastAsia" w:cstheme="minorBidi"/>
          <w:kern w:val="2"/>
          <w14:ligatures w14:val="standardContextual"/>
        </w:rPr>
        <w:t>,</w:t>
      </w:r>
      <w:r w:rsidRPr="00126514">
        <w:rPr>
          <w:rFonts w:eastAsia="Calibri"/>
          <w:kern w:val="2"/>
          <w14:ligatures w14:val="standardContextual"/>
        </w:rPr>
        <w:t xml:space="preserve"> Suzanne E. Schindler</w:t>
      </w:r>
      <w:r w:rsidRPr="00126514">
        <w:rPr>
          <w:rFonts w:eastAsia="Calibri"/>
          <w:kern w:val="2"/>
          <w:vertAlign w:val="superscript"/>
          <w14:ligatures w14:val="standardContextual"/>
        </w:rPr>
        <w:t>4,6,7</w:t>
      </w:r>
      <w:r w:rsidRPr="00126514">
        <w:rPr>
          <w:rFonts w:eastAsia="Calibri"/>
          <w:kern w:val="2"/>
          <w14:ligatures w14:val="standardContextual"/>
        </w:rPr>
        <w:t>, John C. Morris</w:t>
      </w:r>
      <w:r w:rsidRPr="00126514">
        <w:rPr>
          <w:rFonts w:eastAsia="Calibri"/>
          <w:kern w:val="2"/>
          <w:vertAlign w:val="superscript"/>
          <w14:ligatures w14:val="standardContextual"/>
        </w:rPr>
        <w:t>4,7</w:t>
      </w:r>
      <w:r w:rsidRPr="00126514">
        <w:rPr>
          <w:rFonts w:eastAsiaTheme="minorEastAsia"/>
          <w:kern w:val="2"/>
          <w14:ligatures w14:val="standardContextual"/>
        </w:rPr>
        <w:t>,</w:t>
      </w:r>
      <w:bookmarkStart w:id="0" w:name="OLE_LINK49"/>
      <w:r w:rsidRPr="00126514">
        <w:rPr>
          <w:rFonts w:eastAsiaTheme="minorEastAsia"/>
          <w:kern w:val="2"/>
          <w14:ligatures w14:val="standardContextual"/>
        </w:rPr>
        <w:t xml:space="preserve"> David M. Holtzman</w:t>
      </w:r>
      <w:bookmarkEnd w:id="0"/>
      <w:r w:rsidRPr="00126514">
        <w:rPr>
          <w:rFonts w:eastAsia="Calibri"/>
          <w:kern w:val="2"/>
          <w:vertAlign w:val="superscript"/>
          <w14:ligatures w14:val="standardContextual"/>
        </w:rPr>
        <w:t>4,6,7</w:t>
      </w:r>
      <w:r w:rsidRPr="00126514">
        <w:rPr>
          <w:rFonts w:eastAsiaTheme="minorEastAsia"/>
          <w:kern w:val="2"/>
          <w14:ligatures w14:val="standardContextual"/>
        </w:rPr>
        <w:t>, Laura Ibanez</w:t>
      </w:r>
      <w:r w:rsidRPr="00126514">
        <w:rPr>
          <w:rFonts w:eastAsiaTheme="minorEastAsia"/>
          <w:kern w:val="2"/>
          <w:vertAlign w:val="superscript"/>
          <w14:ligatures w14:val="standardContextual"/>
        </w:rPr>
        <w:t>*1,2,4</w:t>
      </w:r>
      <w:r w:rsidRPr="00126514">
        <w:rPr>
          <w:rFonts w:eastAsiaTheme="minorEastAsia"/>
          <w:kern w:val="2"/>
          <w14:ligatures w14:val="standardContextual"/>
        </w:rPr>
        <w:t>, Carlos Cruchaga</w:t>
      </w:r>
      <w:r w:rsidRPr="00126514">
        <w:rPr>
          <w:rFonts w:eastAsiaTheme="minorEastAsia"/>
          <w:kern w:val="2"/>
          <w:vertAlign w:val="superscript"/>
          <w14:ligatures w14:val="standardContextual"/>
        </w:rPr>
        <w:t>1,2,4,5,6,7,*,#</w:t>
      </w:r>
    </w:p>
    <w:p w14:paraId="5F007695" w14:textId="77777777" w:rsidR="00126514" w:rsidRPr="00126514" w:rsidRDefault="00126514" w:rsidP="00126514">
      <w:pPr>
        <w:spacing w:line="360" w:lineRule="auto"/>
        <w:rPr>
          <w:rFonts w:eastAsiaTheme="minorEastAsia"/>
          <w:b/>
          <w:bCs/>
          <w:kern w:val="2"/>
          <w14:ligatures w14:val="standardContextual"/>
        </w:rPr>
      </w:pPr>
      <w:r w:rsidRPr="00126514">
        <w:rPr>
          <w:rFonts w:eastAsiaTheme="minorEastAsia"/>
          <w:b/>
          <w:bCs/>
          <w:kern w:val="2"/>
          <w14:ligatures w14:val="standardContextual"/>
        </w:rPr>
        <w:t>Author Affiliations:</w:t>
      </w:r>
      <w:r w:rsidRPr="00126514" w:rsidDel="001755ED">
        <w:rPr>
          <w:rFonts w:eastAsiaTheme="minorEastAsia"/>
          <w:b/>
          <w:bCs/>
          <w:kern w:val="2"/>
          <w14:ligatures w14:val="standardContextual"/>
        </w:rPr>
        <w:t xml:space="preserve"> </w:t>
      </w:r>
    </w:p>
    <w:p w14:paraId="2FD21243" w14:textId="77777777" w:rsidR="00126514" w:rsidRPr="00126514" w:rsidRDefault="00126514" w:rsidP="00126514">
      <w:pPr>
        <w:rPr>
          <w:rFonts w:eastAsiaTheme="minorEastAsia"/>
          <w:kern w:val="2"/>
          <w14:ligatures w14:val="standardContextual"/>
        </w:rPr>
      </w:pPr>
      <w:r w:rsidRPr="00126514">
        <w:rPr>
          <w:rFonts w:eastAsiaTheme="minorEastAsia"/>
          <w:kern w:val="2"/>
          <w:vertAlign w:val="superscript"/>
          <w14:ligatures w14:val="standardContextual"/>
        </w:rPr>
        <w:t>1</w:t>
      </w:r>
      <w:r w:rsidRPr="00126514">
        <w:rPr>
          <w:rFonts w:eastAsiaTheme="minorEastAsia"/>
          <w:kern w:val="2"/>
          <w14:ligatures w14:val="standardContextual"/>
        </w:rPr>
        <w:t>Department of Psychiatry, Washington University School of Medicine, St. Louis, MO 63110</w:t>
      </w:r>
    </w:p>
    <w:p w14:paraId="29136FE7" w14:textId="77777777" w:rsidR="00126514" w:rsidRPr="00126514" w:rsidRDefault="00126514" w:rsidP="00126514">
      <w:pPr>
        <w:rPr>
          <w:rFonts w:eastAsiaTheme="minorEastAsia"/>
          <w:kern w:val="2"/>
          <w14:ligatures w14:val="standardContextual"/>
        </w:rPr>
      </w:pPr>
      <w:r w:rsidRPr="00126514">
        <w:rPr>
          <w:rFonts w:eastAsiaTheme="minorEastAsia"/>
          <w:kern w:val="2"/>
          <w:vertAlign w:val="superscript"/>
          <w14:ligatures w14:val="standardContextual"/>
        </w:rPr>
        <w:t>2</w:t>
      </w:r>
      <w:r w:rsidRPr="00126514">
        <w:rPr>
          <w:rFonts w:eastAsiaTheme="minorEastAsia"/>
          <w:kern w:val="2"/>
          <w14:ligatures w14:val="standardContextual"/>
        </w:rPr>
        <w:t>NeuroGenomics and Informatics Center, Washington University School of Medicine, St. Louis, MO 63110</w:t>
      </w:r>
    </w:p>
    <w:p w14:paraId="69B8C968" w14:textId="77777777" w:rsidR="00126514" w:rsidRPr="00126514" w:rsidRDefault="00126514" w:rsidP="00126514">
      <w:pPr>
        <w:rPr>
          <w:rFonts w:eastAsiaTheme="minorEastAsia"/>
          <w:kern w:val="2"/>
          <w14:ligatures w14:val="standardContextual"/>
        </w:rPr>
      </w:pPr>
      <w:r w:rsidRPr="00126514">
        <w:rPr>
          <w:rFonts w:eastAsiaTheme="minorEastAsia"/>
          <w:kern w:val="2"/>
          <w:vertAlign w:val="superscript"/>
          <w14:ligatures w14:val="standardContextual"/>
        </w:rPr>
        <w:t>3</w:t>
      </w:r>
      <w:r w:rsidRPr="00126514">
        <w:rPr>
          <w:rFonts w:eastAsiaTheme="minorEastAsia"/>
          <w:kern w:val="2"/>
          <w14:ligatures w14:val="standardContextual"/>
        </w:rPr>
        <w:t>Division of Biology and Biomedical Sciences, Washington University School of Medicine, St. Louis, MO, USA</w:t>
      </w:r>
    </w:p>
    <w:p w14:paraId="71138879" w14:textId="77777777" w:rsidR="00126514" w:rsidRPr="00126514" w:rsidRDefault="00126514" w:rsidP="00126514">
      <w:pPr>
        <w:rPr>
          <w:rFonts w:eastAsiaTheme="minorEastAsia"/>
          <w:kern w:val="2"/>
          <w14:ligatures w14:val="standardContextual"/>
        </w:rPr>
      </w:pPr>
      <w:r w:rsidRPr="00126514">
        <w:rPr>
          <w:rFonts w:eastAsiaTheme="minorEastAsia"/>
          <w:kern w:val="2"/>
          <w:vertAlign w:val="superscript"/>
          <w14:ligatures w14:val="standardContextual"/>
        </w:rPr>
        <w:t>4</w:t>
      </w:r>
      <w:r w:rsidRPr="00126514">
        <w:rPr>
          <w:rFonts w:eastAsiaTheme="minorEastAsia"/>
          <w:kern w:val="2"/>
          <w14:ligatures w14:val="standardContextual"/>
        </w:rPr>
        <w:t>Department of Neurology, Washington University School of Medicine, St. Louis, MO 63110</w:t>
      </w:r>
    </w:p>
    <w:p w14:paraId="1567872A" w14:textId="77777777" w:rsidR="00126514" w:rsidRPr="00126514" w:rsidRDefault="00126514" w:rsidP="00126514">
      <w:pPr>
        <w:rPr>
          <w:rFonts w:eastAsiaTheme="minorEastAsia"/>
          <w:kern w:val="2"/>
          <w14:ligatures w14:val="standardContextual"/>
        </w:rPr>
      </w:pPr>
      <w:r w:rsidRPr="00126514">
        <w:rPr>
          <w:rFonts w:eastAsiaTheme="minorEastAsia"/>
          <w:kern w:val="2"/>
          <w:vertAlign w:val="superscript"/>
          <w14:ligatures w14:val="standardContextual"/>
        </w:rPr>
        <w:t>5</w:t>
      </w:r>
      <w:r w:rsidRPr="00126514">
        <w:rPr>
          <w:rFonts w:eastAsiaTheme="minorEastAsia"/>
          <w:kern w:val="2"/>
          <w14:ligatures w14:val="standardContextual"/>
        </w:rPr>
        <w:t>Department of Genetics, Washington University School of Medicine, St. Louis, 63110, MO, USA</w:t>
      </w:r>
    </w:p>
    <w:p w14:paraId="3FB91DD1" w14:textId="77777777" w:rsidR="00126514" w:rsidRPr="00126514" w:rsidRDefault="00126514" w:rsidP="00126514">
      <w:pPr>
        <w:rPr>
          <w:rFonts w:eastAsiaTheme="minorEastAsia"/>
          <w:kern w:val="2"/>
          <w14:ligatures w14:val="standardContextual"/>
        </w:rPr>
      </w:pPr>
      <w:r w:rsidRPr="00126514">
        <w:rPr>
          <w:rFonts w:eastAsiaTheme="minorEastAsia"/>
          <w:kern w:val="2"/>
          <w:vertAlign w:val="superscript"/>
          <w14:ligatures w14:val="standardContextual"/>
        </w:rPr>
        <w:t>6</w:t>
      </w:r>
      <w:r w:rsidRPr="00126514">
        <w:rPr>
          <w:rFonts w:eastAsiaTheme="minorEastAsia"/>
          <w:kern w:val="2"/>
          <w14:ligatures w14:val="standardContextual"/>
        </w:rPr>
        <w:t>Hope Center for Neurologic Diseases, Washington University, St. Louis, 63110, MO, USA</w:t>
      </w:r>
    </w:p>
    <w:p w14:paraId="3BB9A04F" w14:textId="77777777" w:rsidR="00126514" w:rsidRPr="00126514" w:rsidRDefault="00126514" w:rsidP="00126514">
      <w:pPr>
        <w:rPr>
          <w:rFonts w:eastAsiaTheme="minorEastAsia"/>
          <w:kern w:val="2"/>
          <w14:ligatures w14:val="standardContextual"/>
        </w:rPr>
      </w:pPr>
      <w:r w:rsidRPr="00126514">
        <w:rPr>
          <w:rFonts w:eastAsiaTheme="minorEastAsia"/>
          <w:kern w:val="2"/>
          <w:vertAlign w:val="superscript"/>
          <w14:ligatures w14:val="standardContextual"/>
        </w:rPr>
        <w:t>7</w:t>
      </w:r>
      <w:r w:rsidRPr="00126514">
        <w:rPr>
          <w:rFonts w:eastAsiaTheme="minorEastAsia"/>
          <w:kern w:val="2"/>
          <w14:ligatures w14:val="standardContextual"/>
        </w:rPr>
        <w:t>Knight Alzheimer Disease Research Center, Washington University School of Medicine, St. Louis, MO 63110</w:t>
      </w:r>
    </w:p>
    <w:p w14:paraId="5B47D82E" w14:textId="77777777" w:rsidR="00126514" w:rsidRPr="00126514" w:rsidRDefault="00126514" w:rsidP="00126514">
      <w:pPr>
        <w:rPr>
          <w:rFonts w:eastAsiaTheme="minorEastAsia"/>
          <w:kern w:val="2"/>
          <w:vertAlign w:val="superscript"/>
          <w14:ligatures w14:val="standardContextual"/>
        </w:rPr>
      </w:pPr>
      <w:r w:rsidRPr="00126514">
        <w:rPr>
          <w:rFonts w:eastAsiaTheme="minorEastAsia"/>
          <w:kern w:val="2"/>
          <w:vertAlign w:val="superscript"/>
          <w14:ligatures w14:val="standardContextual"/>
        </w:rPr>
        <w:t>8</w:t>
      </w:r>
      <w:r w:rsidRPr="00126514">
        <w:rPr>
          <w:rFonts w:eastAsiaTheme="minorEastAsia"/>
          <w:kern w:val="2"/>
          <w14:ligatures w14:val="standardContextual"/>
        </w:rPr>
        <w:t>Department of Radiology, Washington University School of Medicine, St. Louis, MO 63110</w:t>
      </w:r>
    </w:p>
    <w:p w14:paraId="6E3D429C" w14:textId="77777777" w:rsidR="00126514" w:rsidRPr="00126514" w:rsidRDefault="00126514" w:rsidP="00126514">
      <w:pPr>
        <w:spacing w:line="360" w:lineRule="auto"/>
        <w:rPr>
          <w:rFonts w:eastAsiaTheme="minorEastAsia"/>
          <w:kern w:val="2"/>
          <w:vertAlign w:val="superscript"/>
          <w14:ligatures w14:val="standardContextual"/>
        </w:rPr>
      </w:pPr>
    </w:p>
    <w:p w14:paraId="3F315C13" w14:textId="77777777" w:rsidR="00126514" w:rsidRPr="00126514" w:rsidRDefault="00126514" w:rsidP="00126514">
      <w:pPr>
        <w:spacing w:line="360" w:lineRule="auto"/>
        <w:jc w:val="both"/>
        <w:rPr>
          <w:b/>
          <w:bCs/>
          <w:kern w:val="2"/>
          <w14:ligatures w14:val="standardContextual"/>
        </w:rPr>
      </w:pPr>
      <w:r w:rsidRPr="00126514">
        <w:rPr>
          <w:b/>
          <w:bCs/>
          <w:kern w:val="2"/>
          <w:vertAlign w:val="superscript"/>
          <w14:ligatures w14:val="standardContextual"/>
        </w:rPr>
        <w:t>*</w:t>
      </w:r>
      <w:r w:rsidRPr="00126514">
        <w:rPr>
          <w:kern w:val="2"/>
          <w14:ligatures w14:val="standardContextual"/>
        </w:rPr>
        <w:t>Co-last authors</w:t>
      </w:r>
    </w:p>
    <w:p w14:paraId="63A6130D" w14:textId="77777777" w:rsidR="00126514" w:rsidRPr="00126514" w:rsidRDefault="00126514" w:rsidP="00126514">
      <w:pPr>
        <w:spacing w:line="360" w:lineRule="auto"/>
        <w:jc w:val="both"/>
        <w:rPr>
          <w:rFonts w:eastAsiaTheme="majorEastAsia"/>
          <w:color w:val="000000" w:themeColor="text1"/>
          <w:kern w:val="2"/>
          <w14:ligatures w14:val="standardContextual"/>
        </w:rPr>
      </w:pPr>
      <w:r w:rsidRPr="00126514">
        <w:rPr>
          <w:b/>
          <w:bCs/>
          <w:kern w:val="2"/>
          <w:vertAlign w:val="superscript"/>
          <w14:ligatures w14:val="standardContextual"/>
        </w:rPr>
        <w:t>#</w:t>
      </w:r>
      <w:r w:rsidRPr="00126514">
        <w:rPr>
          <w:b/>
          <w:bCs/>
          <w:kern w:val="2"/>
          <w14:ligatures w14:val="standardContextual"/>
        </w:rPr>
        <w:t>Correspondence to</w:t>
      </w:r>
      <w:r w:rsidRPr="00126514">
        <w:rPr>
          <w:kern w:val="2"/>
          <w14:ligatures w14:val="standardContextual"/>
        </w:rPr>
        <w:t xml:space="preserve">: </w:t>
      </w:r>
      <w:r w:rsidRPr="00126514">
        <w:rPr>
          <w:rFonts w:eastAsiaTheme="majorEastAsia"/>
          <w:color w:val="000000" w:themeColor="text1"/>
          <w:kern w:val="2"/>
          <w14:ligatures w14:val="standardContextual"/>
        </w:rPr>
        <w:t>Carlos Cruchaga, PhD</w:t>
      </w:r>
    </w:p>
    <w:p w14:paraId="7535C4DE" w14:textId="77777777" w:rsidR="00126514" w:rsidRPr="00126514" w:rsidRDefault="00126514" w:rsidP="00126514">
      <w:pPr>
        <w:spacing w:line="360" w:lineRule="auto"/>
        <w:jc w:val="both"/>
        <w:rPr>
          <w:rFonts w:eastAsiaTheme="majorEastAsia"/>
          <w:color w:val="000000" w:themeColor="text1"/>
          <w:kern w:val="2"/>
          <w14:ligatures w14:val="standardContextual"/>
        </w:rPr>
      </w:pPr>
      <w:r w:rsidRPr="00126514">
        <w:rPr>
          <w:rFonts w:eastAsiaTheme="majorEastAsia"/>
          <w:color w:val="000000" w:themeColor="text1"/>
          <w:kern w:val="2"/>
          <w14:ligatures w14:val="standardContextual"/>
        </w:rPr>
        <w:t>4444 Forest Park Ave, St. Louis, MO 63110, USA</w:t>
      </w:r>
    </w:p>
    <w:p w14:paraId="2ACE6F1D" w14:textId="77777777" w:rsidR="00126514" w:rsidRPr="00126514" w:rsidRDefault="00126514" w:rsidP="00126514">
      <w:pPr>
        <w:spacing w:line="360" w:lineRule="auto"/>
        <w:jc w:val="both"/>
        <w:rPr>
          <w:rFonts w:eastAsiaTheme="majorEastAsia"/>
          <w:color w:val="000000" w:themeColor="text1"/>
          <w:kern w:val="2"/>
          <w14:ligatures w14:val="standardContextual"/>
        </w:rPr>
      </w:pPr>
      <w:r w:rsidRPr="00126514">
        <w:rPr>
          <w:rFonts w:eastAsiaTheme="majorEastAsia"/>
          <w:color w:val="000000" w:themeColor="text1"/>
          <w:kern w:val="2"/>
          <w14:ligatures w14:val="standardContextual"/>
        </w:rPr>
        <w:t>Washington University School of Medicine</w:t>
      </w:r>
    </w:p>
    <w:p w14:paraId="4C8965C1" w14:textId="77777777" w:rsidR="00126514" w:rsidRPr="00126514" w:rsidRDefault="00126514" w:rsidP="00126514">
      <w:pPr>
        <w:spacing w:line="360" w:lineRule="auto"/>
        <w:jc w:val="both"/>
        <w:rPr>
          <w:kern w:val="2"/>
          <w14:ligatures w14:val="standardContextual"/>
        </w:rPr>
      </w:pPr>
      <w:r w:rsidRPr="00126514">
        <w:rPr>
          <w:rFonts w:eastAsiaTheme="majorEastAsia"/>
          <w:color w:val="000000" w:themeColor="text1"/>
          <w:kern w:val="2"/>
          <w14:ligatures w14:val="standardContextual"/>
        </w:rPr>
        <w:t xml:space="preserve">E-mail: </w:t>
      </w:r>
      <w:hyperlink r:id="rId5" w:history="1">
        <w:r w:rsidRPr="00126514">
          <w:rPr>
            <w:rFonts w:eastAsiaTheme="majorEastAsia"/>
            <w:color w:val="467886" w:themeColor="hyperlink"/>
            <w:kern w:val="2"/>
            <w:u w:val="single"/>
            <w14:ligatures w14:val="standardContextual"/>
          </w:rPr>
          <w:t>cruchagac@wustl.edu</w:t>
        </w:r>
      </w:hyperlink>
    </w:p>
    <w:p w14:paraId="4E117C1F" w14:textId="77777777" w:rsidR="00126514" w:rsidRPr="00126514" w:rsidRDefault="00126514" w:rsidP="00126514">
      <w:pPr>
        <w:spacing w:line="360" w:lineRule="auto"/>
        <w:jc w:val="both"/>
        <w:rPr>
          <w:kern w:val="2"/>
          <w14:ligatures w14:val="standardContextual"/>
        </w:rPr>
      </w:pPr>
    </w:p>
    <w:p w14:paraId="0FD39764" w14:textId="77777777" w:rsidR="00126514" w:rsidRPr="00126514" w:rsidRDefault="00126514" w:rsidP="00126514">
      <w:pPr>
        <w:spacing w:after="160"/>
        <w:jc w:val="both"/>
        <w:rPr>
          <w:rFonts w:eastAsia="Calibri"/>
          <w:szCs w:val="22"/>
          <w:lang w:val="en-CA" w:eastAsia="en-US"/>
        </w:rPr>
      </w:pPr>
      <w:r w:rsidRPr="00126514">
        <w:rPr>
          <w:rFonts w:eastAsia="Calibri"/>
          <w:b/>
          <w:szCs w:val="22"/>
          <w:lang w:val="en-CA" w:eastAsia="en-US"/>
        </w:rPr>
        <w:t>Running title</w:t>
      </w:r>
      <w:r w:rsidRPr="00126514">
        <w:rPr>
          <w:rFonts w:eastAsia="Calibri"/>
          <w:szCs w:val="22"/>
          <w:lang w:val="en-CA" w:eastAsia="en-US"/>
        </w:rPr>
        <w:t xml:space="preserve">: </w:t>
      </w:r>
      <w:r w:rsidRPr="00126514">
        <w:rPr>
          <w:rFonts w:eastAsia="Calibri"/>
          <w:bCs/>
          <w:szCs w:val="22"/>
          <w:lang w:val="en-CA" w:eastAsia="en-US"/>
        </w:rPr>
        <w:t>Plasma Proteomics Unveils Biomarkers for Neurodegenerative Diseases</w:t>
      </w:r>
    </w:p>
    <w:p w14:paraId="4363A0E8" w14:textId="77777777" w:rsidR="00126514" w:rsidRPr="00126514" w:rsidRDefault="00126514" w:rsidP="00126514">
      <w:pPr>
        <w:spacing w:after="160"/>
        <w:jc w:val="both"/>
        <w:rPr>
          <w:rFonts w:eastAsia="Calibri"/>
          <w:szCs w:val="22"/>
          <w:lang w:val="en-CA" w:eastAsia="en-US"/>
        </w:rPr>
      </w:pPr>
      <w:r w:rsidRPr="00126514">
        <w:rPr>
          <w:rFonts w:eastAsia="Calibri"/>
          <w:b/>
          <w:szCs w:val="22"/>
          <w:lang w:val="en-CA" w:eastAsia="en-US"/>
        </w:rPr>
        <w:t>Keywords:</w:t>
      </w:r>
      <w:r w:rsidRPr="00126514">
        <w:rPr>
          <w:rFonts w:eastAsia="Calibri"/>
          <w:szCs w:val="22"/>
          <w:lang w:val="en-CA" w:eastAsia="en-US"/>
        </w:rPr>
        <w:t xml:space="preserve"> Plasma assays; Neurodegeneration diagnostics; Plasma-based diagnostics; CNS protein profiling</w:t>
      </w:r>
    </w:p>
    <w:p w14:paraId="52F63B3B" w14:textId="132CBCEC" w:rsidR="00373570" w:rsidRDefault="00D77822" w:rsidP="00DB5DCC">
      <w:pPr>
        <w:spacing w:line="360" w:lineRule="auto"/>
        <w:jc w:val="center"/>
      </w:pPr>
      <w:r>
        <w:br w:type="page"/>
      </w:r>
      <w:r w:rsidR="00DB5DCC" w:rsidRPr="00DB5DCC">
        <w:rPr>
          <w:noProof/>
        </w:rPr>
        <w:lastRenderedPageBreak/>
        <w:drawing>
          <wp:inline distT="0" distB="0" distL="0" distR="0" wp14:anchorId="36585438" wp14:editId="476795C0">
            <wp:extent cx="5697220" cy="5220070"/>
            <wp:effectExtent l="0" t="0" r="5080" b="0"/>
            <wp:docPr id="697819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19378" name=""/>
                    <pic:cNvPicPr/>
                  </pic:nvPicPr>
                  <pic:blipFill rotWithShape="1">
                    <a:blip r:embed="rId6"/>
                    <a:srcRect t="22222" b="14348"/>
                    <a:stretch/>
                  </pic:blipFill>
                  <pic:spPr bwMode="auto">
                    <a:xfrm>
                      <a:off x="0" y="0"/>
                      <a:ext cx="5697220" cy="5220070"/>
                    </a:xfrm>
                    <a:prstGeom prst="rect">
                      <a:avLst/>
                    </a:prstGeom>
                    <a:ln>
                      <a:noFill/>
                    </a:ln>
                    <a:extLst>
                      <a:ext uri="{53640926-AAD7-44D8-BBD7-CCE9431645EC}">
                        <a14:shadowObscured xmlns:a14="http://schemas.microsoft.com/office/drawing/2010/main"/>
                      </a:ext>
                    </a:extLst>
                  </pic:spPr>
                </pic:pic>
              </a:graphicData>
            </a:graphic>
          </wp:inline>
        </w:drawing>
      </w:r>
    </w:p>
    <w:p w14:paraId="698F5B84" w14:textId="699650AC" w:rsidR="00AF41C8" w:rsidRDefault="007C104B" w:rsidP="00CF0F13">
      <w:pPr>
        <w:spacing w:after="160" w:line="360" w:lineRule="auto"/>
      </w:pPr>
      <w:r w:rsidRPr="00D77822">
        <w:rPr>
          <w:rFonts w:eastAsiaTheme="minorEastAsia"/>
          <w:b/>
          <w:bCs/>
        </w:rPr>
        <w:t>Supplement</w:t>
      </w:r>
      <w:r w:rsidR="007A071A" w:rsidRPr="00D77822">
        <w:rPr>
          <w:rFonts w:eastAsiaTheme="minorEastAsia"/>
          <w:b/>
          <w:bCs/>
        </w:rPr>
        <w:t>ary</w:t>
      </w:r>
      <w:r w:rsidRPr="00D77822">
        <w:rPr>
          <w:rFonts w:eastAsiaTheme="minorEastAsia"/>
          <w:b/>
          <w:bCs/>
        </w:rPr>
        <w:t xml:space="preserve"> Figure 1. </w:t>
      </w:r>
      <w:r w:rsidR="00237E67" w:rsidRPr="00D77822">
        <w:rPr>
          <w:rFonts w:eastAsiaTheme="minorEastAsia"/>
          <w:b/>
          <w:bCs/>
        </w:rPr>
        <w:t xml:space="preserve"> </w:t>
      </w:r>
      <w:r w:rsidRPr="00D77822">
        <w:rPr>
          <w:rFonts w:eastAsiaTheme="minorEastAsia"/>
          <w:b/>
          <w:bCs/>
        </w:rPr>
        <w:t xml:space="preserve"> </w:t>
      </w:r>
      <w:r w:rsidR="00C250CA" w:rsidRPr="00D77822">
        <w:rPr>
          <w:rFonts w:eastAsiaTheme="minorEastAsia"/>
          <w:b/>
          <w:bCs/>
        </w:rPr>
        <w:t>Upset Plot Analysis of Shared Proteins in Disease and AD phenotypes</w:t>
      </w:r>
      <w:r w:rsidR="00D7087B" w:rsidRPr="00D77822">
        <w:rPr>
          <w:rFonts w:eastAsiaTheme="minorEastAsia"/>
          <w:b/>
          <w:bCs/>
        </w:rPr>
        <w:t xml:space="preserve">. </w:t>
      </w:r>
      <w:r w:rsidRPr="00D77822">
        <w:rPr>
          <w:rFonts w:eastAsiaTheme="minorEastAsia"/>
          <w:b/>
          <w:bCs/>
        </w:rPr>
        <w:t>(A)</w:t>
      </w:r>
      <w:r w:rsidRPr="00D77822">
        <w:rPr>
          <w:rFonts w:eastAsiaTheme="minorEastAsia"/>
        </w:rPr>
        <w:t xml:space="preserve"> The upset plot demonstrates the overlap of significant analytes (</w:t>
      </w:r>
      <w:r w:rsidRPr="009E303A">
        <w:rPr>
          <w:rFonts w:eastAsiaTheme="minorEastAsia"/>
          <w:i/>
          <w:iCs/>
        </w:rPr>
        <w:t>FDR</w:t>
      </w:r>
      <w:r w:rsidRPr="00D77822">
        <w:rPr>
          <w:rFonts w:eastAsiaTheme="minorEastAsia"/>
        </w:rPr>
        <w:t xml:space="preserve"> &lt; 0.05) across various disease datasets, specifically Alzheimer’s Disease (AD), Dementia with Lewy Bodies (DLB), Frontotemporal Dementia (FTD), and Parkinson’s Disease (PD). This visualization reveals 78 significant proteins that are consistently identified across these neurodegenerative conditions. </w:t>
      </w:r>
      <w:r w:rsidRPr="00D77822">
        <w:rPr>
          <w:rFonts w:eastAsiaTheme="minorEastAsia"/>
          <w:b/>
          <w:bCs/>
        </w:rPr>
        <w:t xml:space="preserve">(B) </w:t>
      </w:r>
      <w:r w:rsidRPr="00D77822">
        <w:rPr>
          <w:rFonts w:eastAsiaTheme="minorEastAsia"/>
        </w:rPr>
        <w:t>The upset plot illustrates the overlap of significant analytes (</w:t>
      </w:r>
      <w:r w:rsidRPr="009E303A">
        <w:rPr>
          <w:rFonts w:eastAsiaTheme="minorEastAsia"/>
          <w:i/>
          <w:iCs/>
        </w:rPr>
        <w:t>FDR</w:t>
      </w:r>
      <w:r w:rsidRPr="00D77822">
        <w:rPr>
          <w:rFonts w:eastAsiaTheme="minorEastAsia"/>
        </w:rPr>
        <w:t xml:space="preserve"> &lt; 0.05) associated with the phenotypes </w:t>
      </w:r>
      <w:r w:rsidR="00482436" w:rsidRPr="00482436">
        <w:rPr>
          <w:rFonts w:eastAsiaTheme="minorEastAsia"/>
        </w:rPr>
        <w:t>Amyloid-PET</w:t>
      </w:r>
      <w:r w:rsidR="00482436">
        <w:rPr>
          <w:rFonts w:eastAsiaTheme="minorEastAsia"/>
        </w:rPr>
        <w:t>,</w:t>
      </w:r>
      <w:r w:rsidRPr="00D77822">
        <w:rPr>
          <w:rFonts w:eastAsiaTheme="minorEastAsia"/>
        </w:rPr>
        <w:t xml:space="preserve"> Tau PET, A</w:t>
      </w:r>
      <w:r w:rsidRPr="00D77822">
        <w:rPr>
          <w:rFonts w:eastAsiaTheme="minorEastAsia"/>
          <w:lang w:val="el-GR"/>
        </w:rPr>
        <w:t>β42/</w:t>
      </w:r>
      <w:r w:rsidRPr="00D77822">
        <w:rPr>
          <w:rFonts w:eastAsiaTheme="minorEastAsia"/>
        </w:rPr>
        <w:t>A</w:t>
      </w:r>
      <w:r w:rsidRPr="00D77822">
        <w:rPr>
          <w:rFonts w:eastAsiaTheme="minorEastAsia"/>
          <w:lang w:val="el-GR"/>
        </w:rPr>
        <w:t xml:space="preserve">β40, </w:t>
      </w:r>
      <w:r w:rsidRPr="00D77822">
        <w:rPr>
          <w:rFonts w:eastAsiaTheme="minorEastAsia"/>
        </w:rPr>
        <w:t>and Clinical Dementia Rating (CDR). This analysis highlights a total of 77 significant proteins identified through a comprehensive differential abundance analysis, emphasizing their relevance across these key neurodegenerative biomarkers.</w:t>
      </w:r>
    </w:p>
    <w:p w14:paraId="57BC8F11" w14:textId="47ED8601" w:rsidR="00CE0BAF" w:rsidRDefault="00AF41C8" w:rsidP="00CE0BAF">
      <w:pPr>
        <w:spacing w:after="160" w:line="278" w:lineRule="auto"/>
      </w:pPr>
      <w:r>
        <w:br w:type="page"/>
      </w:r>
    </w:p>
    <w:p w14:paraId="2E09D68C" w14:textId="2A4DCD99" w:rsidR="00CE0BAF" w:rsidRDefault="00EB3028">
      <w:r w:rsidRPr="00EB3028">
        <w:rPr>
          <w:noProof/>
        </w:rPr>
        <w:lastRenderedPageBreak/>
        <w:drawing>
          <wp:inline distT="0" distB="0" distL="0" distR="0" wp14:anchorId="05D53410" wp14:editId="62169EF0">
            <wp:extent cx="5899918" cy="3395927"/>
            <wp:effectExtent l="0" t="0" r="0" b="0"/>
            <wp:docPr id="168011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17104" name=""/>
                    <pic:cNvPicPr/>
                  </pic:nvPicPr>
                  <pic:blipFill rotWithShape="1">
                    <a:blip r:embed="rId7"/>
                    <a:srcRect l="1765" t="9768" r="2195" b="10384"/>
                    <a:stretch/>
                  </pic:blipFill>
                  <pic:spPr bwMode="auto">
                    <a:xfrm>
                      <a:off x="0" y="0"/>
                      <a:ext cx="5906457" cy="3399691"/>
                    </a:xfrm>
                    <a:prstGeom prst="rect">
                      <a:avLst/>
                    </a:prstGeom>
                    <a:ln>
                      <a:noFill/>
                    </a:ln>
                    <a:extLst>
                      <a:ext uri="{53640926-AAD7-44D8-BBD7-CCE9431645EC}">
                        <a14:shadowObscured xmlns:a14="http://schemas.microsoft.com/office/drawing/2010/main"/>
                      </a:ext>
                    </a:extLst>
                  </pic:spPr>
                </pic:pic>
              </a:graphicData>
            </a:graphic>
          </wp:inline>
        </w:drawing>
      </w:r>
    </w:p>
    <w:p w14:paraId="7564915E" w14:textId="46A1C9CD" w:rsidR="007C104B" w:rsidRPr="00D77822" w:rsidRDefault="007A071A" w:rsidP="009E303A">
      <w:pPr>
        <w:spacing w:after="160" w:line="360" w:lineRule="auto"/>
      </w:pPr>
      <w:r w:rsidRPr="00D77822">
        <w:rPr>
          <w:rFonts w:eastAsiaTheme="minorEastAsia"/>
          <w:b/>
          <w:bCs/>
        </w:rPr>
        <w:t>Supplementary</w:t>
      </w:r>
      <w:r w:rsidR="00AF41C8" w:rsidRPr="00D77822">
        <w:rPr>
          <w:rFonts w:eastAsiaTheme="minorEastAsia"/>
          <w:b/>
          <w:bCs/>
        </w:rPr>
        <w:t xml:space="preserve"> Figure </w:t>
      </w:r>
      <w:r w:rsidR="00B47B26">
        <w:rPr>
          <w:rFonts w:eastAsiaTheme="minorEastAsia"/>
          <w:b/>
          <w:bCs/>
        </w:rPr>
        <w:t>2</w:t>
      </w:r>
      <w:r w:rsidR="00AF41C8" w:rsidRPr="00D77822">
        <w:rPr>
          <w:rFonts w:eastAsiaTheme="minorEastAsia"/>
          <w:b/>
          <w:bCs/>
        </w:rPr>
        <w:t xml:space="preserve">. </w:t>
      </w:r>
      <w:r w:rsidR="00237E67" w:rsidRPr="00D77822">
        <w:rPr>
          <w:rFonts w:eastAsiaTheme="minorEastAsia"/>
          <w:b/>
          <w:bCs/>
        </w:rPr>
        <w:t xml:space="preserve"> </w:t>
      </w:r>
      <w:r w:rsidR="00C250CA" w:rsidRPr="00D77822">
        <w:rPr>
          <w:rFonts w:eastAsiaTheme="minorEastAsia"/>
          <w:b/>
          <w:bCs/>
        </w:rPr>
        <w:t>Plasma Protein Distribution Across Single and Multiple Diseases</w:t>
      </w:r>
      <w:r w:rsidR="00D7087B" w:rsidRPr="00D77822">
        <w:rPr>
          <w:rFonts w:eastAsiaTheme="minorEastAsia"/>
          <w:b/>
          <w:bCs/>
        </w:rPr>
        <w:t xml:space="preserve">. </w:t>
      </w:r>
      <w:r w:rsidR="00AF41C8" w:rsidRPr="00D77822">
        <w:rPr>
          <w:rFonts w:eastAsiaTheme="minorEastAsia"/>
          <w:b/>
          <w:bCs/>
        </w:rPr>
        <w:t>(A-B)</w:t>
      </w:r>
      <w:r w:rsidR="00AF41C8" w:rsidRPr="00D77822">
        <w:rPr>
          <w:rFonts w:eastAsiaTheme="minorEastAsia"/>
        </w:rPr>
        <w:t xml:space="preserve"> We selected proteins that passed the FDR threshold in AD and had </w:t>
      </w:r>
      <w:r w:rsidR="00AF41C8" w:rsidRPr="00D77822">
        <w:rPr>
          <w:rFonts w:eastAsiaTheme="minorEastAsia"/>
          <w:i/>
          <w:iCs/>
        </w:rPr>
        <w:t>p</w:t>
      </w:r>
      <w:r w:rsidR="00AF41C8" w:rsidRPr="00D77822">
        <w:rPr>
          <w:rFonts w:eastAsiaTheme="minorEastAsia"/>
        </w:rPr>
        <w:t xml:space="preserve"> &lt; 0.05 in other diseases. Plasma protein levels (rows) were averaged across individuals within each disease (columns). The proteins (</w:t>
      </w:r>
      <w:r w:rsidR="00AF41C8" w:rsidRPr="00D77822">
        <w:rPr>
          <w:rFonts w:eastAsiaTheme="minorEastAsia"/>
          <w:i/>
          <w:iCs/>
        </w:rPr>
        <w:t>N</w:t>
      </w:r>
      <w:r w:rsidR="00D77822">
        <w:rPr>
          <w:rFonts w:eastAsiaTheme="minorEastAsia"/>
        </w:rPr>
        <w:t xml:space="preserve"> </w:t>
      </w:r>
      <w:r w:rsidR="00AF41C8" w:rsidRPr="00D77822">
        <w:rPr>
          <w:rFonts w:eastAsiaTheme="minorEastAsia"/>
        </w:rPr>
        <w:t>=</w:t>
      </w:r>
      <w:r w:rsidR="00D77822">
        <w:rPr>
          <w:rFonts w:eastAsiaTheme="minorEastAsia"/>
        </w:rPr>
        <w:t xml:space="preserve"> </w:t>
      </w:r>
      <w:r w:rsidR="00AF41C8" w:rsidRPr="00D77822">
        <w:rPr>
          <w:rFonts w:eastAsiaTheme="minorEastAsia"/>
        </w:rPr>
        <w:t>67) in (A) are specific to a single disease, while the proteins in (B) could be abundant in more than one disease. Proteins abundant in more than one disease were assigned to the first disease in which they appeared.</w:t>
      </w:r>
      <w:r w:rsidR="007C104B" w:rsidRPr="00D77822">
        <w:br w:type="page"/>
      </w:r>
    </w:p>
    <w:p w14:paraId="433A3646" w14:textId="62CC3FA3" w:rsidR="007C104B" w:rsidRDefault="00857106" w:rsidP="007C104B">
      <w:pPr>
        <w:spacing w:after="160" w:line="278" w:lineRule="auto"/>
      </w:pPr>
      <w:r>
        <w:rPr>
          <w:noProof/>
          <w14:ligatures w14:val="standardContextual"/>
        </w:rPr>
        <w:lastRenderedPageBreak/>
        <w:drawing>
          <wp:inline distT="0" distB="0" distL="0" distR="0" wp14:anchorId="4380884D" wp14:editId="512A675D">
            <wp:extent cx="5943600" cy="3169920"/>
            <wp:effectExtent l="0" t="0" r="0" b="5080"/>
            <wp:docPr id="213192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527" name="Picture 2131927527"/>
                    <pic:cNvPicPr/>
                  </pic:nvPicPr>
                  <pic:blipFill>
                    <a:blip r:embed="rId8"/>
                    <a:stretch>
                      <a:fillRect/>
                    </a:stretch>
                  </pic:blipFill>
                  <pic:spPr>
                    <a:xfrm>
                      <a:off x="0" y="0"/>
                      <a:ext cx="5943600" cy="3169920"/>
                    </a:xfrm>
                    <a:prstGeom prst="rect">
                      <a:avLst/>
                    </a:prstGeom>
                  </pic:spPr>
                </pic:pic>
              </a:graphicData>
            </a:graphic>
          </wp:inline>
        </w:drawing>
      </w:r>
    </w:p>
    <w:p w14:paraId="50DFF5DA" w14:textId="47C79CDB" w:rsidR="00E75E4A" w:rsidRPr="00D77822" w:rsidRDefault="007A071A" w:rsidP="009E303A">
      <w:pPr>
        <w:spacing w:after="160" w:line="360" w:lineRule="auto"/>
      </w:pPr>
      <w:r w:rsidRPr="00D77822">
        <w:rPr>
          <w:rFonts w:eastAsiaTheme="minorEastAsia"/>
          <w:b/>
          <w:bCs/>
        </w:rPr>
        <w:t>Supplementary</w:t>
      </w:r>
      <w:r w:rsidR="00E75E4A" w:rsidRPr="00D77822">
        <w:rPr>
          <w:rFonts w:eastAsiaTheme="minorEastAsia"/>
          <w:b/>
          <w:bCs/>
        </w:rPr>
        <w:t xml:space="preserve"> Figure </w:t>
      </w:r>
      <w:r w:rsidR="00B47B26">
        <w:rPr>
          <w:rFonts w:eastAsiaTheme="minorEastAsia"/>
          <w:b/>
          <w:bCs/>
        </w:rPr>
        <w:t>3</w:t>
      </w:r>
      <w:r w:rsidR="00E75E4A" w:rsidRPr="00D77822">
        <w:rPr>
          <w:rFonts w:eastAsiaTheme="minorEastAsia"/>
          <w:b/>
          <w:bCs/>
        </w:rPr>
        <w:t xml:space="preserve">. </w:t>
      </w:r>
      <w:r w:rsidR="00237E67" w:rsidRPr="00D77822">
        <w:rPr>
          <w:rFonts w:eastAsiaTheme="minorEastAsia"/>
          <w:b/>
          <w:bCs/>
        </w:rPr>
        <w:t xml:space="preserve"> </w:t>
      </w:r>
      <w:r w:rsidR="00C250CA" w:rsidRPr="00D77822">
        <w:rPr>
          <w:rFonts w:eastAsiaTheme="minorEastAsia"/>
          <w:b/>
          <w:bCs/>
        </w:rPr>
        <w:t>Scatter Plots of Effect Sizes Across AD Phenotypes</w:t>
      </w:r>
      <w:r w:rsidR="00D7087B" w:rsidRPr="00D77822">
        <w:rPr>
          <w:rFonts w:eastAsiaTheme="minorEastAsia"/>
          <w:b/>
          <w:bCs/>
        </w:rPr>
        <w:t xml:space="preserve">. </w:t>
      </w:r>
      <w:r w:rsidR="00E75E4A" w:rsidRPr="00D77822">
        <w:rPr>
          <w:rFonts w:eastAsiaTheme="minorEastAsia"/>
          <w:b/>
          <w:bCs/>
        </w:rPr>
        <w:t>(A – F)</w:t>
      </w:r>
      <w:r w:rsidR="00E75E4A" w:rsidRPr="00D77822">
        <w:rPr>
          <w:rFonts w:eastAsiaTheme="minorEastAsia"/>
        </w:rPr>
        <w:t xml:space="preserve"> Scatter plots comparing effect sizes of significant proteins from either endophenotype dataset. Proteins are selected if they are significant in at least one analysis. Red points indicate significance in both datasets, blue points indicate significance in the first disease, green points indicate significance in the second disease, and grey points indicate no significance in either dataset. The dark dashed grey line represents the regression line, while the light grey dashed line outlines the confidence interval ribbon, indicating the confidence bounds of the prediction. </w:t>
      </w:r>
    </w:p>
    <w:p w14:paraId="6D5C3930" w14:textId="77777777" w:rsidR="00E75E4A" w:rsidRDefault="00E75E4A" w:rsidP="007C104B">
      <w:pPr>
        <w:spacing w:after="160" w:line="278" w:lineRule="auto"/>
      </w:pPr>
    </w:p>
    <w:p w14:paraId="7A3AB1C8" w14:textId="38C3487B" w:rsidR="008C0E78" w:rsidRDefault="008C0E78">
      <w:pPr>
        <w:spacing w:after="160" w:line="278" w:lineRule="auto"/>
      </w:pPr>
      <w:r>
        <w:br w:type="page"/>
      </w:r>
    </w:p>
    <w:p w14:paraId="0ECF0CBE" w14:textId="7A312124" w:rsidR="007C104B" w:rsidRDefault="00092480" w:rsidP="00AF41C8">
      <w:pPr>
        <w:spacing w:after="160" w:line="278" w:lineRule="auto"/>
      </w:pPr>
      <w:r>
        <w:rPr>
          <w:noProof/>
          <w14:ligatures w14:val="standardContextual"/>
        </w:rPr>
        <w:lastRenderedPageBreak/>
        <w:drawing>
          <wp:inline distT="0" distB="0" distL="0" distR="0" wp14:anchorId="189B5D38" wp14:editId="2DA12887">
            <wp:extent cx="5943600" cy="4754880"/>
            <wp:effectExtent l="0" t="0" r="0" b="0"/>
            <wp:docPr id="53393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3264" name="Picture 53393264"/>
                    <pic:cNvPicPr/>
                  </pic:nvPicPr>
                  <pic:blipFill>
                    <a:blip r:embed="rId9"/>
                    <a:stretch>
                      <a:fillRect/>
                    </a:stretch>
                  </pic:blipFill>
                  <pic:spPr>
                    <a:xfrm>
                      <a:off x="0" y="0"/>
                      <a:ext cx="5943600" cy="4754880"/>
                    </a:xfrm>
                    <a:prstGeom prst="rect">
                      <a:avLst/>
                    </a:prstGeom>
                  </pic:spPr>
                </pic:pic>
              </a:graphicData>
            </a:graphic>
          </wp:inline>
        </w:drawing>
      </w:r>
    </w:p>
    <w:p w14:paraId="5E767850" w14:textId="21C5554F" w:rsidR="007C104B" w:rsidRPr="00D77822" w:rsidRDefault="007C104B" w:rsidP="009E303A">
      <w:pPr>
        <w:spacing w:line="360" w:lineRule="auto"/>
      </w:pPr>
      <w:r w:rsidRPr="00D77822">
        <w:rPr>
          <w:rFonts w:eastAsiaTheme="minorEastAsia"/>
          <w:b/>
          <w:bCs/>
        </w:rPr>
        <w:t xml:space="preserve">Supplementary Figure </w:t>
      </w:r>
      <w:r w:rsidR="00B47B26">
        <w:rPr>
          <w:rFonts w:eastAsiaTheme="minorEastAsia"/>
          <w:b/>
          <w:bCs/>
        </w:rPr>
        <w:t>4</w:t>
      </w:r>
      <w:r w:rsidRPr="00D77822">
        <w:rPr>
          <w:b/>
          <w:bCs/>
        </w:rPr>
        <w:t>.</w:t>
      </w:r>
      <w:r w:rsidR="00237E67" w:rsidRPr="00D77822">
        <w:rPr>
          <w:b/>
          <w:bCs/>
        </w:rPr>
        <w:t xml:space="preserve"> </w:t>
      </w:r>
      <w:r w:rsidR="00C250CA" w:rsidRPr="00D77822">
        <w:rPr>
          <w:b/>
          <w:bCs/>
        </w:rPr>
        <w:t xml:space="preserve">Biomarker Ratios for AD Prediction and </w:t>
      </w:r>
      <w:r w:rsidR="00482436" w:rsidRPr="00482436">
        <w:rPr>
          <w:b/>
          <w:bCs/>
        </w:rPr>
        <w:t>Amyloid-PET</w:t>
      </w:r>
      <w:r w:rsidR="00482436">
        <w:rPr>
          <w:b/>
          <w:bCs/>
        </w:rPr>
        <w:t xml:space="preserve"> statuses</w:t>
      </w:r>
      <w:r w:rsidR="00D7087B" w:rsidRPr="00D77822">
        <w:rPr>
          <w:b/>
          <w:bCs/>
        </w:rPr>
        <w:t xml:space="preserve">. </w:t>
      </w:r>
      <w:r w:rsidRPr="00D77822">
        <w:rPr>
          <w:rFonts w:eastAsiaTheme="minorEastAsia"/>
        </w:rPr>
        <w:t xml:space="preserve">To evaluate the predictive potential of novel biomarkers, we analyzed </w:t>
      </w:r>
      <w:r w:rsidR="00B47B26">
        <w:rPr>
          <w:rFonts w:eastAsiaTheme="minorEastAsia"/>
        </w:rPr>
        <w:t>p-tau217</w:t>
      </w:r>
      <w:r w:rsidRPr="00D77822">
        <w:rPr>
          <w:rFonts w:eastAsiaTheme="minorEastAsia"/>
        </w:rPr>
        <w:t xml:space="preserve">, </w:t>
      </w:r>
      <w:r w:rsidR="00B47B26">
        <w:rPr>
          <w:rFonts w:eastAsiaTheme="minorEastAsia"/>
        </w:rPr>
        <w:t>p-tau217</w:t>
      </w:r>
      <w:r w:rsidRPr="00D77822">
        <w:rPr>
          <w:rFonts w:eastAsiaTheme="minorEastAsia"/>
        </w:rPr>
        <w:t>/A</w:t>
      </w:r>
      <w:r w:rsidRPr="00D77822">
        <w:rPr>
          <w:rFonts w:eastAsiaTheme="minorEastAsia"/>
          <w:lang w:val="el-GR"/>
        </w:rPr>
        <w:t xml:space="preserve">β42, </w:t>
      </w:r>
      <w:r w:rsidR="00B47B26">
        <w:rPr>
          <w:rFonts w:eastAsiaTheme="minorEastAsia"/>
        </w:rPr>
        <w:t>p-tau217</w:t>
      </w:r>
      <w:r w:rsidRPr="00D77822">
        <w:rPr>
          <w:rFonts w:eastAsiaTheme="minorEastAsia"/>
        </w:rPr>
        <w:t xml:space="preserve">/BDNF, and </w:t>
      </w:r>
      <w:r w:rsidR="00B47B26">
        <w:rPr>
          <w:rFonts w:eastAsiaTheme="minorEastAsia"/>
        </w:rPr>
        <w:t>p-tau217</w:t>
      </w:r>
      <w:r w:rsidRPr="00D77822">
        <w:rPr>
          <w:rFonts w:eastAsiaTheme="minorEastAsia"/>
        </w:rPr>
        <w:t xml:space="preserve">/NPTXR ratios to assess their ability to distinguish between Alzheimer’s disease (AD) and cognitively </w:t>
      </w:r>
      <w:r w:rsidR="00724B87">
        <w:rPr>
          <w:rFonts w:eastAsiaTheme="minorEastAsia" w:hint="eastAsia"/>
        </w:rPr>
        <w:t>un</w:t>
      </w:r>
      <w:r w:rsidR="00724B87">
        <w:rPr>
          <w:rFonts w:eastAsiaTheme="minorEastAsia"/>
        </w:rPr>
        <w:t>impaired</w:t>
      </w:r>
      <w:r w:rsidRPr="00D77822">
        <w:rPr>
          <w:rFonts w:eastAsiaTheme="minorEastAsia"/>
        </w:rPr>
        <w:t xml:space="preserve"> controls (CO), as well as to predict </w:t>
      </w:r>
      <w:r w:rsidR="00482436" w:rsidRPr="00482436">
        <w:rPr>
          <w:rFonts w:eastAsiaTheme="minorEastAsia"/>
        </w:rPr>
        <w:t>Amyloid-PET</w:t>
      </w:r>
      <w:r w:rsidRPr="00D77822">
        <w:rPr>
          <w:rFonts w:eastAsiaTheme="minorEastAsia"/>
        </w:rPr>
        <w:t>. The whisker plot compares the Area Under the Curve (AUC) values along with their corresponding 95% confidence intervals (CI) for each biomarker.</w:t>
      </w:r>
    </w:p>
    <w:p w14:paraId="66CEC377" w14:textId="318A00B1" w:rsidR="007C104B" w:rsidRDefault="007C104B" w:rsidP="007C104B"/>
    <w:p w14:paraId="164965C3" w14:textId="77777777" w:rsidR="007C104B" w:rsidRDefault="007C104B">
      <w:r>
        <w:br w:type="page"/>
      </w:r>
    </w:p>
    <w:p w14:paraId="2A0F8C66" w14:textId="2A667AC3" w:rsidR="007C104B" w:rsidRDefault="0027254F" w:rsidP="009E303A">
      <w:pPr>
        <w:jc w:val="center"/>
      </w:pPr>
      <w:r>
        <w:rPr>
          <w:noProof/>
          <w14:ligatures w14:val="standardContextual"/>
        </w:rPr>
        <w:lastRenderedPageBreak/>
        <w:drawing>
          <wp:inline distT="0" distB="0" distL="0" distR="0" wp14:anchorId="0AB6C7EB" wp14:editId="6B1717BB">
            <wp:extent cx="5943600" cy="5029200"/>
            <wp:effectExtent l="0" t="0" r="0" b="0"/>
            <wp:docPr id="1282539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39449" name="Picture 1282539449"/>
                    <pic:cNvPicPr/>
                  </pic:nvPicPr>
                  <pic:blipFill rotWithShape="1">
                    <a:blip r:embed="rId10"/>
                    <a:srcRect b="3297"/>
                    <a:stretch/>
                  </pic:blipFill>
                  <pic:spPr bwMode="auto">
                    <a:xfrm>
                      <a:off x="0" y="0"/>
                      <a:ext cx="5943600" cy="5029200"/>
                    </a:xfrm>
                    <a:prstGeom prst="rect">
                      <a:avLst/>
                    </a:prstGeom>
                    <a:ln>
                      <a:noFill/>
                    </a:ln>
                    <a:extLst>
                      <a:ext uri="{53640926-AAD7-44D8-BBD7-CCE9431645EC}">
                        <a14:shadowObscured xmlns:a14="http://schemas.microsoft.com/office/drawing/2010/main"/>
                      </a:ext>
                    </a:extLst>
                  </pic:spPr>
                </pic:pic>
              </a:graphicData>
            </a:graphic>
          </wp:inline>
        </w:drawing>
      </w:r>
    </w:p>
    <w:p w14:paraId="5CE948FB" w14:textId="77777777" w:rsidR="00237E67" w:rsidRPr="00D77822" w:rsidRDefault="00237E67" w:rsidP="007C104B">
      <w:pPr>
        <w:rPr>
          <w:rFonts w:eastAsiaTheme="minorEastAsia"/>
          <w:b/>
          <w:bCs/>
        </w:rPr>
      </w:pPr>
    </w:p>
    <w:p w14:paraId="3BE15A62" w14:textId="6D8E9634" w:rsidR="00DC12AC" w:rsidRPr="00D77822" w:rsidRDefault="007C104B" w:rsidP="00B47B26">
      <w:pPr>
        <w:spacing w:line="360" w:lineRule="auto"/>
        <w:rPr>
          <w:rFonts w:eastAsiaTheme="minorEastAsia"/>
        </w:rPr>
      </w:pPr>
      <w:r w:rsidRPr="00D77822">
        <w:rPr>
          <w:rFonts w:eastAsiaTheme="minorEastAsia"/>
          <w:b/>
          <w:bCs/>
        </w:rPr>
        <w:t xml:space="preserve">Supplementary Figure </w:t>
      </w:r>
      <w:r w:rsidR="00B47B26">
        <w:rPr>
          <w:b/>
          <w:bCs/>
        </w:rPr>
        <w:t>5</w:t>
      </w:r>
      <w:r w:rsidRPr="00D77822">
        <w:rPr>
          <w:b/>
          <w:bCs/>
        </w:rPr>
        <w:t>.</w:t>
      </w:r>
      <w:r w:rsidR="00237E67" w:rsidRPr="00D77822">
        <w:rPr>
          <w:b/>
          <w:bCs/>
        </w:rPr>
        <w:t xml:space="preserve"> </w:t>
      </w:r>
      <w:r w:rsidR="00B47B26">
        <w:rPr>
          <w:b/>
          <w:bCs/>
        </w:rPr>
        <w:t>p-tau217</w:t>
      </w:r>
      <w:r w:rsidR="00C250CA" w:rsidRPr="00D77822">
        <w:rPr>
          <w:b/>
          <w:bCs/>
        </w:rPr>
        <w:t xml:space="preserve"> as a Predictor of Tau PET and </w:t>
      </w:r>
      <w:r w:rsidR="00482436" w:rsidRPr="00482436">
        <w:rPr>
          <w:b/>
          <w:bCs/>
        </w:rPr>
        <w:t>Amyloid-PET</w:t>
      </w:r>
      <w:r w:rsidR="00D7087B" w:rsidRPr="00D77822">
        <w:rPr>
          <w:b/>
          <w:bCs/>
        </w:rPr>
        <w:t xml:space="preserve">. </w:t>
      </w:r>
      <w:r w:rsidRPr="00D77822">
        <w:rPr>
          <w:rFonts w:eastAsiaTheme="minorEastAsia"/>
          <w:b/>
          <w:bCs/>
        </w:rPr>
        <w:t>(A)</w:t>
      </w:r>
      <w:r w:rsidRPr="00D77822">
        <w:rPr>
          <w:rFonts w:eastAsiaTheme="minorEastAsia"/>
        </w:rPr>
        <w:t xml:space="preserve"> </w:t>
      </w:r>
      <w:r w:rsidR="00CF6B8E" w:rsidRPr="00CF6B8E">
        <w:rPr>
          <w:rFonts w:eastAsiaTheme="minorEastAsia"/>
        </w:rPr>
        <w:t xml:space="preserve">The scatterplot shows a positive correlation between </w:t>
      </w:r>
      <w:r w:rsidR="00B47B26">
        <w:rPr>
          <w:rFonts w:eastAsiaTheme="minorEastAsia"/>
        </w:rPr>
        <w:t>p-tau217</w:t>
      </w:r>
      <w:r w:rsidR="00CF6B8E" w:rsidRPr="00CF6B8E">
        <w:rPr>
          <w:rFonts w:eastAsiaTheme="minorEastAsia"/>
        </w:rPr>
        <w:t xml:space="preserve"> and Tau PET, with Spearman's </w:t>
      </w:r>
      <w:r w:rsidR="00CF6B8E" w:rsidRPr="00CF6B8E">
        <w:rPr>
          <w:rFonts w:eastAsiaTheme="minorEastAsia"/>
          <w:i/>
          <w:iCs/>
        </w:rPr>
        <w:t>rho</w:t>
      </w:r>
      <w:r w:rsidR="00CF6B8E" w:rsidRPr="00CF6B8E">
        <w:rPr>
          <w:rFonts w:eastAsiaTheme="minorEastAsia"/>
        </w:rPr>
        <w:t xml:space="preserve"> = 0.39 and </w:t>
      </w:r>
      <w:r w:rsidR="00CF6B8E" w:rsidRPr="00CF6B8E">
        <w:rPr>
          <w:rFonts w:eastAsiaTheme="minorEastAsia"/>
          <w:i/>
          <w:iCs/>
        </w:rPr>
        <w:t>p</w:t>
      </w:r>
      <w:r w:rsidR="00CF6B8E" w:rsidRPr="00CF6B8E">
        <w:rPr>
          <w:rFonts w:eastAsiaTheme="minorEastAsia"/>
        </w:rPr>
        <w:t xml:space="preserve"> = 2.36×10⁻¹⁰.</w:t>
      </w:r>
      <w:r w:rsidRPr="00D77822">
        <w:rPr>
          <w:rFonts w:eastAsiaTheme="minorEastAsia"/>
        </w:rPr>
        <w:t xml:space="preserve"> The vertical black dashed line marks Youden’s Index single cutoff for plasma </w:t>
      </w:r>
      <w:r w:rsidR="00B47B26">
        <w:rPr>
          <w:rFonts w:eastAsiaTheme="minorEastAsia"/>
        </w:rPr>
        <w:t>p-tau217</w:t>
      </w:r>
      <w:r w:rsidRPr="00D77822">
        <w:rPr>
          <w:rFonts w:eastAsiaTheme="minorEastAsia"/>
        </w:rPr>
        <w:t xml:space="preserve">. The intermediate range of plasma </w:t>
      </w:r>
      <w:r w:rsidR="00B47B26">
        <w:rPr>
          <w:rFonts w:eastAsiaTheme="minorEastAsia"/>
        </w:rPr>
        <w:t>p-tau217</w:t>
      </w:r>
      <w:r w:rsidRPr="00D77822">
        <w:rPr>
          <w:rFonts w:eastAsiaTheme="minorEastAsia"/>
        </w:rPr>
        <w:t xml:space="preserve"> is highlighted by the lower and upper vertical red dashed lines, representing the thresholds corresponding to 95% sensitivity (lower line) and 95% specificity (upper line) for differentiating high from low Tau PET levels.</w:t>
      </w:r>
      <w:r w:rsidR="008C0E78" w:rsidRPr="00D77822">
        <w:t xml:space="preserve"> </w:t>
      </w:r>
      <w:r w:rsidR="00CF6B8E">
        <w:t xml:space="preserve">Spearman </w:t>
      </w:r>
      <w:r w:rsidR="00CF6B8E" w:rsidRPr="002A582D">
        <w:rPr>
          <w:rFonts w:eastAsiaTheme="majorEastAsia"/>
          <w:bCs/>
          <w:i/>
          <w:iCs/>
          <w:color w:val="000000" w:themeColor="text1"/>
        </w:rPr>
        <w:t>r</w:t>
      </w:r>
      <w:r w:rsidR="00CF6B8E">
        <w:rPr>
          <w:rFonts w:eastAsiaTheme="majorEastAsia"/>
          <w:bCs/>
          <w:i/>
          <w:iCs/>
          <w:color w:val="000000" w:themeColor="text1"/>
        </w:rPr>
        <w:t xml:space="preserve"> </w:t>
      </w:r>
      <w:r w:rsidR="00CF6B8E" w:rsidRPr="002348FB">
        <w:rPr>
          <w:rFonts w:eastAsiaTheme="majorEastAsia"/>
          <w:bCs/>
          <w:color w:val="000000" w:themeColor="text1"/>
        </w:rPr>
        <w:t>=</w:t>
      </w:r>
      <w:r w:rsidR="00CF6B8E">
        <w:rPr>
          <w:rFonts w:eastAsiaTheme="majorEastAsia"/>
          <w:bCs/>
          <w:color w:val="000000" w:themeColor="text1"/>
        </w:rPr>
        <w:t xml:space="preserve"> </w:t>
      </w:r>
      <w:r w:rsidR="00CF6B8E" w:rsidRPr="002348FB">
        <w:rPr>
          <w:rFonts w:eastAsiaTheme="majorEastAsia"/>
          <w:bCs/>
          <w:color w:val="000000" w:themeColor="text1"/>
        </w:rPr>
        <w:t xml:space="preserve">0.39, </w:t>
      </w:r>
      <w:r w:rsidR="00CF6B8E" w:rsidRPr="002A582D">
        <w:rPr>
          <w:rFonts w:eastAsiaTheme="majorEastAsia"/>
          <w:bCs/>
          <w:i/>
          <w:iCs/>
          <w:color w:val="000000" w:themeColor="text1"/>
        </w:rPr>
        <w:t>p</w:t>
      </w:r>
      <w:r w:rsidR="00CF6B8E">
        <w:rPr>
          <w:rFonts w:eastAsiaTheme="majorEastAsia"/>
          <w:bCs/>
          <w:i/>
          <w:iCs/>
          <w:color w:val="000000" w:themeColor="text1"/>
        </w:rPr>
        <w:t xml:space="preserve"> </w:t>
      </w:r>
      <w:r w:rsidR="00CF6B8E" w:rsidRPr="002348FB">
        <w:rPr>
          <w:rFonts w:eastAsiaTheme="majorEastAsia"/>
          <w:bCs/>
          <w:color w:val="000000" w:themeColor="text1"/>
        </w:rPr>
        <w:t>=</w:t>
      </w:r>
      <w:r w:rsidR="00CF6B8E">
        <w:rPr>
          <w:rFonts w:eastAsiaTheme="majorEastAsia"/>
          <w:bCs/>
          <w:color w:val="000000" w:themeColor="text1"/>
        </w:rPr>
        <w:t xml:space="preserve"> </w:t>
      </w:r>
      <w:r w:rsidR="00CF6B8E" w:rsidRPr="002348FB">
        <w:rPr>
          <w:rFonts w:eastAsiaTheme="majorEastAsia"/>
          <w:bCs/>
          <w:color w:val="000000" w:themeColor="text1"/>
        </w:rPr>
        <w:t>2.36×10</w:t>
      </w:r>
      <w:r w:rsidR="00CF6B8E" w:rsidRPr="002348FB">
        <w:rPr>
          <w:rFonts w:eastAsiaTheme="majorEastAsia"/>
          <w:bCs/>
          <w:color w:val="000000" w:themeColor="text1"/>
          <w:vertAlign w:val="superscript"/>
        </w:rPr>
        <w:t>-10</w:t>
      </w:r>
      <w:r w:rsidR="00CF6B8E">
        <w:t xml:space="preserve"> </w:t>
      </w:r>
      <w:r w:rsidRPr="00D77822">
        <w:rPr>
          <w:rFonts w:eastAsiaTheme="minorEastAsia"/>
          <w:b/>
          <w:bCs/>
        </w:rPr>
        <w:t>(B)</w:t>
      </w:r>
      <w:r w:rsidRPr="00D77822">
        <w:rPr>
          <w:rFonts w:eastAsiaTheme="minorEastAsia"/>
        </w:rPr>
        <w:t xml:space="preserve"> </w:t>
      </w:r>
      <w:r w:rsidR="00141161" w:rsidRPr="00D77822">
        <w:rPr>
          <w:rFonts w:eastAsiaTheme="minorEastAsia"/>
        </w:rPr>
        <w:t xml:space="preserve">The ROC curve demonstrates the performance of </w:t>
      </w:r>
      <w:r w:rsidR="00B47B26">
        <w:rPr>
          <w:rFonts w:eastAsiaTheme="minorEastAsia"/>
        </w:rPr>
        <w:t>p-tau217</w:t>
      </w:r>
      <w:r w:rsidR="00141161" w:rsidRPr="00D77822">
        <w:rPr>
          <w:rFonts w:eastAsiaTheme="minorEastAsia"/>
        </w:rPr>
        <w:t xml:space="preserve"> in differentiating between high and low Tau PET levels (Threshold = 1.5), adjusted for age and sex. </w:t>
      </w:r>
      <w:r w:rsidRPr="00D77822">
        <w:rPr>
          <w:rFonts w:eastAsiaTheme="minorEastAsia"/>
        </w:rPr>
        <w:t>The blue line represents the ROC curve, with the dashed gray line indicating random chance. The Area Under the Curve (AUC) is 0.93, with a 95% confidence interval ranging from 0.886 to 0.975.</w:t>
      </w:r>
      <w:r w:rsidR="000011D2" w:rsidRPr="00D77822">
        <w:rPr>
          <w:rFonts w:eastAsiaTheme="minorEastAsia"/>
        </w:rPr>
        <w:t xml:space="preserve"> </w:t>
      </w:r>
      <w:r w:rsidR="000011D2" w:rsidRPr="00D77822">
        <w:rPr>
          <w:rFonts w:eastAsiaTheme="minorEastAsia"/>
          <w:b/>
          <w:bCs/>
        </w:rPr>
        <w:t>(C</w:t>
      </w:r>
      <w:r w:rsidR="00DC12AC" w:rsidRPr="00D77822">
        <w:rPr>
          <w:rFonts w:eastAsiaTheme="minorEastAsia"/>
          <w:b/>
          <w:bCs/>
        </w:rPr>
        <w:t xml:space="preserve"> - D</w:t>
      </w:r>
      <w:r w:rsidR="000011D2" w:rsidRPr="00D77822">
        <w:rPr>
          <w:rFonts w:eastAsiaTheme="minorEastAsia"/>
          <w:b/>
          <w:bCs/>
        </w:rPr>
        <w:t xml:space="preserve">) </w:t>
      </w:r>
      <w:r w:rsidR="00DC12AC" w:rsidRPr="00D77822">
        <w:rPr>
          <w:rFonts w:eastAsiaTheme="minorEastAsia"/>
        </w:rPr>
        <w:t xml:space="preserve">Comparison of the ROC curve for </w:t>
      </w:r>
      <w:r w:rsidR="00B47B26">
        <w:rPr>
          <w:rFonts w:eastAsiaTheme="minorEastAsia"/>
        </w:rPr>
        <w:t>p-tau217</w:t>
      </w:r>
      <w:r w:rsidR="00DC12AC" w:rsidRPr="00D77822">
        <w:rPr>
          <w:rFonts w:eastAsiaTheme="minorEastAsia"/>
        </w:rPr>
        <w:t xml:space="preserve"> in </w:t>
      </w:r>
      <w:r w:rsidR="00DC12AC" w:rsidRPr="00D77822">
        <w:rPr>
          <w:rFonts w:eastAsiaTheme="minorEastAsia"/>
        </w:rPr>
        <w:lastRenderedPageBreak/>
        <w:t xml:space="preserve">distinguishing between Tau PET levels and </w:t>
      </w:r>
      <w:r w:rsidR="00482436" w:rsidRPr="00482436">
        <w:rPr>
          <w:rFonts w:eastAsiaTheme="minorEastAsia"/>
        </w:rPr>
        <w:t>Amyloid-PET</w:t>
      </w:r>
      <w:r w:rsidR="00DC12AC" w:rsidRPr="00D77822">
        <w:rPr>
          <w:rFonts w:eastAsiaTheme="minorEastAsia"/>
        </w:rPr>
        <w:t xml:space="preserve"> (</w:t>
      </w:r>
      <w:r w:rsidR="00482436">
        <w:rPr>
          <w:rFonts w:eastAsiaTheme="minorEastAsia"/>
        </w:rPr>
        <w:t xml:space="preserve">Centiloid </w:t>
      </w:r>
      <w:r w:rsidR="00DC12AC" w:rsidRPr="00D77822">
        <w:rPr>
          <w:rFonts w:eastAsiaTheme="minorEastAsia"/>
        </w:rPr>
        <w:t>Threshold = 20), with and without adjustment for age and sex.</w:t>
      </w:r>
      <w:r w:rsidR="00DC12AC" w:rsidRPr="00D77822">
        <w:rPr>
          <w:rFonts w:eastAsiaTheme="minorEastAsia"/>
        </w:rPr>
        <w:br w:type="page"/>
      </w:r>
    </w:p>
    <w:p w14:paraId="77C8DFEC" w14:textId="503B9DFD" w:rsidR="00237E67" w:rsidRPr="009D2E98" w:rsidRDefault="00482436" w:rsidP="009D2E98">
      <w:pPr>
        <w:spacing w:after="160" w:line="278" w:lineRule="auto"/>
        <w:rPr>
          <w:rFonts w:ascii="Aptos" w:eastAsiaTheme="minorEastAsia" w:hAnsi="Aptos"/>
        </w:rPr>
      </w:pPr>
      <w:r>
        <w:rPr>
          <w:rFonts w:ascii="Aptos" w:eastAsiaTheme="minorEastAsia" w:hAnsi="Aptos"/>
          <w:noProof/>
          <w14:ligatures w14:val="standardContextual"/>
        </w:rPr>
        <w:drawing>
          <wp:inline distT="0" distB="0" distL="0" distR="0" wp14:anchorId="27C96A4B" wp14:editId="5374E731">
            <wp:extent cx="5943600" cy="3962400"/>
            <wp:effectExtent l="0" t="0" r="0" b="0"/>
            <wp:docPr id="1173193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93260" name="Picture 1173193260"/>
                    <pic:cNvPicPr/>
                  </pic:nvPicPr>
                  <pic:blipFill>
                    <a:blip r:embed="rId11"/>
                    <a:stretch>
                      <a:fillRect/>
                    </a:stretch>
                  </pic:blipFill>
                  <pic:spPr>
                    <a:xfrm>
                      <a:off x="0" y="0"/>
                      <a:ext cx="5943600" cy="3962400"/>
                    </a:xfrm>
                    <a:prstGeom prst="rect">
                      <a:avLst/>
                    </a:prstGeom>
                  </pic:spPr>
                </pic:pic>
              </a:graphicData>
            </a:graphic>
          </wp:inline>
        </w:drawing>
      </w:r>
    </w:p>
    <w:p w14:paraId="6D755682" w14:textId="494719D8" w:rsidR="007C104B" w:rsidRPr="00D77822" w:rsidRDefault="007C104B" w:rsidP="009E303A">
      <w:pPr>
        <w:spacing w:line="360" w:lineRule="auto"/>
      </w:pPr>
      <w:r w:rsidRPr="00D77822">
        <w:rPr>
          <w:rFonts w:eastAsiaTheme="minorEastAsia"/>
          <w:b/>
          <w:bCs/>
        </w:rPr>
        <w:t xml:space="preserve">Supplementary Figure </w:t>
      </w:r>
      <w:r w:rsidR="00B47B26">
        <w:rPr>
          <w:b/>
          <w:bCs/>
        </w:rPr>
        <w:t>6</w:t>
      </w:r>
      <w:r w:rsidRPr="00D77822">
        <w:rPr>
          <w:b/>
          <w:bCs/>
        </w:rPr>
        <w:t>.</w:t>
      </w:r>
      <w:r w:rsidR="00237E67" w:rsidRPr="00D77822">
        <w:rPr>
          <w:b/>
          <w:bCs/>
        </w:rPr>
        <w:t xml:space="preserve"> </w:t>
      </w:r>
      <w:r w:rsidR="00C250CA" w:rsidRPr="00D77822">
        <w:rPr>
          <w:b/>
          <w:bCs/>
        </w:rPr>
        <w:t xml:space="preserve">Correlation of </w:t>
      </w:r>
      <w:r w:rsidR="00B47B26">
        <w:rPr>
          <w:b/>
          <w:bCs/>
        </w:rPr>
        <w:t>p-tau217</w:t>
      </w:r>
      <w:r w:rsidR="00C250CA" w:rsidRPr="00D77822">
        <w:rPr>
          <w:b/>
          <w:bCs/>
        </w:rPr>
        <w:t xml:space="preserve"> with Amyloid Imaging and Tau PET Across Distinct Groups</w:t>
      </w:r>
      <w:r w:rsidR="00D7087B" w:rsidRPr="00D77822">
        <w:rPr>
          <w:b/>
          <w:bCs/>
        </w:rPr>
        <w:t xml:space="preserve">. </w:t>
      </w:r>
      <w:r w:rsidRPr="00D77822">
        <w:rPr>
          <w:rFonts w:eastAsiaTheme="minorEastAsia"/>
          <w:b/>
          <w:bCs/>
        </w:rPr>
        <w:t>(A-C)</w:t>
      </w:r>
      <w:r w:rsidRPr="00D77822">
        <w:rPr>
          <w:rFonts w:eastAsiaTheme="minorEastAsia"/>
        </w:rPr>
        <w:t xml:space="preserve"> The scatter plots illustrate the correlation </w:t>
      </w:r>
      <w:r w:rsidRPr="009E1CC3">
        <w:rPr>
          <w:rFonts w:eastAsiaTheme="minorEastAsia"/>
        </w:rPr>
        <w:t xml:space="preserve">between </w:t>
      </w:r>
      <w:r w:rsidR="009E1CC3" w:rsidRPr="009E1CC3">
        <w:t>NULISAseq</w:t>
      </w:r>
      <w:r w:rsidRPr="00D77822">
        <w:rPr>
          <w:rFonts w:eastAsiaTheme="minorEastAsia"/>
        </w:rPr>
        <w:t xml:space="preserve"> </w:t>
      </w:r>
      <w:r w:rsidR="00B47B26">
        <w:rPr>
          <w:rFonts w:eastAsiaTheme="minorEastAsia"/>
        </w:rPr>
        <w:t>p-tau217</w:t>
      </w:r>
      <w:r w:rsidRPr="00D77822">
        <w:rPr>
          <w:rFonts w:eastAsiaTheme="minorEastAsia"/>
        </w:rPr>
        <w:t xml:space="preserve"> levels (x-axis) and </w:t>
      </w:r>
      <w:r w:rsidR="00482436">
        <w:rPr>
          <w:rFonts w:eastAsiaTheme="minorEastAsia"/>
        </w:rPr>
        <w:t>Amyloid Imaging</w:t>
      </w:r>
      <w:r w:rsidR="00482436" w:rsidRPr="00D77822">
        <w:rPr>
          <w:rFonts w:eastAsiaTheme="minorEastAsia"/>
        </w:rPr>
        <w:t xml:space="preserve"> </w:t>
      </w:r>
      <w:r w:rsidRPr="00D77822">
        <w:rPr>
          <w:rFonts w:eastAsiaTheme="minorEastAsia"/>
        </w:rPr>
        <w:t xml:space="preserve">across three distinct groups, with both variables log10-transformed from their raw values. The three groups include: (1) all samples, (2) amyloid imaging-negative samples, and (3) amyloid imaging-positive samples. A Spearman correlation line is overlaid in each plot to highlight the strength and direction of the non-parametric relationship between </w:t>
      </w:r>
      <w:r w:rsidR="00B47B26">
        <w:rPr>
          <w:rFonts w:eastAsiaTheme="minorEastAsia"/>
        </w:rPr>
        <w:t>p-tau217</w:t>
      </w:r>
      <w:r w:rsidRPr="00D77822">
        <w:rPr>
          <w:rFonts w:eastAsiaTheme="minorEastAsia"/>
        </w:rPr>
        <w:t xml:space="preserve"> and amyloid imaging in each group. </w:t>
      </w:r>
      <w:r w:rsidRPr="00D77822">
        <w:rPr>
          <w:rFonts w:eastAsiaTheme="minorEastAsia"/>
          <w:b/>
          <w:bCs/>
        </w:rPr>
        <w:t>(D-F)</w:t>
      </w:r>
      <w:r w:rsidRPr="00D77822">
        <w:rPr>
          <w:rFonts w:eastAsiaTheme="minorEastAsia"/>
        </w:rPr>
        <w:t xml:space="preserve"> A similar scatter plot is generated to explore the correlation between Tau PET imaging and </w:t>
      </w:r>
      <w:r w:rsidR="00B47B26">
        <w:rPr>
          <w:rFonts w:eastAsiaTheme="minorEastAsia"/>
        </w:rPr>
        <w:t>p-tau217</w:t>
      </w:r>
      <w:r w:rsidRPr="00D77822">
        <w:rPr>
          <w:rFonts w:eastAsiaTheme="minorEastAsia"/>
        </w:rPr>
        <w:t xml:space="preserve"> levels across the same three groups, with the x-axis again representing log10-transformed </w:t>
      </w:r>
      <w:r w:rsidR="00B47B26">
        <w:rPr>
          <w:rFonts w:eastAsiaTheme="minorEastAsia"/>
        </w:rPr>
        <w:t>p-tau217</w:t>
      </w:r>
      <w:r w:rsidR="00B47B26" w:rsidRPr="00D77822">
        <w:rPr>
          <w:rFonts w:eastAsiaTheme="minorEastAsia"/>
        </w:rPr>
        <w:t xml:space="preserve"> </w:t>
      </w:r>
      <w:r w:rsidRPr="00D77822">
        <w:rPr>
          <w:rFonts w:eastAsiaTheme="minorEastAsia"/>
        </w:rPr>
        <w:t xml:space="preserve">values. The Spearman correlation line is included in each graph to illustrate the association between </w:t>
      </w:r>
      <w:r w:rsidR="00B47B26">
        <w:rPr>
          <w:rFonts w:eastAsiaTheme="minorEastAsia"/>
        </w:rPr>
        <w:t>p-tau217</w:t>
      </w:r>
      <w:r w:rsidRPr="00D77822">
        <w:rPr>
          <w:rFonts w:eastAsiaTheme="minorEastAsia"/>
        </w:rPr>
        <w:t xml:space="preserve"> and Tau PET.</w:t>
      </w:r>
    </w:p>
    <w:p w14:paraId="4063596B" w14:textId="03FB6AAE" w:rsidR="006A2C63" w:rsidRDefault="006A2C63" w:rsidP="007C104B"/>
    <w:p w14:paraId="5F384C18" w14:textId="77777777" w:rsidR="006A2C63" w:rsidRDefault="006A2C63">
      <w:r>
        <w:br w:type="page"/>
      </w:r>
    </w:p>
    <w:p w14:paraId="30994BBD" w14:textId="5BF3DBEE" w:rsidR="007C104B" w:rsidRDefault="0055474A" w:rsidP="007C104B">
      <w:r w:rsidRPr="0055474A">
        <w:rPr>
          <w:noProof/>
        </w:rPr>
        <w:lastRenderedPageBreak/>
        <w:drawing>
          <wp:inline distT="0" distB="0" distL="0" distR="0" wp14:anchorId="35491566" wp14:editId="5B570B3A">
            <wp:extent cx="5932449" cy="7942545"/>
            <wp:effectExtent l="0" t="0" r="0" b="0"/>
            <wp:docPr id="2083895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95197" name=""/>
                    <pic:cNvPicPr/>
                  </pic:nvPicPr>
                  <pic:blipFill rotWithShape="1">
                    <a:blip r:embed="rId12"/>
                    <a:srcRect t="3795" b="3521"/>
                    <a:stretch/>
                  </pic:blipFill>
                  <pic:spPr bwMode="auto">
                    <a:xfrm>
                      <a:off x="0" y="0"/>
                      <a:ext cx="5936235" cy="7947614"/>
                    </a:xfrm>
                    <a:prstGeom prst="rect">
                      <a:avLst/>
                    </a:prstGeom>
                    <a:ln>
                      <a:noFill/>
                    </a:ln>
                    <a:extLst>
                      <a:ext uri="{53640926-AAD7-44D8-BBD7-CCE9431645EC}">
                        <a14:shadowObscured xmlns:a14="http://schemas.microsoft.com/office/drawing/2010/main"/>
                      </a:ext>
                    </a:extLst>
                  </pic:spPr>
                </pic:pic>
              </a:graphicData>
            </a:graphic>
          </wp:inline>
        </w:drawing>
      </w:r>
    </w:p>
    <w:p w14:paraId="6301D126" w14:textId="77777777" w:rsidR="00010DA9" w:rsidRDefault="00010DA9" w:rsidP="006A2C63">
      <w:pPr>
        <w:rPr>
          <w:rFonts w:eastAsiaTheme="minorEastAsia"/>
          <w:b/>
          <w:bCs/>
        </w:rPr>
      </w:pPr>
    </w:p>
    <w:p w14:paraId="03CC7CB5" w14:textId="12252FC5" w:rsidR="00E75E4A" w:rsidRPr="00D77822" w:rsidRDefault="006A2C63" w:rsidP="009E303A">
      <w:pPr>
        <w:spacing w:line="360" w:lineRule="auto"/>
      </w:pPr>
      <w:r w:rsidRPr="00D77822">
        <w:rPr>
          <w:rFonts w:eastAsiaTheme="minorEastAsia"/>
          <w:b/>
          <w:bCs/>
        </w:rPr>
        <w:lastRenderedPageBreak/>
        <w:t xml:space="preserve">Supplementary Figure </w:t>
      </w:r>
      <w:r w:rsidR="00B47B26">
        <w:rPr>
          <w:b/>
          <w:bCs/>
        </w:rPr>
        <w:t>7</w:t>
      </w:r>
      <w:r w:rsidRPr="00D77822">
        <w:rPr>
          <w:b/>
          <w:bCs/>
        </w:rPr>
        <w:t>.</w:t>
      </w:r>
      <w:r w:rsidR="00237E67" w:rsidRPr="00D77822">
        <w:rPr>
          <w:b/>
          <w:bCs/>
        </w:rPr>
        <w:t xml:space="preserve"> </w:t>
      </w:r>
      <w:r w:rsidR="00BF124F" w:rsidRPr="00D77822">
        <w:rPr>
          <w:b/>
          <w:bCs/>
        </w:rPr>
        <w:t>Pathway Analysis</w:t>
      </w:r>
      <w:r w:rsidR="00D7087B" w:rsidRPr="00D77822">
        <w:rPr>
          <w:b/>
          <w:bCs/>
        </w:rPr>
        <w:t xml:space="preserve">. </w:t>
      </w:r>
      <w:r w:rsidRPr="00D77822">
        <w:rPr>
          <w:rFonts w:eastAsiaTheme="minorEastAsia"/>
          <w:b/>
          <w:bCs/>
        </w:rPr>
        <w:t>(A-C</w:t>
      </w:r>
      <w:r w:rsidR="00E75E4A" w:rsidRPr="00D77822">
        <w:rPr>
          <w:rFonts w:eastAsiaTheme="minorEastAsia"/>
          <w:b/>
          <w:bCs/>
        </w:rPr>
        <w:t>)</w:t>
      </w:r>
      <w:r w:rsidR="00E75E4A" w:rsidRPr="00D77822">
        <w:rPr>
          <w:rFonts w:eastAsiaTheme="minorEastAsia"/>
        </w:rPr>
        <w:t xml:space="preserve"> </w:t>
      </w:r>
      <w:r w:rsidRPr="00D77822">
        <w:rPr>
          <w:rFonts w:eastAsiaTheme="minorEastAsia"/>
        </w:rPr>
        <w:t xml:space="preserve">Dot </w:t>
      </w:r>
      <w:r w:rsidR="00E75E4A" w:rsidRPr="00D77822">
        <w:rPr>
          <w:rFonts w:eastAsiaTheme="minorEastAsia"/>
        </w:rPr>
        <w:t xml:space="preserve">and Tile </w:t>
      </w:r>
      <w:r w:rsidRPr="00D77822">
        <w:rPr>
          <w:rFonts w:eastAsiaTheme="minorEastAsia"/>
        </w:rPr>
        <w:t xml:space="preserve">plot illustrating shared pathways </w:t>
      </w:r>
      <w:r w:rsidR="00E75E4A" w:rsidRPr="00D77822">
        <w:rPr>
          <w:rFonts w:eastAsiaTheme="minorEastAsia"/>
        </w:rPr>
        <w:t xml:space="preserve">and </w:t>
      </w:r>
      <w:r w:rsidRPr="00D77822">
        <w:rPr>
          <w:rFonts w:eastAsiaTheme="minorEastAsia"/>
        </w:rPr>
        <w:t xml:space="preserve">across patients </w:t>
      </w:r>
      <w:r w:rsidR="00E75E4A" w:rsidRPr="00D77822">
        <w:rPr>
          <w:rFonts w:eastAsiaTheme="minorEastAsia"/>
        </w:rPr>
        <w:t xml:space="preserve">expressed genes (DEGs) within each pathway </w:t>
      </w:r>
      <w:r w:rsidRPr="00D77822">
        <w:rPr>
          <w:rFonts w:eastAsiaTheme="minorEastAsia"/>
        </w:rPr>
        <w:t xml:space="preserve">with Alzheimer’s disease (AD), Dementia with Lewy Bodies (DLB), Frontotemporal Dementia (FTD), and Parkinson’s disease (PD), categorized by Molecular Function, Cellular Component, and Biological Process. The pathways displayed represent the union of the top 10 most significant pathways for each disease, ordered by false discovery rate (FDR). The size of each dot corresponds to the number of genes identified in the respective pathway, while the color gradient reflects the level of FDR-corrected significance, with </w:t>
      </w:r>
      <w:r w:rsidR="00541830">
        <w:rPr>
          <w:rFonts w:eastAsiaTheme="minorEastAsia"/>
        </w:rPr>
        <w:t>lighter</w:t>
      </w:r>
      <w:r w:rsidRPr="00D77822">
        <w:rPr>
          <w:rFonts w:eastAsiaTheme="minorEastAsia"/>
        </w:rPr>
        <w:t xml:space="preserve"> colors indicating stronger statistical significance.</w:t>
      </w:r>
    </w:p>
    <w:p w14:paraId="4F225A4A" w14:textId="04AA5C88" w:rsidR="00C5257A" w:rsidRDefault="006A2C63" w:rsidP="00E75E4A">
      <w:pPr>
        <w:spacing w:after="160" w:line="278" w:lineRule="auto"/>
        <w:rPr>
          <w:rFonts w:ascii="Aptos" w:hAnsi="Aptos"/>
        </w:rPr>
      </w:pPr>
      <w:r w:rsidRPr="00010DA9">
        <w:rPr>
          <w:rFonts w:ascii="Aptos" w:hAnsi="Aptos"/>
        </w:rPr>
        <w:br w:type="page"/>
      </w:r>
    </w:p>
    <w:p w14:paraId="75519352" w14:textId="77777777" w:rsidR="00C5257A" w:rsidRPr="001900CC" w:rsidRDefault="00C5257A" w:rsidP="00C5257A">
      <w:pPr>
        <w:spacing w:after="160" w:line="278" w:lineRule="auto"/>
      </w:pPr>
      <w:r w:rsidRPr="00E342F4">
        <w:rPr>
          <w:noProof/>
        </w:rPr>
        <w:lastRenderedPageBreak/>
        <w:drawing>
          <wp:inline distT="0" distB="0" distL="0" distR="0" wp14:anchorId="34173CB3" wp14:editId="7A806A41">
            <wp:extent cx="5696955" cy="5602941"/>
            <wp:effectExtent l="0" t="0" r="5715" b="0"/>
            <wp:docPr id="162894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49989" name=""/>
                    <pic:cNvPicPr/>
                  </pic:nvPicPr>
                  <pic:blipFill rotWithShape="1">
                    <a:blip r:embed="rId13"/>
                    <a:srcRect t="21787" b="10128"/>
                    <a:stretch/>
                  </pic:blipFill>
                  <pic:spPr bwMode="auto">
                    <a:xfrm>
                      <a:off x="0" y="0"/>
                      <a:ext cx="5697220" cy="5603201"/>
                    </a:xfrm>
                    <a:prstGeom prst="rect">
                      <a:avLst/>
                    </a:prstGeom>
                    <a:ln>
                      <a:noFill/>
                    </a:ln>
                    <a:extLst>
                      <a:ext uri="{53640926-AAD7-44D8-BBD7-CCE9431645EC}">
                        <a14:shadowObscured xmlns:a14="http://schemas.microsoft.com/office/drawing/2010/main"/>
                      </a:ext>
                    </a:extLst>
                  </pic:spPr>
                </pic:pic>
              </a:graphicData>
            </a:graphic>
          </wp:inline>
        </w:drawing>
      </w:r>
    </w:p>
    <w:p w14:paraId="558D9844" w14:textId="37A65B2E" w:rsidR="00C5257A" w:rsidRPr="00D77822" w:rsidRDefault="00C5257A" w:rsidP="00C5257A">
      <w:pPr>
        <w:spacing w:after="160" w:line="360" w:lineRule="auto"/>
        <w:rPr>
          <w:rFonts w:eastAsiaTheme="minorEastAsia"/>
          <w:kern w:val="2"/>
          <w14:ligatures w14:val="standardContextual"/>
        </w:rPr>
      </w:pPr>
      <w:r w:rsidRPr="00D77822">
        <w:rPr>
          <w:rFonts w:eastAsiaTheme="minorEastAsia"/>
          <w:b/>
          <w:bCs/>
          <w:kern w:val="2"/>
          <w14:ligatures w14:val="standardContextual"/>
        </w:rPr>
        <w:t xml:space="preserve">Supplementary Figure </w:t>
      </w:r>
      <w:r w:rsidR="00B47B26">
        <w:rPr>
          <w:rFonts w:eastAsiaTheme="minorEastAsia"/>
          <w:b/>
          <w:bCs/>
          <w:kern w:val="2"/>
          <w14:ligatures w14:val="standardContextual"/>
        </w:rPr>
        <w:t>8</w:t>
      </w:r>
      <w:r w:rsidRPr="00D77822">
        <w:rPr>
          <w:rFonts w:eastAsiaTheme="minorEastAsia"/>
          <w:b/>
          <w:bCs/>
          <w:kern w:val="2"/>
          <w14:ligatures w14:val="standardContextual"/>
        </w:rPr>
        <w:t xml:space="preserve">. Correlation between multiple Alamar runs. </w:t>
      </w:r>
      <w:r w:rsidRPr="00C0370B">
        <w:rPr>
          <w:rFonts w:eastAsiaTheme="minorEastAsia"/>
          <w:b/>
          <w:bCs/>
          <w:kern w:val="2"/>
          <w14:ligatures w14:val="standardContextual"/>
        </w:rPr>
        <w:t>(</w:t>
      </w:r>
      <w:r>
        <w:rPr>
          <w:rFonts w:eastAsiaTheme="minorEastAsia"/>
          <w:b/>
          <w:bCs/>
          <w:kern w:val="2"/>
          <w14:ligatures w14:val="standardContextual"/>
        </w:rPr>
        <w:t>A)</w:t>
      </w:r>
      <w:r w:rsidRPr="00D77822">
        <w:rPr>
          <w:rFonts w:eastAsiaTheme="minorEastAsia"/>
          <w:kern w:val="2"/>
          <w14:ligatures w14:val="standardContextual"/>
        </w:rPr>
        <w:t xml:space="preserve"> The correlation distribution between Alamar Run 1 and Alamar Run 2 </w:t>
      </w:r>
      <w:r w:rsidRPr="00C0370B">
        <w:rPr>
          <w:rFonts w:eastAsiaTheme="minorEastAsia"/>
          <w:b/>
          <w:bCs/>
          <w:kern w:val="2"/>
          <w14:ligatures w14:val="standardContextual"/>
        </w:rPr>
        <w:t>(</w:t>
      </w:r>
      <w:r>
        <w:rPr>
          <w:rFonts w:eastAsiaTheme="minorEastAsia"/>
          <w:b/>
          <w:bCs/>
          <w:kern w:val="2"/>
          <w14:ligatures w14:val="standardContextual"/>
        </w:rPr>
        <w:t>B)</w:t>
      </w:r>
      <w:r w:rsidRPr="00D77822">
        <w:rPr>
          <w:rFonts w:eastAsiaTheme="minorEastAsia"/>
          <w:kern w:val="2"/>
          <w14:ligatures w14:val="standardContextual"/>
        </w:rPr>
        <w:t xml:space="preserve"> A comparison of correlations for each protein between EDTA vs. Sodium Citrate and Alamar Run 1 vs. Alamar Run 2 </w:t>
      </w:r>
      <w:r w:rsidRPr="00C0370B">
        <w:rPr>
          <w:rFonts w:eastAsiaTheme="minorEastAsia"/>
          <w:b/>
          <w:bCs/>
          <w:kern w:val="2"/>
          <w14:ligatures w14:val="standardContextual"/>
        </w:rPr>
        <w:t>(</w:t>
      </w:r>
      <w:r>
        <w:rPr>
          <w:rFonts w:eastAsiaTheme="minorEastAsia"/>
          <w:b/>
          <w:bCs/>
          <w:kern w:val="2"/>
          <w14:ligatures w14:val="standardContextual"/>
        </w:rPr>
        <w:t>C)</w:t>
      </w:r>
      <w:r w:rsidRPr="00D77822">
        <w:rPr>
          <w:rFonts w:eastAsiaTheme="minorEastAsia"/>
          <w:kern w:val="2"/>
          <w14:ligatures w14:val="standardContextual"/>
        </w:rPr>
        <w:t xml:space="preserve"> The relationship between correlation (</w:t>
      </w:r>
      <w:r w:rsidRPr="00780BB2">
        <w:rPr>
          <w:rFonts w:eastAsiaTheme="minorEastAsia"/>
          <w:i/>
          <w:iCs/>
          <w:kern w:val="2"/>
          <w14:ligatures w14:val="standardContextual"/>
        </w:rPr>
        <w:t>r</w:t>
      </w:r>
      <w:r w:rsidRPr="00D77822">
        <w:rPr>
          <w:rFonts w:eastAsiaTheme="minorEastAsia"/>
          <w:kern w:val="2"/>
          <w14:ligatures w14:val="standardContextual"/>
        </w:rPr>
        <w:t>) and interquartile range (IQR) across the four runs.</w:t>
      </w:r>
      <w:r>
        <w:rPr>
          <w:rFonts w:eastAsiaTheme="minorEastAsia"/>
          <w:kern w:val="2"/>
          <w14:ligatures w14:val="standardContextual"/>
        </w:rPr>
        <w:t xml:space="preserve"> </w:t>
      </w:r>
      <w:r>
        <w:rPr>
          <w:rFonts w:eastAsiaTheme="minorEastAsia"/>
          <w:b/>
          <w:bCs/>
          <w:kern w:val="2"/>
          <w14:ligatures w14:val="standardContextual"/>
        </w:rPr>
        <w:t>(D)</w:t>
      </w:r>
      <w:r w:rsidRPr="00D77822">
        <w:rPr>
          <w:rFonts w:eastAsiaTheme="minorEastAsia"/>
          <w:kern w:val="2"/>
          <w14:ligatures w14:val="standardContextual"/>
        </w:rPr>
        <w:t xml:space="preserve"> The correlation distribution between EDTA and Sodium Citrate</w:t>
      </w:r>
    </w:p>
    <w:p w14:paraId="2B26A590" w14:textId="516FB3BC" w:rsidR="006A2C63" w:rsidRPr="00010DA9" w:rsidRDefault="00C5257A" w:rsidP="00E75E4A">
      <w:pPr>
        <w:spacing w:after="160" w:line="278" w:lineRule="auto"/>
        <w:rPr>
          <w:rFonts w:ascii="Aptos" w:hAnsi="Aptos"/>
        </w:rPr>
      </w:pPr>
      <w:r>
        <w:rPr>
          <w:rFonts w:ascii="Aptos" w:hAnsi="Aptos"/>
        </w:rPr>
        <w:br w:type="page"/>
      </w:r>
    </w:p>
    <w:p w14:paraId="46A05B37" w14:textId="66EE1014" w:rsidR="006A2C63" w:rsidRDefault="00E0304E" w:rsidP="00E0304E">
      <w:pPr>
        <w:jc w:val="center"/>
      </w:pPr>
      <w:r>
        <w:rPr>
          <w:noProof/>
          <w14:ligatures w14:val="standardContextual"/>
        </w:rPr>
        <w:lastRenderedPageBreak/>
        <w:drawing>
          <wp:inline distT="0" distB="0" distL="0" distR="0" wp14:anchorId="753BE09E" wp14:editId="2B91E473">
            <wp:extent cx="5943600" cy="3917315"/>
            <wp:effectExtent l="0" t="0" r="0" b="0"/>
            <wp:docPr id="1824592967" name="Picture 1"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92967" name="Picture 1" descr="A collage of graph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17315"/>
                    </a:xfrm>
                    <a:prstGeom prst="rect">
                      <a:avLst/>
                    </a:prstGeom>
                  </pic:spPr>
                </pic:pic>
              </a:graphicData>
            </a:graphic>
          </wp:inline>
        </w:drawing>
      </w:r>
    </w:p>
    <w:p w14:paraId="4C80CCC9" w14:textId="77777777" w:rsidR="00D7087B" w:rsidRPr="00D77822" w:rsidRDefault="00D7087B" w:rsidP="006A2C63"/>
    <w:p w14:paraId="5E9038B5" w14:textId="0404B98C" w:rsidR="006A2C63" w:rsidRPr="00D77822" w:rsidRDefault="006A2C63" w:rsidP="009E303A">
      <w:pPr>
        <w:spacing w:line="360" w:lineRule="auto"/>
      </w:pPr>
      <w:r w:rsidRPr="00D77822">
        <w:rPr>
          <w:rFonts w:eastAsiaTheme="minorEastAsia"/>
          <w:b/>
          <w:bCs/>
        </w:rPr>
        <w:t xml:space="preserve">Supplementary Figure </w:t>
      </w:r>
      <w:r w:rsidR="00B47B26">
        <w:rPr>
          <w:b/>
          <w:bCs/>
        </w:rPr>
        <w:t>9</w:t>
      </w:r>
      <w:r w:rsidRPr="00D77822">
        <w:rPr>
          <w:b/>
          <w:bCs/>
        </w:rPr>
        <w:t>.</w:t>
      </w:r>
      <w:r w:rsidR="00237E67" w:rsidRPr="00D77822">
        <w:rPr>
          <w:b/>
          <w:bCs/>
        </w:rPr>
        <w:t xml:space="preserve"> </w:t>
      </w:r>
      <w:r w:rsidR="00BF124F" w:rsidRPr="00D77822">
        <w:rPr>
          <w:b/>
          <w:bCs/>
        </w:rPr>
        <w:t xml:space="preserve">Comparison of </w:t>
      </w:r>
      <w:r w:rsidR="009E1CC3">
        <w:rPr>
          <w:b/>
          <w:bCs/>
        </w:rPr>
        <w:t>NULISAseq</w:t>
      </w:r>
      <w:r w:rsidR="00BF124F" w:rsidRPr="00D77822">
        <w:rPr>
          <w:b/>
          <w:bCs/>
        </w:rPr>
        <w:t xml:space="preserve"> and Immunoassay Measurements</w:t>
      </w:r>
      <w:r w:rsidR="00D7087B" w:rsidRPr="00D77822">
        <w:rPr>
          <w:b/>
          <w:bCs/>
        </w:rPr>
        <w:t xml:space="preserve">. </w:t>
      </w:r>
      <w:r w:rsidRPr="00D77822">
        <w:rPr>
          <w:rFonts w:eastAsiaTheme="minorEastAsia"/>
        </w:rPr>
        <w:t>Scatter plots comp</w:t>
      </w:r>
      <w:r w:rsidRPr="009E1CC3">
        <w:rPr>
          <w:rFonts w:eastAsiaTheme="minorEastAsia"/>
        </w:rPr>
        <w:t xml:space="preserve">aring </w:t>
      </w:r>
      <w:r w:rsidR="009E1CC3" w:rsidRPr="009E1CC3">
        <w:t>NULISAseq</w:t>
      </w:r>
      <w:r w:rsidRPr="009E1CC3">
        <w:rPr>
          <w:rFonts w:eastAsiaTheme="minorEastAsia"/>
        </w:rPr>
        <w:t xml:space="preserve"> </w:t>
      </w:r>
      <w:r w:rsidRPr="00D77822">
        <w:rPr>
          <w:rFonts w:eastAsiaTheme="minorEastAsia"/>
        </w:rPr>
        <w:t>and immunoassay measurements in plasma for various biomarkers</w:t>
      </w:r>
      <w:r w:rsidR="009E1CC3">
        <w:rPr>
          <w:rFonts w:eastAsiaTheme="minorEastAsia"/>
        </w:rPr>
        <w:t>, with</w:t>
      </w:r>
      <w:r w:rsidRPr="00D77822">
        <w:rPr>
          <w:rFonts w:eastAsiaTheme="minorEastAsia"/>
        </w:rPr>
        <w:t xml:space="preserve"> Spearman correlation lines to highlight the strength of association. The specific biomarkers compared </w:t>
      </w:r>
      <w:r w:rsidRPr="00D77822">
        <w:t>are</w:t>
      </w:r>
      <w:r w:rsidRPr="00D77822">
        <w:rPr>
          <w:rFonts w:eastAsiaTheme="minorEastAsia"/>
        </w:rPr>
        <w:t xml:space="preserve"> </w:t>
      </w:r>
      <w:r w:rsidR="00780BB2" w:rsidRPr="00780BB2">
        <w:rPr>
          <w:rFonts w:eastAsiaTheme="minorEastAsia"/>
          <w:b/>
          <w:bCs/>
        </w:rPr>
        <w:t>(</w:t>
      </w:r>
      <w:r w:rsidRPr="00D77822">
        <w:rPr>
          <w:rFonts w:eastAsiaTheme="minorEastAsia"/>
          <w:b/>
          <w:bCs/>
        </w:rPr>
        <w:t>A</w:t>
      </w:r>
      <w:r w:rsidR="00780BB2">
        <w:rPr>
          <w:rFonts w:eastAsiaTheme="minorEastAsia"/>
          <w:b/>
          <w:bCs/>
        </w:rPr>
        <w:t>)</w:t>
      </w:r>
      <w:r w:rsidRPr="00D77822">
        <w:rPr>
          <w:rFonts w:eastAsiaTheme="minorEastAsia"/>
        </w:rPr>
        <w:t xml:space="preserve"> p</w:t>
      </w:r>
      <w:r w:rsidR="00B47B26">
        <w:rPr>
          <w:rFonts w:eastAsiaTheme="minorEastAsia"/>
        </w:rPr>
        <w:t>-t</w:t>
      </w:r>
      <w:r w:rsidRPr="00D77822">
        <w:rPr>
          <w:rFonts w:eastAsiaTheme="minorEastAsia"/>
        </w:rPr>
        <w:t>au</w:t>
      </w:r>
      <w:r w:rsidR="00B47B26">
        <w:rPr>
          <w:rFonts w:eastAsiaTheme="minorEastAsia"/>
        </w:rPr>
        <w:t>1</w:t>
      </w:r>
      <w:r w:rsidRPr="00D77822">
        <w:rPr>
          <w:rFonts w:eastAsiaTheme="minorEastAsia"/>
        </w:rPr>
        <w:t xml:space="preserve">81, </w:t>
      </w:r>
      <w:r w:rsidR="00780BB2" w:rsidRPr="00780BB2">
        <w:rPr>
          <w:rFonts w:eastAsiaTheme="minorEastAsia"/>
          <w:b/>
          <w:bCs/>
        </w:rPr>
        <w:t>(</w:t>
      </w:r>
      <w:r w:rsidRPr="00780BB2">
        <w:rPr>
          <w:rFonts w:eastAsiaTheme="minorEastAsia"/>
          <w:b/>
          <w:bCs/>
        </w:rPr>
        <w:t>B</w:t>
      </w:r>
      <w:r w:rsidR="00780BB2">
        <w:rPr>
          <w:rFonts w:eastAsiaTheme="minorEastAsia"/>
          <w:b/>
          <w:bCs/>
        </w:rPr>
        <w:t>)</w:t>
      </w:r>
      <w:r w:rsidRPr="00D77822">
        <w:rPr>
          <w:rFonts w:eastAsiaTheme="minorEastAsia"/>
        </w:rPr>
        <w:t xml:space="preserve"> A</w:t>
      </w:r>
      <w:r w:rsidRPr="00D77822">
        <w:rPr>
          <w:rFonts w:eastAsiaTheme="minorEastAsia"/>
          <w:lang w:val="el-GR"/>
        </w:rPr>
        <w:t>β42</w:t>
      </w:r>
      <w:r w:rsidRPr="00D77822">
        <w:rPr>
          <w:rFonts w:eastAsiaTheme="minorEastAsia"/>
        </w:rPr>
        <w:t xml:space="preserve">, </w:t>
      </w:r>
      <w:r w:rsidR="00780BB2" w:rsidRPr="00780BB2">
        <w:rPr>
          <w:rFonts w:eastAsiaTheme="minorEastAsia"/>
          <w:b/>
          <w:bCs/>
        </w:rPr>
        <w:t>(</w:t>
      </w:r>
      <w:r w:rsidRPr="00780BB2">
        <w:rPr>
          <w:rFonts w:eastAsiaTheme="minorEastAsia"/>
          <w:b/>
          <w:bCs/>
        </w:rPr>
        <w:t>C</w:t>
      </w:r>
      <w:r w:rsidR="00780BB2">
        <w:rPr>
          <w:rFonts w:eastAsiaTheme="minorEastAsia"/>
          <w:b/>
          <w:bCs/>
        </w:rPr>
        <w:t>)</w:t>
      </w:r>
      <w:r w:rsidRPr="00D77822">
        <w:rPr>
          <w:rFonts w:eastAsiaTheme="minorEastAsia"/>
        </w:rPr>
        <w:t xml:space="preserve"> A</w:t>
      </w:r>
      <w:r w:rsidRPr="00D77822">
        <w:rPr>
          <w:rFonts w:eastAsiaTheme="minorEastAsia"/>
          <w:lang w:val="el-GR"/>
        </w:rPr>
        <w:t>β4</w:t>
      </w:r>
      <w:r w:rsidRPr="00D77822">
        <w:rPr>
          <w:rFonts w:eastAsiaTheme="minorEastAsia"/>
        </w:rPr>
        <w:t xml:space="preserve">0, </w:t>
      </w:r>
      <w:r w:rsidR="00780BB2" w:rsidRPr="00780BB2">
        <w:rPr>
          <w:rFonts w:eastAsiaTheme="minorEastAsia"/>
          <w:b/>
          <w:bCs/>
        </w:rPr>
        <w:t>(</w:t>
      </w:r>
      <w:r w:rsidRPr="00780BB2">
        <w:rPr>
          <w:rFonts w:eastAsiaTheme="minorEastAsia"/>
          <w:b/>
          <w:bCs/>
        </w:rPr>
        <w:t>D</w:t>
      </w:r>
      <w:r w:rsidR="00780BB2">
        <w:rPr>
          <w:rFonts w:eastAsiaTheme="minorEastAsia"/>
          <w:b/>
          <w:bCs/>
        </w:rPr>
        <w:t>)</w:t>
      </w:r>
      <w:r w:rsidRPr="00D77822">
        <w:rPr>
          <w:rFonts w:eastAsiaTheme="minorEastAsia"/>
        </w:rPr>
        <w:t xml:space="preserve"> GFAP, and </w:t>
      </w:r>
      <w:r w:rsidR="00780BB2" w:rsidRPr="00780BB2">
        <w:rPr>
          <w:rFonts w:eastAsiaTheme="minorEastAsia"/>
          <w:b/>
          <w:bCs/>
        </w:rPr>
        <w:t>(E)</w:t>
      </w:r>
      <w:r w:rsidRPr="00D77822">
        <w:rPr>
          <w:rFonts w:eastAsiaTheme="minorEastAsia"/>
        </w:rPr>
        <w:t xml:space="preserve"> NFL. </w:t>
      </w:r>
    </w:p>
    <w:p w14:paraId="0E4A3AF4" w14:textId="7245D3E9" w:rsidR="006A2C63" w:rsidRDefault="006A2C63" w:rsidP="006A2C63"/>
    <w:p w14:paraId="3FB26840" w14:textId="454F1DEB" w:rsidR="000A43D6" w:rsidRDefault="006A2C63" w:rsidP="006A2C63">
      <w:pPr>
        <w:rPr>
          <w:rFonts w:ascii="Aptos" w:eastAsiaTheme="minorEastAsia" w:hAnsi="Aptos"/>
          <w:b/>
          <w:bCs/>
        </w:rPr>
      </w:pPr>
      <w:r>
        <w:br w:type="page"/>
      </w:r>
    </w:p>
    <w:p w14:paraId="19A7EFB8" w14:textId="11296746" w:rsidR="000A43D6" w:rsidRDefault="000A43D6" w:rsidP="009E303A">
      <w:pPr>
        <w:jc w:val="center"/>
        <w:rPr>
          <w:rFonts w:ascii="Aptos" w:eastAsiaTheme="minorEastAsia" w:hAnsi="Aptos"/>
          <w:b/>
          <w:bCs/>
        </w:rPr>
      </w:pPr>
      <w:r w:rsidRPr="000A43D6">
        <w:rPr>
          <w:rFonts w:ascii="Aptos" w:eastAsiaTheme="minorEastAsia" w:hAnsi="Aptos"/>
          <w:b/>
          <w:bCs/>
          <w:noProof/>
        </w:rPr>
        <w:lastRenderedPageBreak/>
        <w:drawing>
          <wp:inline distT="0" distB="0" distL="0" distR="0" wp14:anchorId="7C6B996E" wp14:editId="3FFBBDF8">
            <wp:extent cx="5595582" cy="5665694"/>
            <wp:effectExtent l="0" t="0" r="5715" b="0"/>
            <wp:docPr id="32894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46002" name=""/>
                    <pic:cNvPicPr/>
                  </pic:nvPicPr>
                  <pic:blipFill rotWithShape="1">
                    <a:blip r:embed="rId15"/>
                    <a:srcRect t="21811" b="8093"/>
                    <a:stretch/>
                  </pic:blipFill>
                  <pic:spPr bwMode="auto">
                    <a:xfrm>
                      <a:off x="0" y="0"/>
                      <a:ext cx="5602584" cy="5672783"/>
                    </a:xfrm>
                    <a:prstGeom prst="rect">
                      <a:avLst/>
                    </a:prstGeom>
                    <a:ln>
                      <a:noFill/>
                    </a:ln>
                    <a:extLst>
                      <a:ext uri="{53640926-AAD7-44D8-BBD7-CCE9431645EC}">
                        <a14:shadowObscured xmlns:a14="http://schemas.microsoft.com/office/drawing/2010/main"/>
                      </a:ext>
                    </a:extLst>
                  </pic:spPr>
                </pic:pic>
              </a:graphicData>
            </a:graphic>
          </wp:inline>
        </w:drawing>
      </w:r>
    </w:p>
    <w:p w14:paraId="52997E55" w14:textId="444EEE6D" w:rsidR="006A2C63" w:rsidRPr="00D77822" w:rsidRDefault="006A2C63" w:rsidP="009E303A">
      <w:pPr>
        <w:spacing w:line="360" w:lineRule="auto"/>
      </w:pPr>
      <w:r w:rsidRPr="00D77822">
        <w:rPr>
          <w:rFonts w:eastAsiaTheme="minorEastAsia"/>
          <w:b/>
          <w:bCs/>
        </w:rPr>
        <w:t xml:space="preserve">Supplementary Figure </w:t>
      </w:r>
      <w:r w:rsidRPr="00D77822">
        <w:rPr>
          <w:b/>
          <w:bCs/>
        </w:rPr>
        <w:t>1</w:t>
      </w:r>
      <w:r w:rsidR="00B47B26">
        <w:rPr>
          <w:b/>
          <w:bCs/>
        </w:rPr>
        <w:t>0</w:t>
      </w:r>
      <w:r w:rsidRPr="00D77822">
        <w:rPr>
          <w:b/>
          <w:bCs/>
        </w:rPr>
        <w:t>.</w:t>
      </w:r>
      <w:r w:rsidR="000A43D6" w:rsidRPr="00D77822">
        <w:rPr>
          <w:rFonts w:eastAsiaTheme="minorEastAsia"/>
          <w:color w:val="000000" w:themeColor="text1"/>
          <w:kern w:val="24"/>
          <w:sz w:val="30"/>
          <w:szCs w:val="30"/>
        </w:rPr>
        <w:t xml:space="preserve"> </w:t>
      </w:r>
      <w:r w:rsidR="00BF124F" w:rsidRPr="00D77822">
        <w:rPr>
          <w:b/>
          <w:bCs/>
        </w:rPr>
        <w:t xml:space="preserve">Comparison </w:t>
      </w:r>
      <w:r w:rsidR="000A43D6" w:rsidRPr="00D77822">
        <w:rPr>
          <w:b/>
          <w:bCs/>
        </w:rPr>
        <w:t xml:space="preserve">between </w:t>
      </w:r>
      <w:r w:rsidR="009E1CC3">
        <w:rPr>
          <w:b/>
          <w:bCs/>
        </w:rPr>
        <w:t>NULISAseq</w:t>
      </w:r>
      <w:r w:rsidR="000A43D6" w:rsidRPr="00D77822">
        <w:rPr>
          <w:b/>
          <w:bCs/>
        </w:rPr>
        <w:t xml:space="preserve"> and SomaScan</w:t>
      </w:r>
      <w:r w:rsidR="00D7087B" w:rsidRPr="00D77822">
        <w:rPr>
          <w:b/>
          <w:bCs/>
        </w:rPr>
        <w:t xml:space="preserve">. </w:t>
      </w:r>
      <w:r w:rsidR="000A43D6" w:rsidRPr="00D77822">
        <w:rPr>
          <w:b/>
          <w:bCs/>
        </w:rPr>
        <w:t xml:space="preserve">(A-F) </w:t>
      </w:r>
      <w:r w:rsidRPr="00D77822">
        <w:rPr>
          <w:rFonts w:eastAsiaTheme="minorEastAsia"/>
        </w:rPr>
        <w:t xml:space="preserve">Scatter plots displaying the correlations between Alamar and SomaScan measurements, along with their distribution in plasma, for various biomarkers. Each plot includes a Spearman correlation line to visualize the strength and direction of the relationship. The biomarkers analyzed </w:t>
      </w:r>
      <w:r w:rsidRPr="00D77822">
        <w:t>are</w:t>
      </w:r>
      <w:r w:rsidRPr="00D77822">
        <w:rPr>
          <w:rFonts w:eastAsiaTheme="minorEastAsia"/>
        </w:rPr>
        <w:t xml:space="preserve"> </w:t>
      </w:r>
      <w:r w:rsidR="00780BB2" w:rsidRPr="00780BB2">
        <w:rPr>
          <w:rFonts w:eastAsiaTheme="minorEastAsia"/>
          <w:b/>
          <w:bCs/>
        </w:rPr>
        <w:t>(</w:t>
      </w:r>
      <w:r w:rsidRPr="00780BB2">
        <w:rPr>
          <w:rFonts w:eastAsiaTheme="minorEastAsia"/>
          <w:b/>
          <w:bCs/>
        </w:rPr>
        <w:t>A</w:t>
      </w:r>
      <w:r w:rsidR="00780BB2" w:rsidRPr="00780BB2">
        <w:rPr>
          <w:rFonts w:eastAsiaTheme="minorEastAsia"/>
          <w:b/>
          <w:bCs/>
        </w:rPr>
        <w:t>)</w:t>
      </w:r>
      <w:r w:rsidRPr="00D77822">
        <w:rPr>
          <w:rFonts w:eastAsiaTheme="minorEastAsia"/>
        </w:rPr>
        <w:t xml:space="preserve"> TREM2 (X5635.66), </w:t>
      </w:r>
      <w:r w:rsidR="00780BB2" w:rsidRPr="00780BB2">
        <w:rPr>
          <w:rFonts w:eastAsiaTheme="minorEastAsia"/>
          <w:b/>
          <w:bCs/>
        </w:rPr>
        <w:t>(</w:t>
      </w:r>
      <w:r w:rsidRPr="00780BB2">
        <w:rPr>
          <w:rFonts w:eastAsiaTheme="minorEastAsia"/>
          <w:b/>
          <w:bCs/>
        </w:rPr>
        <w:t>B</w:t>
      </w:r>
      <w:r w:rsidR="00780BB2">
        <w:rPr>
          <w:rFonts w:eastAsiaTheme="minorEastAsia"/>
          <w:b/>
          <w:bCs/>
        </w:rPr>
        <w:t>)</w:t>
      </w:r>
      <w:r w:rsidRPr="00D77822">
        <w:rPr>
          <w:rFonts w:eastAsiaTheme="minorEastAsia"/>
        </w:rPr>
        <w:t xml:space="preserve"> TREM2 (X11851.21), </w:t>
      </w:r>
      <w:r w:rsidR="00780BB2" w:rsidRPr="00780BB2">
        <w:rPr>
          <w:rFonts w:eastAsiaTheme="minorEastAsia"/>
          <w:b/>
          <w:bCs/>
        </w:rPr>
        <w:t>(</w:t>
      </w:r>
      <w:r w:rsidRPr="00D77822">
        <w:rPr>
          <w:rFonts w:eastAsiaTheme="minorEastAsia"/>
          <w:b/>
          <w:bCs/>
        </w:rPr>
        <w:t>C</w:t>
      </w:r>
      <w:r w:rsidR="00780BB2">
        <w:rPr>
          <w:rFonts w:eastAsiaTheme="minorEastAsia"/>
          <w:b/>
          <w:bCs/>
        </w:rPr>
        <w:t>)</w:t>
      </w:r>
      <w:r w:rsidRPr="00D77822">
        <w:rPr>
          <w:rFonts w:eastAsiaTheme="minorEastAsia"/>
        </w:rPr>
        <w:t xml:space="preserve"> Neurogranin</w:t>
      </w:r>
      <w:r w:rsidR="00780BB2">
        <w:rPr>
          <w:rFonts w:eastAsiaTheme="minorEastAsia"/>
        </w:rPr>
        <w:t xml:space="preserve"> (X18303.39)</w:t>
      </w:r>
      <w:r w:rsidRPr="00D77822">
        <w:rPr>
          <w:rFonts w:eastAsiaTheme="minorEastAsia"/>
        </w:rPr>
        <w:t xml:space="preserve">, </w:t>
      </w:r>
      <w:r w:rsidR="00780BB2" w:rsidRPr="00780BB2">
        <w:rPr>
          <w:rFonts w:eastAsiaTheme="minorEastAsia"/>
          <w:b/>
          <w:bCs/>
        </w:rPr>
        <w:t>(</w:t>
      </w:r>
      <w:r w:rsidRPr="00D77822">
        <w:rPr>
          <w:rFonts w:eastAsiaTheme="minorEastAsia"/>
          <w:b/>
          <w:bCs/>
        </w:rPr>
        <w:t>D</w:t>
      </w:r>
      <w:r w:rsidR="00780BB2">
        <w:rPr>
          <w:rFonts w:eastAsiaTheme="minorEastAsia"/>
          <w:b/>
          <w:bCs/>
        </w:rPr>
        <w:t>)</w:t>
      </w:r>
      <w:r w:rsidRPr="00D77822">
        <w:rPr>
          <w:rFonts w:eastAsiaTheme="minorEastAsia"/>
        </w:rPr>
        <w:t xml:space="preserve"> TREM2 (X16300.4), </w:t>
      </w:r>
      <w:r w:rsidR="00780BB2" w:rsidRPr="00780BB2">
        <w:rPr>
          <w:rFonts w:eastAsiaTheme="minorEastAsia"/>
          <w:b/>
          <w:bCs/>
        </w:rPr>
        <w:t>(</w:t>
      </w:r>
      <w:r w:rsidRPr="00D77822">
        <w:rPr>
          <w:rFonts w:eastAsiaTheme="minorEastAsia"/>
          <w:b/>
          <w:bCs/>
        </w:rPr>
        <w:t>E</w:t>
      </w:r>
      <w:r w:rsidR="00780BB2">
        <w:rPr>
          <w:rFonts w:eastAsiaTheme="minorEastAsia"/>
          <w:b/>
          <w:bCs/>
        </w:rPr>
        <w:t>)</w:t>
      </w:r>
      <w:r w:rsidRPr="00D77822">
        <w:rPr>
          <w:rFonts w:eastAsiaTheme="minorEastAsia"/>
        </w:rPr>
        <w:t xml:space="preserve"> CHI3L1</w:t>
      </w:r>
      <w:r w:rsidR="00780BB2">
        <w:rPr>
          <w:rFonts w:eastAsiaTheme="minorEastAsia"/>
        </w:rPr>
        <w:t>(X11104.13)</w:t>
      </w:r>
      <w:r w:rsidRPr="00D77822">
        <w:rPr>
          <w:rFonts w:eastAsiaTheme="minorEastAsia"/>
        </w:rPr>
        <w:t xml:space="preserve">, and </w:t>
      </w:r>
      <w:r w:rsidR="00780BB2" w:rsidRPr="00780BB2">
        <w:rPr>
          <w:rFonts w:eastAsiaTheme="minorEastAsia"/>
          <w:b/>
          <w:bCs/>
        </w:rPr>
        <w:t>(</w:t>
      </w:r>
      <w:r w:rsidRPr="00780BB2">
        <w:rPr>
          <w:rFonts w:eastAsiaTheme="minorEastAsia"/>
          <w:b/>
          <w:bCs/>
        </w:rPr>
        <w:t>F</w:t>
      </w:r>
      <w:r w:rsidR="00780BB2">
        <w:rPr>
          <w:rFonts w:eastAsiaTheme="minorEastAsia"/>
          <w:b/>
          <w:bCs/>
        </w:rPr>
        <w:t>)</w:t>
      </w:r>
      <w:r w:rsidRPr="00D77822">
        <w:rPr>
          <w:rFonts w:eastAsiaTheme="minorEastAsia"/>
        </w:rPr>
        <w:t xml:space="preserve"> VSNL1</w:t>
      </w:r>
      <w:r w:rsidR="00780BB2">
        <w:rPr>
          <w:rFonts w:eastAsiaTheme="minorEastAsia"/>
        </w:rPr>
        <w:t>(X20197.14)</w:t>
      </w:r>
      <w:r w:rsidRPr="00D77822">
        <w:rPr>
          <w:rFonts w:eastAsiaTheme="minorEastAsia"/>
        </w:rPr>
        <w:t>. These scatter plots provide insights into the concordance of measurements across platforms for these plasma biomarkers.</w:t>
      </w:r>
      <w:r w:rsidR="000A43D6" w:rsidRPr="00D77822">
        <w:rPr>
          <w:rFonts w:eastAsiaTheme="minorEastAsia"/>
        </w:rPr>
        <w:t xml:space="preserve"> </w:t>
      </w:r>
      <w:r w:rsidR="000A43D6" w:rsidRPr="00D77822">
        <w:rPr>
          <w:rFonts w:eastAsiaTheme="minorEastAsia"/>
          <w:b/>
          <w:bCs/>
        </w:rPr>
        <w:t>(G)</w:t>
      </w:r>
      <w:r w:rsidR="000A43D6" w:rsidRPr="00D77822">
        <w:rPr>
          <w:rFonts w:eastAsiaTheme="minorEastAsia"/>
        </w:rPr>
        <w:t xml:space="preserve"> Correlation distribution between Alamar and SomaScan</w:t>
      </w:r>
    </w:p>
    <w:p w14:paraId="7D558663" w14:textId="61EEB093" w:rsidR="007C104B" w:rsidRDefault="007C104B"/>
    <w:sectPr w:rsidR="007C10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04B"/>
    <w:rsid w:val="000011D2"/>
    <w:rsid w:val="00010DA9"/>
    <w:rsid w:val="0001247A"/>
    <w:rsid w:val="00037FAD"/>
    <w:rsid w:val="00092480"/>
    <w:rsid w:val="000A43D6"/>
    <w:rsid w:val="00126514"/>
    <w:rsid w:val="00136087"/>
    <w:rsid w:val="00141161"/>
    <w:rsid w:val="001900CC"/>
    <w:rsid w:val="001D0B80"/>
    <w:rsid w:val="00235C36"/>
    <w:rsid w:val="00237E67"/>
    <w:rsid w:val="0027254F"/>
    <w:rsid w:val="00272BAE"/>
    <w:rsid w:val="00373570"/>
    <w:rsid w:val="00413020"/>
    <w:rsid w:val="00482436"/>
    <w:rsid w:val="00541830"/>
    <w:rsid w:val="0055474A"/>
    <w:rsid w:val="005759B3"/>
    <w:rsid w:val="00577374"/>
    <w:rsid w:val="005D122A"/>
    <w:rsid w:val="005F63B2"/>
    <w:rsid w:val="0060491B"/>
    <w:rsid w:val="00633766"/>
    <w:rsid w:val="00646FB3"/>
    <w:rsid w:val="006A0356"/>
    <w:rsid w:val="006A03BB"/>
    <w:rsid w:val="006A2C63"/>
    <w:rsid w:val="00724B87"/>
    <w:rsid w:val="00780BB2"/>
    <w:rsid w:val="007A071A"/>
    <w:rsid w:val="007B7F6B"/>
    <w:rsid w:val="007C104B"/>
    <w:rsid w:val="00851931"/>
    <w:rsid w:val="00857106"/>
    <w:rsid w:val="008719FB"/>
    <w:rsid w:val="008C0E78"/>
    <w:rsid w:val="008D3B08"/>
    <w:rsid w:val="008F51D1"/>
    <w:rsid w:val="0098316A"/>
    <w:rsid w:val="009D2679"/>
    <w:rsid w:val="009D2E98"/>
    <w:rsid w:val="009E1CC3"/>
    <w:rsid w:val="009E303A"/>
    <w:rsid w:val="00A44A3C"/>
    <w:rsid w:val="00A76C95"/>
    <w:rsid w:val="00AB4851"/>
    <w:rsid w:val="00AF41C8"/>
    <w:rsid w:val="00B21BDE"/>
    <w:rsid w:val="00B47B26"/>
    <w:rsid w:val="00B63600"/>
    <w:rsid w:val="00BF124F"/>
    <w:rsid w:val="00C0370B"/>
    <w:rsid w:val="00C250CA"/>
    <w:rsid w:val="00C5257A"/>
    <w:rsid w:val="00CE0BAF"/>
    <w:rsid w:val="00CF0F13"/>
    <w:rsid w:val="00CF6B8E"/>
    <w:rsid w:val="00D2015C"/>
    <w:rsid w:val="00D7087B"/>
    <w:rsid w:val="00D77822"/>
    <w:rsid w:val="00DB5DCC"/>
    <w:rsid w:val="00DC12AC"/>
    <w:rsid w:val="00E0304E"/>
    <w:rsid w:val="00E342F4"/>
    <w:rsid w:val="00E75E4A"/>
    <w:rsid w:val="00E85C39"/>
    <w:rsid w:val="00EB3028"/>
    <w:rsid w:val="00F10D25"/>
    <w:rsid w:val="00F231FD"/>
    <w:rsid w:val="00F43C12"/>
    <w:rsid w:val="00F61D01"/>
    <w:rsid w:val="00FE12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410CE"/>
  <w15:chartTrackingRefBased/>
  <w15:docId w15:val="{CD7BC764-F1F3-5A41-9DDF-16BD473CC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C63"/>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C104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C104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C104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C104B"/>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C104B"/>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C104B"/>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C104B"/>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C104B"/>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C104B"/>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0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10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10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10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10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10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0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0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04B"/>
    <w:rPr>
      <w:rFonts w:eastAsiaTheme="majorEastAsia" w:cstheme="majorBidi"/>
      <w:color w:val="272727" w:themeColor="text1" w:themeTint="D8"/>
    </w:rPr>
  </w:style>
  <w:style w:type="paragraph" w:styleId="Title">
    <w:name w:val="Title"/>
    <w:basedOn w:val="Normal"/>
    <w:next w:val="Normal"/>
    <w:link w:val="TitleChar"/>
    <w:uiPriority w:val="10"/>
    <w:qFormat/>
    <w:rsid w:val="007C104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C10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04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C10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04B"/>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C104B"/>
    <w:rPr>
      <w:i/>
      <w:iCs/>
      <w:color w:val="404040" w:themeColor="text1" w:themeTint="BF"/>
    </w:rPr>
  </w:style>
  <w:style w:type="paragraph" w:styleId="ListParagraph">
    <w:name w:val="List Paragraph"/>
    <w:basedOn w:val="Normal"/>
    <w:uiPriority w:val="34"/>
    <w:qFormat/>
    <w:rsid w:val="007C104B"/>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7C104B"/>
    <w:rPr>
      <w:i/>
      <w:iCs/>
      <w:color w:val="0F4761" w:themeColor="accent1" w:themeShade="BF"/>
    </w:rPr>
  </w:style>
  <w:style w:type="paragraph" w:styleId="IntenseQuote">
    <w:name w:val="Intense Quote"/>
    <w:basedOn w:val="Normal"/>
    <w:next w:val="Normal"/>
    <w:link w:val="IntenseQuoteChar"/>
    <w:uiPriority w:val="30"/>
    <w:qFormat/>
    <w:rsid w:val="007C104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C104B"/>
    <w:rPr>
      <w:i/>
      <w:iCs/>
      <w:color w:val="0F4761" w:themeColor="accent1" w:themeShade="BF"/>
    </w:rPr>
  </w:style>
  <w:style w:type="character" w:styleId="IntenseReference">
    <w:name w:val="Intense Reference"/>
    <w:basedOn w:val="DefaultParagraphFont"/>
    <w:uiPriority w:val="32"/>
    <w:qFormat/>
    <w:rsid w:val="007C104B"/>
    <w:rPr>
      <w:b/>
      <w:bCs/>
      <w:smallCaps/>
      <w:color w:val="0F4761" w:themeColor="accent1" w:themeShade="BF"/>
      <w:spacing w:val="5"/>
    </w:rPr>
  </w:style>
  <w:style w:type="character" w:styleId="CommentReference">
    <w:name w:val="annotation reference"/>
    <w:basedOn w:val="DefaultParagraphFont"/>
    <w:uiPriority w:val="99"/>
    <w:semiHidden/>
    <w:unhideWhenUsed/>
    <w:rsid w:val="006A03BB"/>
    <w:rPr>
      <w:sz w:val="16"/>
      <w:szCs w:val="16"/>
    </w:rPr>
  </w:style>
  <w:style w:type="paragraph" w:styleId="CommentText">
    <w:name w:val="annotation text"/>
    <w:basedOn w:val="Normal"/>
    <w:link w:val="CommentTextChar"/>
    <w:uiPriority w:val="99"/>
    <w:unhideWhenUsed/>
    <w:rsid w:val="006A03BB"/>
    <w:rPr>
      <w:sz w:val="20"/>
      <w:szCs w:val="20"/>
    </w:rPr>
  </w:style>
  <w:style w:type="character" w:customStyle="1" w:styleId="CommentTextChar">
    <w:name w:val="Comment Text Char"/>
    <w:basedOn w:val="DefaultParagraphFont"/>
    <w:link w:val="CommentText"/>
    <w:uiPriority w:val="99"/>
    <w:rsid w:val="006A03BB"/>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A03BB"/>
    <w:rPr>
      <w:b/>
      <w:bCs/>
    </w:rPr>
  </w:style>
  <w:style w:type="character" w:customStyle="1" w:styleId="CommentSubjectChar">
    <w:name w:val="Comment Subject Char"/>
    <w:basedOn w:val="CommentTextChar"/>
    <w:link w:val="CommentSubject"/>
    <w:uiPriority w:val="99"/>
    <w:semiHidden/>
    <w:rsid w:val="006A03BB"/>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semiHidden/>
    <w:unhideWhenUsed/>
    <w:rsid w:val="000A43D6"/>
    <w:pPr>
      <w:spacing w:before="100" w:beforeAutospacing="1" w:after="100" w:afterAutospacing="1"/>
    </w:pPr>
  </w:style>
  <w:style w:type="paragraph" w:styleId="Revision">
    <w:name w:val="Revision"/>
    <w:hidden/>
    <w:uiPriority w:val="99"/>
    <w:semiHidden/>
    <w:rsid w:val="00FE1255"/>
    <w:pPr>
      <w:spacing w:after="0"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33766"/>
    <w:rPr>
      <w:color w:val="467886" w:themeColor="hyperlink"/>
      <w:u w:val="single"/>
    </w:rPr>
  </w:style>
  <w:style w:type="character" w:customStyle="1" w:styleId="ManuscriptBodyChar">
    <w:name w:val="Manuscript Body Char"/>
    <w:basedOn w:val="DefaultParagraphFont"/>
    <w:link w:val="ManuscriptBody"/>
    <w:locked/>
    <w:rsid w:val="00633766"/>
    <w:rPr>
      <w:rFonts w:ascii="Times New Roman" w:eastAsia="Times New Roman" w:hAnsi="Times New Roman" w:cs="Times New Roman"/>
    </w:rPr>
  </w:style>
  <w:style w:type="paragraph" w:customStyle="1" w:styleId="ManuscriptBody">
    <w:name w:val="Manuscript Body"/>
    <w:basedOn w:val="Normal"/>
    <w:link w:val="ManuscriptBodyChar"/>
    <w:qFormat/>
    <w:rsid w:val="00633766"/>
    <w:pPr>
      <w:spacing w:before="120" w:after="120" w:line="480" w:lineRule="auto"/>
      <w:jc w:val="both"/>
    </w:pPr>
    <w:rPr>
      <w:kern w:val="2"/>
      <w14:ligatures w14:val="standardContextual"/>
    </w:rPr>
  </w:style>
  <w:style w:type="character" w:customStyle="1" w:styleId="eop">
    <w:name w:val="eop"/>
    <w:basedOn w:val="DefaultParagraphFont"/>
    <w:rsid w:val="00633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844143">
      <w:bodyDiv w:val="1"/>
      <w:marLeft w:val="0"/>
      <w:marRight w:val="0"/>
      <w:marTop w:val="0"/>
      <w:marBottom w:val="0"/>
      <w:divBdr>
        <w:top w:val="none" w:sz="0" w:space="0" w:color="auto"/>
        <w:left w:val="none" w:sz="0" w:space="0" w:color="auto"/>
        <w:bottom w:val="none" w:sz="0" w:space="0" w:color="auto"/>
        <w:right w:val="none" w:sz="0" w:space="0" w:color="auto"/>
      </w:divBdr>
    </w:div>
    <w:div w:id="192960468">
      <w:bodyDiv w:val="1"/>
      <w:marLeft w:val="0"/>
      <w:marRight w:val="0"/>
      <w:marTop w:val="0"/>
      <w:marBottom w:val="0"/>
      <w:divBdr>
        <w:top w:val="none" w:sz="0" w:space="0" w:color="auto"/>
        <w:left w:val="none" w:sz="0" w:space="0" w:color="auto"/>
        <w:bottom w:val="none" w:sz="0" w:space="0" w:color="auto"/>
        <w:right w:val="none" w:sz="0" w:space="0" w:color="auto"/>
      </w:divBdr>
    </w:div>
    <w:div w:id="626936028">
      <w:bodyDiv w:val="1"/>
      <w:marLeft w:val="0"/>
      <w:marRight w:val="0"/>
      <w:marTop w:val="0"/>
      <w:marBottom w:val="0"/>
      <w:divBdr>
        <w:top w:val="none" w:sz="0" w:space="0" w:color="auto"/>
        <w:left w:val="none" w:sz="0" w:space="0" w:color="auto"/>
        <w:bottom w:val="none" w:sz="0" w:space="0" w:color="auto"/>
        <w:right w:val="none" w:sz="0" w:space="0" w:color="auto"/>
      </w:divBdr>
    </w:div>
    <w:div w:id="867377676">
      <w:bodyDiv w:val="1"/>
      <w:marLeft w:val="0"/>
      <w:marRight w:val="0"/>
      <w:marTop w:val="0"/>
      <w:marBottom w:val="0"/>
      <w:divBdr>
        <w:top w:val="none" w:sz="0" w:space="0" w:color="auto"/>
        <w:left w:val="none" w:sz="0" w:space="0" w:color="auto"/>
        <w:bottom w:val="none" w:sz="0" w:space="0" w:color="auto"/>
        <w:right w:val="none" w:sz="0" w:space="0" w:color="auto"/>
      </w:divBdr>
    </w:div>
    <w:div w:id="993413007">
      <w:bodyDiv w:val="1"/>
      <w:marLeft w:val="0"/>
      <w:marRight w:val="0"/>
      <w:marTop w:val="0"/>
      <w:marBottom w:val="0"/>
      <w:divBdr>
        <w:top w:val="none" w:sz="0" w:space="0" w:color="auto"/>
        <w:left w:val="none" w:sz="0" w:space="0" w:color="auto"/>
        <w:bottom w:val="none" w:sz="0" w:space="0" w:color="auto"/>
        <w:right w:val="none" w:sz="0" w:space="0" w:color="auto"/>
      </w:divBdr>
    </w:div>
    <w:div w:id="1062219458">
      <w:bodyDiv w:val="1"/>
      <w:marLeft w:val="0"/>
      <w:marRight w:val="0"/>
      <w:marTop w:val="0"/>
      <w:marBottom w:val="0"/>
      <w:divBdr>
        <w:top w:val="none" w:sz="0" w:space="0" w:color="auto"/>
        <w:left w:val="none" w:sz="0" w:space="0" w:color="auto"/>
        <w:bottom w:val="none" w:sz="0" w:space="0" w:color="auto"/>
        <w:right w:val="none" w:sz="0" w:space="0" w:color="auto"/>
      </w:divBdr>
    </w:div>
    <w:div w:id="1087656675">
      <w:bodyDiv w:val="1"/>
      <w:marLeft w:val="0"/>
      <w:marRight w:val="0"/>
      <w:marTop w:val="0"/>
      <w:marBottom w:val="0"/>
      <w:divBdr>
        <w:top w:val="none" w:sz="0" w:space="0" w:color="auto"/>
        <w:left w:val="none" w:sz="0" w:space="0" w:color="auto"/>
        <w:bottom w:val="none" w:sz="0" w:space="0" w:color="auto"/>
        <w:right w:val="none" w:sz="0" w:space="0" w:color="auto"/>
      </w:divBdr>
    </w:div>
    <w:div w:id="1148277837">
      <w:bodyDiv w:val="1"/>
      <w:marLeft w:val="0"/>
      <w:marRight w:val="0"/>
      <w:marTop w:val="0"/>
      <w:marBottom w:val="0"/>
      <w:divBdr>
        <w:top w:val="none" w:sz="0" w:space="0" w:color="auto"/>
        <w:left w:val="none" w:sz="0" w:space="0" w:color="auto"/>
        <w:bottom w:val="none" w:sz="0" w:space="0" w:color="auto"/>
        <w:right w:val="none" w:sz="0" w:space="0" w:color="auto"/>
      </w:divBdr>
    </w:div>
    <w:div w:id="1339960751">
      <w:bodyDiv w:val="1"/>
      <w:marLeft w:val="0"/>
      <w:marRight w:val="0"/>
      <w:marTop w:val="0"/>
      <w:marBottom w:val="0"/>
      <w:divBdr>
        <w:top w:val="none" w:sz="0" w:space="0" w:color="auto"/>
        <w:left w:val="none" w:sz="0" w:space="0" w:color="auto"/>
        <w:bottom w:val="none" w:sz="0" w:space="0" w:color="auto"/>
        <w:right w:val="none" w:sz="0" w:space="0" w:color="auto"/>
      </w:divBdr>
    </w:div>
    <w:div w:id="1500660093">
      <w:bodyDiv w:val="1"/>
      <w:marLeft w:val="0"/>
      <w:marRight w:val="0"/>
      <w:marTop w:val="0"/>
      <w:marBottom w:val="0"/>
      <w:divBdr>
        <w:top w:val="none" w:sz="0" w:space="0" w:color="auto"/>
        <w:left w:val="none" w:sz="0" w:space="0" w:color="auto"/>
        <w:bottom w:val="none" w:sz="0" w:space="0" w:color="auto"/>
        <w:right w:val="none" w:sz="0" w:space="0" w:color="auto"/>
      </w:divBdr>
    </w:div>
    <w:div w:id="1722558269">
      <w:bodyDiv w:val="1"/>
      <w:marLeft w:val="0"/>
      <w:marRight w:val="0"/>
      <w:marTop w:val="0"/>
      <w:marBottom w:val="0"/>
      <w:divBdr>
        <w:top w:val="none" w:sz="0" w:space="0" w:color="auto"/>
        <w:left w:val="none" w:sz="0" w:space="0" w:color="auto"/>
        <w:bottom w:val="none" w:sz="0" w:space="0" w:color="auto"/>
        <w:right w:val="none" w:sz="0" w:space="0" w:color="auto"/>
      </w:divBdr>
    </w:div>
    <w:div w:id="1959793735">
      <w:bodyDiv w:val="1"/>
      <w:marLeft w:val="0"/>
      <w:marRight w:val="0"/>
      <w:marTop w:val="0"/>
      <w:marBottom w:val="0"/>
      <w:divBdr>
        <w:top w:val="none" w:sz="0" w:space="0" w:color="auto"/>
        <w:left w:val="none" w:sz="0" w:space="0" w:color="auto"/>
        <w:bottom w:val="none" w:sz="0" w:space="0" w:color="auto"/>
        <w:right w:val="none" w:sz="0" w:space="0" w:color="auto"/>
      </w:divBdr>
    </w:div>
    <w:div w:id="209158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cruchagac@wustl.edu" TargetMode="Externa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BD48E-A3E0-0C48-AC9C-4B44A688A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13</Pages>
  <Words>1268</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Gong</dc:creator>
  <cp:keywords/>
  <dc:description/>
  <cp:lastModifiedBy>Katherine Gong</cp:lastModifiedBy>
  <cp:revision>50</cp:revision>
  <dcterms:created xsi:type="dcterms:W3CDTF">2025-02-12T15:53:00Z</dcterms:created>
  <dcterms:modified xsi:type="dcterms:W3CDTF">2025-03-28T21:30:00Z</dcterms:modified>
</cp:coreProperties>
</file>