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3F8" w:rsidRDefault="00E733F8" w:rsidP="00E733F8">
      <w:pPr>
        <w:rPr>
          <w:rFonts w:ascii="Microsoft YaHei" w:eastAsia="Microsoft YaHei" w:hAnsi="Microsoft YaHei" w:cs="Microsoft YaHei" w:hint="eastAsia"/>
          <w:b/>
          <w:bCs/>
          <w:kern w:val="0"/>
          <w:sz w:val="22"/>
          <w:szCs w:val="32"/>
        </w:rPr>
      </w:pPr>
      <w:r>
        <w:rPr>
          <w:rFonts w:ascii="Microsoft YaHei" w:eastAsia="Microsoft YaHei" w:hAnsi="Microsoft YaHei" w:cs="Microsoft YaHei" w:hint="eastAsia"/>
          <w:b/>
          <w:bCs/>
          <w:kern w:val="0"/>
          <w:sz w:val="22"/>
          <w:szCs w:val="32"/>
        </w:rPr>
        <w:t>Supplementary Information</w:t>
      </w:r>
    </w:p>
    <w:p w:rsidR="00E733F8" w:rsidRDefault="00E733F8" w:rsidP="00E733F8">
      <w:pPr>
        <w:adjustRightInd w:val="0"/>
        <w:snapToGrid w:val="0"/>
        <w:rPr>
          <w:rFonts w:ascii="Microsoft YaHei" w:eastAsia="Microsoft YaHei" w:hAnsi="Microsoft YaHei" w:cs="Microsoft YaHei" w:hint="eastAsia"/>
          <w:b/>
          <w:bCs/>
          <w:sz w:val="24"/>
          <w:szCs w:val="32"/>
        </w:rPr>
      </w:pPr>
    </w:p>
    <w:tbl>
      <w:tblPr>
        <w:tblpPr w:leftFromText="180" w:rightFromText="180" w:vertAnchor="text" w:horzAnchor="page" w:tblpX="1922" w:tblpY="352"/>
        <w:tblOverlap w:val="never"/>
        <w:tblW w:w="10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6"/>
        <w:gridCol w:w="2414"/>
        <w:gridCol w:w="2996"/>
        <w:gridCol w:w="2354"/>
      </w:tblGrid>
      <w:tr w:rsidR="00E733F8" w:rsidTr="002F1272">
        <w:trPr>
          <w:trHeight w:val="317"/>
        </w:trPr>
        <w:tc>
          <w:tcPr>
            <w:tcW w:w="5350" w:type="dxa"/>
            <w:gridSpan w:val="2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           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MFC</w:t>
            </w:r>
          </w:p>
        </w:tc>
        <w:tc>
          <w:tcPr>
            <w:tcW w:w="5350" w:type="dxa"/>
            <w:gridSpan w:val="2"/>
          </w:tcPr>
          <w:p w:rsidR="00E733F8" w:rsidRDefault="00E733F8" w:rsidP="002F1272">
            <w:pPr>
              <w:adjustRightInd w:val="0"/>
              <w:snapToGrid w:val="0"/>
              <w:ind w:firstLineChars="700" w:firstLine="126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AGS</w:t>
            </w:r>
          </w:p>
        </w:tc>
      </w:tr>
      <w:tr w:rsidR="00E733F8" w:rsidTr="002F1272">
        <w:trPr>
          <w:trHeight w:val="365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Combination dose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CI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Combination dose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CI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μM+0.01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0.712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0.055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μM+0.01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1.091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0.171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μM+0.05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0.643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0.024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μM+0.05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0.796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0.103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0.843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0.044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μM+0.1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0.726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0.057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1.365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0.069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0.707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0.050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μM+2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1.378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0.054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μM+2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0.747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0.162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μM+5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2.385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0.360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40 μM+5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1.010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0.280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μM+0.01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0.692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0.032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μM+0.01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0.657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0.039</w:t>
            </w:r>
          </w:p>
        </w:tc>
      </w:tr>
      <w:tr w:rsidR="00E733F8" w:rsidTr="002F1272">
        <w:trPr>
          <w:trHeight w:val="313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μM+0.05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0.607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0.075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μM+0.05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0.703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0.037</w:t>
            </w:r>
          </w:p>
        </w:tc>
      </w:tr>
      <w:tr w:rsidR="00E733F8" w:rsidTr="002F1272">
        <w:trPr>
          <w:trHeight w:val="317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μM+0.1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0.694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0.002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μM+0.1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0.769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0.064</w:t>
            </w:r>
          </w:p>
        </w:tc>
      </w:tr>
      <w:tr w:rsidR="00E733F8" w:rsidTr="002F1272">
        <w:trPr>
          <w:trHeight w:val="322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μM+1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0.782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0.167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μM+1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0.919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0.005</w:t>
            </w:r>
          </w:p>
        </w:tc>
      </w:tr>
      <w:tr w:rsidR="00E733F8" w:rsidTr="002F1272">
        <w:trPr>
          <w:trHeight w:val="329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μM+2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0.956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0.278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μM+2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0.918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0.099</w:t>
            </w:r>
          </w:p>
        </w:tc>
      </w:tr>
      <w:tr w:rsidR="00E733F8" w:rsidTr="002F1272">
        <w:trPr>
          <w:trHeight w:val="313"/>
        </w:trPr>
        <w:tc>
          <w:tcPr>
            <w:tcW w:w="293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sz w:val="18"/>
                <w:szCs w:val="18"/>
                <w:vertAlign w:val="superscript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80 μM+5 MOI</w:t>
            </w:r>
          </w:p>
        </w:tc>
        <w:tc>
          <w:tcPr>
            <w:tcW w:w="241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sz w:val="18"/>
                <w:szCs w:val="18"/>
                <w:vertAlign w:val="superscript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1.524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0.484</w:t>
            </w:r>
          </w:p>
        </w:tc>
        <w:tc>
          <w:tcPr>
            <w:tcW w:w="2996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60 μM+5 MOI</w:t>
            </w:r>
          </w:p>
        </w:tc>
        <w:tc>
          <w:tcPr>
            <w:tcW w:w="2354" w:type="dxa"/>
          </w:tcPr>
          <w:p w:rsidR="00E733F8" w:rsidRDefault="00E733F8" w:rsidP="002F1272">
            <w:pPr>
              <w:adjustRightInd w:val="0"/>
              <w:snapToGrid w:val="0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1.187 </w:t>
            </w:r>
            <w:r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  <w:t>±</w:t>
            </w:r>
            <w:r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 xml:space="preserve"> 0.091</w:t>
            </w:r>
          </w:p>
        </w:tc>
      </w:tr>
    </w:tbl>
    <w:p w:rsidR="00E733F8" w:rsidRDefault="00E733F8" w:rsidP="00E733F8">
      <w:pPr>
        <w:rPr>
          <w:rFonts w:ascii="Microsoft YaHei" w:eastAsia="Microsoft YaHei" w:hAnsi="Microsoft YaHei" w:cs="Microsoft YaHei"/>
          <w:b/>
          <w:bCs/>
          <w:kern w:val="0"/>
          <w:sz w:val="22"/>
          <w:szCs w:val="32"/>
        </w:rPr>
      </w:pPr>
    </w:p>
    <w:p w:rsidR="00E733F8" w:rsidRDefault="00E733F8" w:rsidP="00E733F8">
      <w:pPr>
        <w:rPr>
          <w:rFonts w:ascii="Microsoft YaHei" w:eastAsia="Microsoft YaHei" w:hAnsi="Microsoft YaHei" w:cs="Microsoft YaHei"/>
          <w:b/>
          <w:bCs/>
          <w:kern w:val="0"/>
          <w:sz w:val="22"/>
          <w:szCs w:val="32"/>
        </w:rPr>
      </w:pPr>
    </w:p>
    <w:p w:rsidR="00E733F8" w:rsidRDefault="00E733F8" w:rsidP="00E733F8">
      <w:pPr>
        <w:rPr>
          <w:rFonts w:ascii="Microsoft YaHei" w:eastAsia="Microsoft YaHei" w:hAnsi="Microsoft YaHei" w:cs="Microsoft YaHei"/>
          <w:sz w:val="20"/>
          <w:szCs w:val="22"/>
        </w:rPr>
      </w:pPr>
      <w:bookmarkStart w:id="0" w:name="_GoBack"/>
      <w:bookmarkEnd w:id="0"/>
      <w:r>
        <w:rPr>
          <w:rFonts w:ascii="Microsoft YaHei" w:eastAsia="Microsoft YaHei" w:hAnsi="Microsoft YaHei" w:cs="Microsoft YaHei" w:hint="eastAsia"/>
          <w:b/>
          <w:bCs/>
          <w:kern w:val="0"/>
          <w:sz w:val="22"/>
          <w:szCs w:val="32"/>
        </w:rPr>
        <w:t xml:space="preserve">Supplementary Table 1. </w:t>
      </w:r>
      <w:r>
        <w:rPr>
          <w:rFonts w:ascii="Microsoft YaHei" w:eastAsia="Microsoft YaHei" w:hAnsi="Microsoft YaHei" w:cs="Microsoft YaHei" w:hint="eastAsia"/>
          <w:b/>
          <w:bCs/>
          <w:sz w:val="22"/>
          <w:szCs w:val="28"/>
        </w:rPr>
        <w:t>C</w:t>
      </w:r>
      <w:r>
        <w:rPr>
          <w:rFonts w:ascii="Microsoft YaHei" w:eastAsia="Microsoft YaHei" w:hAnsi="Microsoft YaHei" w:cs="Microsoft YaHei" w:hint="eastAsia"/>
          <w:b/>
          <w:bCs/>
          <w:sz w:val="20"/>
          <w:szCs w:val="22"/>
        </w:rPr>
        <w:t>ombination index (CI) values for propranolol and T1012G cotreatment for AGS and MFC gastric cancer cell lines.</w:t>
      </w:r>
      <w:r>
        <w:rPr>
          <w:rFonts w:ascii="Microsoft YaHei" w:eastAsia="Microsoft YaHei" w:hAnsi="Microsoft YaHei" w:cs="Microsoft YaHei"/>
          <w:b/>
          <w:bCs/>
          <w:sz w:val="20"/>
          <w:szCs w:val="22"/>
        </w:rPr>
        <w:t xml:space="preserve"> </w:t>
      </w:r>
      <w:r>
        <w:rPr>
          <w:rFonts w:ascii="Microsoft YaHei" w:eastAsia="Microsoft YaHei" w:hAnsi="Microsoft YaHei" w:cs="Microsoft YaHei" w:hint="eastAsia"/>
          <w:sz w:val="20"/>
          <w:szCs w:val="22"/>
        </w:rPr>
        <w:t>The CI value of combination models were measured by Chou-Talalay method (31).</w:t>
      </w:r>
    </w:p>
    <w:p w:rsidR="00E733F8" w:rsidRDefault="00E733F8" w:rsidP="00E733F8">
      <w:pPr>
        <w:rPr>
          <w:rFonts w:ascii="Microsoft YaHei" w:eastAsia="Microsoft YaHei" w:hAnsi="Microsoft YaHei" w:cs="Microsoft YaHei"/>
          <w:sz w:val="20"/>
          <w:szCs w:val="22"/>
        </w:rPr>
      </w:pPr>
    </w:p>
    <w:p w:rsidR="00E733F8" w:rsidRDefault="00E733F8" w:rsidP="00E733F8">
      <w:pPr>
        <w:rPr>
          <w:rFonts w:ascii="Microsoft YaHei" w:eastAsia="Microsoft YaHei" w:hAnsi="Microsoft YaHei" w:cs="Microsoft YaHei"/>
          <w:sz w:val="20"/>
          <w:szCs w:val="22"/>
        </w:rPr>
      </w:pPr>
    </w:p>
    <w:p w:rsidR="00E733F8" w:rsidRDefault="00E733F8" w:rsidP="00E733F8">
      <w:pPr>
        <w:rPr>
          <w:rFonts w:ascii="Microsoft YaHei" w:eastAsia="Microsoft YaHei" w:hAnsi="Microsoft YaHei" w:cs="Microsoft YaHei"/>
          <w:sz w:val="20"/>
          <w:szCs w:val="22"/>
        </w:rPr>
      </w:pPr>
    </w:p>
    <w:p w:rsidR="00E733F8" w:rsidRDefault="00E733F8" w:rsidP="00E733F8">
      <w:pPr>
        <w:rPr>
          <w:rFonts w:ascii="Microsoft YaHei" w:eastAsia="Microsoft YaHei" w:hAnsi="Microsoft YaHei" w:cs="Microsoft YaHei"/>
          <w:sz w:val="20"/>
          <w:szCs w:val="22"/>
        </w:rPr>
      </w:pPr>
    </w:p>
    <w:p w:rsidR="00E733F8" w:rsidRDefault="00E733F8" w:rsidP="00E733F8">
      <w:pPr>
        <w:rPr>
          <w:rFonts w:ascii="Microsoft YaHei" w:eastAsia="Microsoft YaHei" w:hAnsi="Microsoft YaHei" w:cs="Microsoft YaHei" w:hint="eastAsia"/>
          <w:sz w:val="20"/>
          <w:szCs w:val="22"/>
        </w:rPr>
      </w:pPr>
    </w:p>
    <w:p w:rsidR="00E733F8" w:rsidRDefault="00E733F8" w:rsidP="00E733F8">
      <w:pPr>
        <w:rPr>
          <w:rFonts w:ascii="Microsoft YaHei" w:eastAsia="Microsoft YaHei" w:hAnsi="Microsoft YaHei" w:cs="Microsoft YaHei" w:hint="eastAsia"/>
          <w:sz w:val="20"/>
          <w:szCs w:val="22"/>
        </w:rPr>
      </w:pPr>
      <w:r>
        <w:rPr>
          <w:rFonts w:ascii="Microsoft YaHei" w:eastAsia="Microsoft YaHei" w:hAnsi="Microsoft YaHei" w:cs="Microsoft YaHei" w:hint="eastAsia"/>
          <w:noProof/>
          <w:sz w:val="20"/>
          <w:szCs w:val="22"/>
          <w:lang w:eastAsia="en-US"/>
        </w:rPr>
        <w:lastRenderedPageBreak/>
        <w:drawing>
          <wp:inline distT="0" distB="0" distL="0" distR="0">
            <wp:extent cx="5276850" cy="3086100"/>
            <wp:effectExtent l="0" t="0" r="0" b="0"/>
            <wp:docPr id="1" name="Picture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3F8" w:rsidRDefault="00E733F8" w:rsidP="00E733F8">
      <w:pPr>
        <w:adjustRightInd w:val="0"/>
        <w:snapToGrid w:val="0"/>
        <w:rPr>
          <w:rFonts w:ascii="Microsoft YaHei" w:eastAsia="Microsoft YaHei" w:hAnsi="Microsoft YaHei" w:cs="Microsoft YaHei" w:hint="eastAsia"/>
          <w:sz w:val="20"/>
          <w:szCs w:val="20"/>
        </w:rPr>
      </w:pPr>
      <w:bookmarkStart w:id="1" w:name="OLE_LINK5"/>
      <w:r>
        <w:rPr>
          <w:rFonts w:ascii="Microsoft YaHei" w:eastAsia="Microsoft YaHei" w:hAnsi="Microsoft YaHei" w:cs="Microsoft YaHei" w:hint="eastAsia"/>
          <w:b/>
          <w:bCs/>
          <w:color w:val="000000"/>
          <w:sz w:val="22"/>
          <w:szCs w:val="28"/>
        </w:rPr>
        <w:t xml:space="preserve">Supplementary Figure </w:t>
      </w:r>
      <w:bookmarkEnd w:id="1"/>
      <w:r>
        <w:rPr>
          <w:rFonts w:ascii="Microsoft YaHei" w:eastAsia="Microsoft YaHei" w:hAnsi="Microsoft YaHei" w:cs="Microsoft YaHei" w:hint="eastAsia"/>
          <w:b/>
          <w:bCs/>
          <w:color w:val="000000"/>
          <w:sz w:val="22"/>
          <w:szCs w:val="28"/>
        </w:rPr>
        <w:t xml:space="preserve">1. </w:t>
      </w:r>
      <w:r>
        <w:rPr>
          <w:rFonts w:ascii="Microsoft YaHei" w:eastAsia="Microsoft YaHei" w:hAnsi="Microsoft YaHei" w:cs="Microsoft YaHei" w:hint="eastAsia"/>
          <w:b/>
          <w:bCs/>
          <w:sz w:val="22"/>
          <w:szCs w:val="28"/>
        </w:rPr>
        <w:t xml:space="preserve">Propranolol </w:t>
      </w:r>
      <w:r>
        <w:rPr>
          <w:rFonts w:ascii="Microsoft YaHei" w:eastAsia="Microsoft YaHei" w:hAnsi="Microsoft YaHei" w:cs="Microsoft YaHei"/>
          <w:b/>
          <w:bCs/>
          <w:sz w:val="22"/>
          <w:szCs w:val="28"/>
        </w:rPr>
        <w:t>pretreatmen</w:t>
      </w:r>
      <w:r>
        <w:rPr>
          <w:rFonts w:ascii="Microsoft YaHei" w:eastAsia="Microsoft YaHei" w:hAnsi="Microsoft YaHei" w:cs="Microsoft YaHei" w:hint="eastAsia"/>
          <w:b/>
          <w:bCs/>
          <w:sz w:val="22"/>
          <w:szCs w:val="28"/>
        </w:rPr>
        <w:t>t possessed no effect on the expression and activation of interferon responsive genes-STAT1, STAT2</w:t>
      </w:r>
      <w:r>
        <w:rPr>
          <w:rFonts w:ascii="Microsoft YaHei" w:eastAsia="Microsoft YaHei" w:hAnsi="Microsoft YaHei" w:cs="Microsoft YaHei" w:hint="eastAsia"/>
          <w:b/>
          <w:bCs/>
          <w:sz w:val="22"/>
          <w:szCs w:val="22"/>
        </w:rPr>
        <w:t xml:space="preserve">. </w:t>
      </w:r>
      <w:r>
        <w:rPr>
          <w:rFonts w:ascii="Microsoft YaHei" w:eastAsia="Microsoft YaHei" w:hAnsi="Microsoft YaHei" w:cs="Microsoft YaHei" w:hint="eastAsia"/>
          <w:b/>
          <w:bCs/>
          <w:sz w:val="20"/>
          <w:szCs w:val="20"/>
        </w:rPr>
        <w:t>(A, D)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The expression and phosphorylation of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i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nterferon responsive genes (STAT1 and STAT2 ) were </w:t>
      </w:r>
      <w:r>
        <w:rPr>
          <w:rFonts w:ascii="Microsoft YaHei" w:eastAsia="Microsoft YaHei" w:hAnsi="Microsoft YaHei" w:cs="Microsoft YaHei"/>
          <w:sz w:val="20"/>
          <w:szCs w:val="20"/>
        </w:rPr>
        <w:t>measured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at 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>0,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9 and 20 hours after 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T1012G treatment by 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western blotting. </w:t>
      </w:r>
      <w:r>
        <w:rPr>
          <w:rFonts w:ascii="Microsoft YaHei" w:eastAsia="Microsoft YaHei" w:hAnsi="Microsoft YaHei" w:cs="Microsoft YaHei" w:hint="eastAsia"/>
          <w:b/>
          <w:bCs/>
          <w:sz w:val="20"/>
          <w:szCs w:val="20"/>
        </w:rPr>
        <w:t xml:space="preserve">(B-C, E-F) </w:t>
      </w:r>
      <w:r>
        <w:rPr>
          <w:rFonts w:ascii="Microsoft YaHei" w:eastAsia="Microsoft YaHei" w:hAnsi="Microsoft YaHei" w:cs="Microsoft YaHei" w:hint="eastAsia"/>
          <w:sz w:val="20"/>
          <w:szCs w:val="20"/>
        </w:rPr>
        <w:t xml:space="preserve">Quantification of A, D. </w:t>
      </w:r>
      <w:r>
        <w:rPr>
          <w:rFonts w:ascii="Microsoft YaHei" w:eastAsia="Microsoft YaHei" w:hAnsi="Microsoft YaHei" w:cs="Microsoft YaHei" w:hint="eastAsia"/>
          <w:color w:val="000000"/>
          <w:sz w:val="20"/>
          <w:szCs w:val="20"/>
        </w:rPr>
        <w:t>Data are presented as mean±SEM.</w:t>
      </w:r>
    </w:p>
    <w:p w:rsidR="00E733F8" w:rsidRDefault="00E733F8" w:rsidP="00E733F8">
      <w:pPr>
        <w:adjustRightInd w:val="0"/>
        <w:snapToGrid w:val="0"/>
      </w:pPr>
    </w:p>
    <w:p w:rsidR="00B57F37" w:rsidRDefault="00E733F8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F8"/>
    <w:rsid w:val="00935206"/>
    <w:rsid w:val="00953E1B"/>
    <w:rsid w:val="00E733F8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03D15"/>
  <w15:chartTrackingRefBased/>
  <w15:docId w15:val="{DF827117-5935-41F2-98F4-2D265514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3F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2021-06-30T10:30:00Z</dcterms:created>
  <dcterms:modified xsi:type="dcterms:W3CDTF">2021-06-30T10:31:00Z</dcterms:modified>
</cp:coreProperties>
</file>