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3E4B" w:rsidRPr="007F3E4B" w:rsidRDefault="007F3E4B" w:rsidP="007F3E4B">
      <w:pPr>
        <w:rPr>
          <w:rFonts w:ascii="Times New Roman" w:hAnsi="Times New Roman" w:cs="Times New Roman"/>
          <w:sz w:val="20"/>
          <w:szCs w:val="20"/>
        </w:rPr>
      </w:pPr>
      <w:r w:rsidRPr="007F3E4B">
        <w:rPr>
          <w:rFonts w:ascii="Times New Roman" w:hAnsi="Times New Roman" w:cs="Times New Roman"/>
          <w:b/>
          <w:sz w:val="20"/>
          <w:szCs w:val="20"/>
        </w:rPr>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S1</w:t>
      </w:r>
      <w:r w:rsidRPr="007F3E4B">
        <w:rPr>
          <w:rFonts w:ascii="Times New Roman" w:hAnsi="Times New Roman" w:cs="Times New Roman"/>
          <w:sz w:val="20"/>
          <w:szCs w:val="20"/>
        </w:rPr>
        <w:t xml:space="preserve"> </w:t>
      </w:r>
      <w:r w:rsidRPr="007F3E4B">
        <w:rPr>
          <w:rFonts w:ascii="Times New Roman" w:hAnsi="Times New Roman" w:cs="Times New Roman"/>
          <w:b/>
          <w:sz w:val="20"/>
          <w:szCs w:val="20"/>
        </w:rPr>
        <w:t>Analyses of relative bacterial abundance and homogeneity.</w:t>
      </w:r>
      <w:r w:rsidRPr="007F3E4B">
        <w:rPr>
          <w:rFonts w:ascii="Times New Roman" w:hAnsi="Times New Roman" w:cs="Times New Roman"/>
          <w:sz w:val="20"/>
          <w:szCs w:val="20"/>
        </w:rPr>
        <w:t xml:space="preserve"> A, Species accumulation curves evaluate the number of sequences that might be needed to detect the additional ASVs. B, Evaluate rarefaction curves of relative bacterial abundance to determine if further sequencing can identify additional ASVs.</w:t>
      </w:r>
    </w:p>
    <w:p w:rsidR="007F3E4B" w:rsidRPr="007F3E4B" w:rsidRDefault="007F3E4B" w:rsidP="007F3E4B">
      <w:pPr>
        <w:ind w:leftChars="-472" w:left="-991"/>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Default="007F3E4B"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Pr="007F3E4B" w:rsidRDefault="009C4FA4" w:rsidP="007F3E4B">
      <w:pPr>
        <w:rPr>
          <w:rFonts w:ascii="Times New Roman" w:hAnsi="Times New Roman" w:cs="Times New Roman" w:hint="eastAsia"/>
          <w:sz w:val="20"/>
          <w:szCs w:val="20"/>
        </w:rPr>
      </w:pPr>
    </w:p>
    <w:p w:rsidR="007F3E4B" w:rsidRPr="007F3E4B" w:rsidRDefault="007F3E4B" w:rsidP="00E72C22">
      <w:pPr>
        <w:jc w:val="cente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r w:rsidRPr="007F3E4B">
        <w:rPr>
          <w:rFonts w:ascii="Times New Roman" w:hAnsi="Times New Roman" w:cs="Times New Roman"/>
          <w:b/>
          <w:sz w:val="20"/>
          <w:szCs w:val="20"/>
        </w:rPr>
        <w:lastRenderedPageBreak/>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S2 Analysis of the diversity of fecal microbial communities.</w:t>
      </w:r>
      <w:r w:rsidRPr="007F3E4B">
        <w:rPr>
          <w:rFonts w:ascii="Times New Roman" w:hAnsi="Times New Roman" w:cs="Times New Roman"/>
          <w:sz w:val="20"/>
          <w:szCs w:val="20"/>
        </w:rPr>
        <w:t xml:space="preserve"> Based on the Chao1 and Shannon indices, differences in species diversity were estimated among the Model, Control, and Treatment groups.</w:t>
      </w:r>
    </w:p>
    <w:p w:rsidR="007F3E4B" w:rsidRPr="007F3E4B" w:rsidRDefault="007F3E4B" w:rsidP="007F3E4B">
      <w:pPr>
        <w:jc w:val="cente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Default="007F3E4B"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Pr="007F3E4B" w:rsidRDefault="009C4FA4" w:rsidP="007F3E4B">
      <w:pPr>
        <w:rPr>
          <w:rFonts w:ascii="Times New Roman" w:hAnsi="Times New Roman" w:cs="Times New Roman" w:hint="eastAsia"/>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r w:rsidRPr="007F3E4B">
        <w:rPr>
          <w:rFonts w:ascii="Times New Roman" w:hAnsi="Times New Roman" w:cs="Times New Roman"/>
          <w:b/>
          <w:sz w:val="20"/>
          <w:szCs w:val="20"/>
        </w:rPr>
        <w:lastRenderedPageBreak/>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S3</w:t>
      </w:r>
      <w:r w:rsidRPr="007F3E4B">
        <w:rPr>
          <w:rFonts w:ascii="Times New Roman" w:hAnsi="Times New Roman" w:cs="Times New Roman"/>
          <w:sz w:val="20"/>
          <w:szCs w:val="20"/>
        </w:rPr>
        <w:t xml:space="preserve"> </w:t>
      </w:r>
      <w:r w:rsidRPr="007F3E4B">
        <w:rPr>
          <w:rFonts w:ascii="Times New Roman" w:hAnsi="Times New Roman" w:cs="Times New Roman"/>
          <w:b/>
          <w:sz w:val="20"/>
          <w:szCs w:val="20"/>
        </w:rPr>
        <w:t>Fecal metabolites for quantifying AOM/DSS-induced CAC mice.</w:t>
      </w:r>
      <w:r w:rsidRPr="007F3E4B">
        <w:rPr>
          <w:rFonts w:ascii="Times New Roman" w:hAnsi="Times New Roman" w:cs="Times New Roman"/>
          <w:sz w:val="20"/>
          <w:szCs w:val="20"/>
        </w:rPr>
        <w:t xml:space="preserve"> </w:t>
      </w:r>
    </w:p>
    <w:p w:rsidR="007F3E4B" w:rsidRPr="007F3E4B" w:rsidRDefault="007F3E4B" w:rsidP="007F3E4B">
      <w:pPr>
        <w:ind w:leftChars="-405" w:left="-850"/>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Default="007F3E4B"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Pr="007F3E4B" w:rsidRDefault="009C4FA4" w:rsidP="007F3E4B">
      <w:pPr>
        <w:rPr>
          <w:rFonts w:ascii="Times New Roman" w:hAnsi="Times New Roman" w:cs="Times New Roman" w:hint="eastAsia"/>
          <w:sz w:val="20"/>
          <w:szCs w:val="20"/>
        </w:rPr>
      </w:pPr>
    </w:p>
    <w:p w:rsidR="007F3E4B" w:rsidRPr="007F3E4B" w:rsidRDefault="007F3E4B" w:rsidP="00E72C22">
      <w:pPr>
        <w:jc w:val="cente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roofErr w:type="spellStart"/>
      <w:r w:rsidRPr="007F3E4B">
        <w:rPr>
          <w:rFonts w:ascii="Times New Roman" w:hAnsi="Times New Roman" w:cs="Times New Roman"/>
          <w:b/>
          <w:sz w:val="20"/>
          <w:szCs w:val="20"/>
        </w:rPr>
        <w:t>Supplymentary</w:t>
      </w:r>
      <w:proofErr w:type="spellEnd"/>
      <w:r w:rsidRPr="007F3E4B">
        <w:rPr>
          <w:rFonts w:ascii="Times New Roman" w:hAnsi="Times New Roman" w:cs="Times New Roman"/>
          <w:b/>
          <w:sz w:val="20"/>
          <w:szCs w:val="20"/>
        </w:rPr>
        <w:t xml:space="preserve">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S4 AOM/DSS-induced CAC mice feces DEMs analysis.</w:t>
      </w: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p>
    <w:p w:rsidR="007F3E4B" w:rsidRDefault="007F3E4B"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9C4FA4" w:rsidRDefault="009C4FA4" w:rsidP="007F3E4B">
      <w:pPr>
        <w:rPr>
          <w:rFonts w:ascii="Times New Roman" w:hAnsi="Times New Roman" w:cs="Times New Roman"/>
          <w:sz w:val="20"/>
          <w:szCs w:val="20"/>
        </w:rPr>
      </w:pPr>
    </w:p>
    <w:p w:rsidR="007F3E4B" w:rsidRPr="007F3E4B" w:rsidRDefault="007F3E4B" w:rsidP="007F3E4B">
      <w:pPr>
        <w:rPr>
          <w:rFonts w:ascii="Times New Roman" w:hAnsi="Times New Roman" w:cs="Times New Roman"/>
          <w:sz w:val="20"/>
          <w:szCs w:val="20"/>
        </w:rPr>
      </w:pPr>
      <w:r w:rsidRPr="007F3E4B">
        <w:rPr>
          <w:rFonts w:ascii="Times New Roman" w:hAnsi="Times New Roman" w:cs="Times New Roman"/>
          <w:b/>
          <w:sz w:val="20"/>
          <w:szCs w:val="20"/>
        </w:rPr>
        <w:lastRenderedPageBreak/>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S5</w:t>
      </w:r>
      <w:r w:rsidRPr="007F3E4B">
        <w:rPr>
          <w:rFonts w:ascii="Times New Roman" w:hAnsi="Times New Roman" w:cs="Times New Roman"/>
          <w:sz w:val="20"/>
          <w:szCs w:val="20"/>
        </w:rPr>
        <w:t xml:space="preserve"> </w:t>
      </w:r>
      <w:r w:rsidRPr="007F3E4B">
        <w:rPr>
          <w:rFonts w:ascii="Times New Roman" w:hAnsi="Times New Roman" w:cs="Times New Roman"/>
          <w:b/>
          <w:sz w:val="20"/>
          <w:szCs w:val="20"/>
        </w:rPr>
        <w:t xml:space="preserve">Expression patterns of </w:t>
      </w:r>
      <w:proofErr w:type="spellStart"/>
      <w:r w:rsidRPr="007F3E4B">
        <w:rPr>
          <w:rFonts w:ascii="Times New Roman" w:hAnsi="Times New Roman" w:cs="Times New Roman"/>
          <w:b/>
          <w:sz w:val="20"/>
          <w:szCs w:val="20"/>
        </w:rPr>
        <w:t>feacl</w:t>
      </w:r>
      <w:proofErr w:type="spellEnd"/>
      <w:r w:rsidRPr="007F3E4B">
        <w:rPr>
          <w:rFonts w:ascii="Times New Roman" w:hAnsi="Times New Roman" w:cs="Times New Roman"/>
          <w:b/>
          <w:sz w:val="20"/>
          <w:szCs w:val="20"/>
        </w:rPr>
        <w:t xml:space="preserve"> metabolites in three groups inferred by STEM analysis.</w:t>
      </w:r>
      <w:r w:rsidRPr="007F3E4B">
        <w:rPr>
          <w:rFonts w:ascii="Times New Roman" w:hAnsi="Times New Roman" w:cs="Times New Roman"/>
          <w:sz w:val="20"/>
          <w:szCs w:val="20"/>
        </w:rPr>
        <w:t xml:space="preserve"> Based on GC-MS analysis, 128 metabolites out of 326 fecal metabolites clustered in two models (A), including profile 1 (B) and profile 4 (C), although only 67 metabolites met our screening requirements. Based on LC-MS results, 4673 of 9549 fecal metabolites cluster significantly into four different models (D), including (E) profile 1, (F) profile 14, (G) profile 11 and (H) profile 4. Only 2634 metabolites in (E) profile 1 and (F) profile 14 met screening criteria.</w:t>
      </w:r>
    </w:p>
    <w:p w:rsidR="007F3E4B" w:rsidRPr="007F3E4B" w:rsidRDefault="007F3E4B" w:rsidP="007F3E4B">
      <w:pPr>
        <w:jc w:val="center"/>
        <w:rPr>
          <w:rFonts w:ascii="Times New Roman" w:hAnsi="Times New Roman" w:cs="Times New Roman"/>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Default="007F3E4B"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Pr="007F3E4B" w:rsidRDefault="009C4FA4" w:rsidP="007F3E4B">
      <w:pPr>
        <w:rPr>
          <w:rFonts w:ascii="Times New Roman" w:hAnsi="Times New Roman" w:cs="Times New Roman" w:hint="eastAsia"/>
          <w:b/>
          <w:sz w:val="20"/>
          <w:szCs w:val="20"/>
        </w:rPr>
      </w:pPr>
    </w:p>
    <w:p w:rsidR="007F3E4B" w:rsidRPr="007F3E4B" w:rsidRDefault="007F3E4B" w:rsidP="007F3E4B">
      <w:pPr>
        <w:rPr>
          <w:rFonts w:ascii="Times New Roman" w:hAnsi="Times New Roman" w:cs="Times New Roman"/>
          <w:b/>
          <w:sz w:val="20"/>
          <w:szCs w:val="20"/>
        </w:rPr>
      </w:pPr>
      <w:r w:rsidRPr="007F3E4B">
        <w:rPr>
          <w:rFonts w:ascii="Times New Roman" w:hAnsi="Times New Roman" w:cs="Times New Roman"/>
          <w:b/>
          <w:sz w:val="20"/>
          <w:szCs w:val="20"/>
        </w:rPr>
        <w:lastRenderedPageBreak/>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S6 Gene-metabolite (GC-MS) correlation network analyses in AOM/DSS-induced CAC mice following probiotic pretreatment.</w:t>
      </w: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E72C22" w:rsidRDefault="00E72C22"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b/>
          <w:sz w:val="20"/>
          <w:szCs w:val="20"/>
        </w:rPr>
      </w:pPr>
    </w:p>
    <w:p w:rsidR="009C4FA4" w:rsidRDefault="009C4FA4" w:rsidP="007F3E4B">
      <w:pPr>
        <w:rPr>
          <w:rFonts w:ascii="Times New Roman" w:hAnsi="Times New Roman" w:cs="Times New Roman" w:hint="eastAsia"/>
          <w:b/>
          <w:sz w:val="20"/>
          <w:szCs w:val="20"/>
        </w:rPr>
      </w:pPr>
      <w:bookmarkStart w:id="0" w:name="_GoBack"/>
      <w:bookmarkEnd w:id="0"/>
    </w:p>
    <w:p w:rsidR="007F3E4B" w:rsidRPr="007F3E4B" w:rsidRDefault="007F3E4B" w:rsidP="007F3E4B">
      <w:pPr>
        <w:rPr>
          <w:rFonts w:ascii="Times New Roman" w:hAnsi="Times New Roman" w:cs="Times New Roman"/>
          <w:b/>
          <w:sz w:val="20"/>
          <w:szCs w:val="20"/>
        </w:rPr>
      </w:pPr>
      <w:r w:rsidRPr="007F3E4B">
        <w:rPr>
          <w:rFonts w:ascii="Times New Roman" w:hAnsi="Times New Roman" w:cs="Times New Roman"/>
          <w:b/>
          <w:sz w:val="20"/>
          <w:szCs w:val="20"/>
        </w:rPr>
        <w:lastRenderedPageBreak/>
        <w:t xml:space="preserve">Supplementary </w:t>
      </w:r>
      <w:r w:rsidRPr="007F3E4B">
        <w:rPr>
          <w:rFonts w:ascii="Times New Roman" w:hAnsi="Times New Roman" w:cs="Times New Roman"/>
          <w:b/>
          <w:sz w:val="20"/>
          <w:szCs w:val="20"/>
        </w:rPr>
        <w:t>Fig.</w:t>
      </w:r>
      <w:r w:rsidRPr="007F3E4B">
        <w:rPr>
          <w:rFonts w:ascii="Times New Roman" w:hAnsi="Times New Roman" w:cs="Times New Roman"/>
          <w:b/>
          <w:sz w:val="20"/>
          <w:szCs w:val="20"/>
        </w:rPr>
        <w:t xml:space="preserve"> S7 Gene-metabolite (LC-MS) correlation network analyses in AOM/DSS-induced CAC mice following probiotic pretreatment.</w:t>
      </w: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7F3E4B" w:rsidRPr="007F3E4B" w:rsidRDefault="007F3E4B" w:rsidP="007F3E4B">
      <w:pPr>
        <w:rPr>
          <w:rFonts w:ascii="Times New Roman" w:hAnsi="Times New Roman" w:cs="Times New Roman"/>
          <w:b/>
          <w:sz w:val="20"/>
          <w:szCs w:val="20"/>
        </w:rPr>
      </w:pPr>
    </w:p>
    <w:p w:rsidR="00F13D8B" w:rsidRPr="007F3E4B" w:rsidRDefault="00F13D8B">
      <w:pPr>
        <w:rPr>
          <w:rFonts w:ascii="Times New Roman" w:hAnsi="Times New Roman" w:cs="Times New Roman" w:hint="eastAsia"/>
          <w:sz w:val="20"/>
          <w:szCs w:val="20"/>
        </w:rPr>
      </w:pPr>
    </w:p>
    <w:sectPr w:rsidR="00F13D8B" w:rsidRPr="007F3E4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6B8E" w:rsidRDefault="00246B8E" w:rsidP="007F3E4B">
      <w:r>
        <w:separator/>
      </w:r>
    </w:p>
  </w:endnote>
  <w:endnote w:type="continuationSeparator" w:id="0">
    <w:p w:rsidR="00246B8E" w:rsidRDefault="00246B8E" w:rsidP="007F3E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22" w:rsidRDefault="00E72C2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6B8E" w:rsidRDefault="00246B8E" w:rsidP="007F3E4B">
      <w:r>
        <w:separator/>
      </w:r>
    </w:p>
  </w:footnote>
  <w:footnote w:type="continuationSeparator" w:id="0">
    <w:p w:rsidR="00246B8E" w:rsidRDefault="00246B8E" w:rsidP="007F3E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22FB"/>
    <w:rsid w:val="00246B8E"/>
    <w:rsid w:val="00443C0D"/>
    <w:rsid w:val="007F3E4B"/>
    <w:rsid w:val="009C4FA4"/>
    <w:rsid w:val="00E72C22"/>
    <w:rsid w:val="00E922FB"/>
    <w:rsid w:val="00F13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E162F0"/>
  <w15:chartTrackingRefBased/>
  <w15:docId w15:val="{B3AF4272-58B6-4B8F-9BD8-E4E8C2AB5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3E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3E4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F3E4B"/>
    <w:rPr>
      <w:sz w:val="18"/>
      <w:szCs w:val="18"/>
    </w:rPr>
  </w:style>
  <w:style w:type="paragraph" w:styleId="a5">
    <w:name w:val="footer"/>
    <w:basedOn w:val="a"/>
    <w:link w:val="a6"/>
    <w:uiPriority w:val="99"/>
    <w:unhideWhenUsed/>
    <w:rsid w:val="007F3E4B"/>
    <w:pPr>
      <w:tabs>
        <w:tab w:val="center" w:pos="4153"/>
        <w:tab w:val="right" w:pos="8306"/>
      </w:tabs>
      <w:snapToGrid w:val="0"/>
      <w:jc w:val="left"/>
    </w:pPr>
    <w:rPr>
      <w:sz w:val="18"/>
      <w:szCs w:val="18"/>
    </w:rPr>
  </w:style>
  <w:style w:type="character" w:customStyle="1" w:styleId="a6">
    <w:name w:val="页脚 字符"/>
    <w:basedOn w:val="a0"/>
    <w:link w:val="a5"/>
    <w:uiPriority w:val="99"/>
    <w:rsid w:val="007F3E4B"/>
    <w:rPr>
      <w:sz w:val="18"/>
      <w:szCs w:val="18"/>
    </w:rPr>
  </w:style>
  <w:style w:type="character" w:styleId="a7">
    <w:name w:val="line number"/>
    <w:basedOn w:val="a0"/>
    <w:uiPriority w:val="99"/>
    <w:semiHidden/>
    <w:unhideWhenUsed/>
    <w:rsid w:val="00E72C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7</Pages>
  <Words>268</Words>
  <Characters>1534</Characters>
  <Application>Microsoft Office Word</Application>
  <DocSecurity>0</DocSecurity>
  <Lines>12</Lines>
  <Paragraphs>3</Paragraphs>
  <ScaleCrop>false</ScaleCrop>
  <Company>微软中国</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个人用户</cp:lastModifiedBy>
  <cp:revision>5</cp:revision>
  <dcterms:created xsi:type="dcterms:W3CDTF">2023-07-09T09:58:00Z</dcterms:created>
  <dcterms:modified xsi:type="dcterms:W3CDTF">2023-07-09T12:07:00Z</dcterms:modified>
</cp:coreProperties>
</file>