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2"/>
          <w:szCs w:val="22"/>
        </w:rPr>
      </w:pPr>
      <w:r w:rsidDel="00000000" w:rsidR="00000000" w:rsidRPr="00000000">
        <w:rPr>
          <w:b w:val="1"/>
          <w:sz w:val="22"/>
          <w:szCs w:val="22"/>
          <w:rtl w:val="0"/>
        </w:rPr>
        <w:t xml:space="preserve">Supplementary Table 1</w:t>
      </w:r>
      <w:r w:rsidDel="00000000" w:rsidR="00000000" w:rsidRPr="00000000">
        <w:rPr>
          <w:sz w:val="22"/>
          <w:szCs w:val="22"/>
          <w:rtl w:val="0"/>
        </w:rPr>
        <w:t xml:space="preserve"> – Marker genes corresponding to immune cell-types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2">
            <w:pPr>
              <w:rPr>
                <w:sz w:val="22"/>
                <w:szCs w:val="22"/>
              </w:rPr>
            </w:pPr>
            <w:r w:rsidDel="00000000" w:rsidR="00000000" w:rsidRPr="00000000">
              <w:rPr>
                <w:sz w:val="22"/>
                <w:szCs w:val="22"/>
                <w:rtl w:val="0"/>
              </w:rPr>
              <w:t xml:space="preserve">PBMC cell-type</w:t>
            </w:r>
          </w:p>
        </w:tc>
        <w:tc>
          <w:tcPr/>
          <w:p w:rsidR="00000000" w:rsidDel="00000000" w:rsidP="00000000" w:rsidRDefault="00000000" w:rsidRPr="00000000" w14:paraId="00000003">
            <w:pPr>
              <w:rPr>
                <w:sz w:val="22"/>
                <w:szCs w:val="22"/>
              </w:rPr>
            </w:pPr>
            <w:r w:rsidDel="00000000" w:rsidR="00000000" w:rsidRPr="00000000">
              <w:rPr>
                <w:sz w:val="22"/>
                <w:szCs w:val="22"/>
                <w:rtl w:val="0"/>
              </w:rPr>
              <w:t xml:space="preserve">Corresponding marker genes (genes with evidence for possible intermittent expression in parentheses)</w:t>
            </w:r>
          </w:p>
        </w:tc>
      </w:tr>
      <w:tr>
        <w:trPr>
          <w:cantSplit w:val="0"/>
          <w:tblHeader w:val="0"/>
        </w:trPr>
        <w:tc>
          <w:tcPr/>
          <w:p w:rsidR="00000000" w:rsidDel="00000000" w:rsidP="00000000" w:rsidRDefault="00000000" w:rsidRPr="00000000" w14:paraId="00000004">
            <w:pPr>
              <w:rPr>
                <w:sz w:val="22"/>
                <w:szCs w:val="22"/>
              </w:rPr>
            </w:pPr>
            <w:r w:rsidDel="00000000" w:rsidR="00000000" w:rsidRPr="00000000">
              <w:rPr>
                <w:sz w:val="22"/>
                <w:szCs w:val="22"/>
                <w:rtl w:val="0"/>
              </w:rPr>
              <w:t xml:space="preserve">Monocyte</w:t>
            </w:r>
          </w:p>
        </w:tc>
        <w:tc>
          <w:tcPr/>
          <w:p w:rsidR="00000000" w:rsidDel="00000000" w:rsidP="00000000" w:rsidRDefault="00000000" w:rsidRPr="00000000" w14:paraId="00000005">
            <w:pPr>
              <w:rPr>
                <w:sz w:val="22"/>
                <w:szCs w:val="22"/>
              </w:rPr>
            </w:pPr>
            <w:r w:rsidDel="00000000" w:rsidR="00000000" w:rsidRPr="00000000">
              <w:rPr>
                <w:sz w:val="22"/>
                <w:szCs w:val="22"/>
                <w:rtl w:val="0"/>
              </w:rPr>
              <w:t xml:space="preserve">LYZ, FCN1, CD14, SERPINA1, CD4 (BATF3)</w:t>
            </w:r>
          </w:p>
        </w:tc>
      </w:tr>
      <w:tr>
        <w:trPr>
          <w:cantSplit w:val="0"/>
          <w:tblHeader w:val="0"/>
        </w:trPr>
        <w:tc>
          <w:tcPr/>
          <w:p w:rsidR="00000000" w:rsidDel="00000000" w:rsidP="00000000" w:rsidRDefault="00000000" w:rsidRPr="00000000" w14:paraId="00000006">
            <w:pPr>
              <w:rPr>
                <w:sz w:val="22"/>
                <w:szCs w:val="22"/>
              </w:rPr>
            </w:pPr>
            <w:r w:rsidDel="00000000" w:rsidR="00000000" w:rsidRPr="00000000">
              <w:rPr>
                <w:sz w:val="22"/>
                <w:szCs w:val="22"/>
                <w:rtl w:val="0"/>
              </w:rPr>
              <w:t xml:space="preserve">Dendritic cell</w:t>
            </w:r>
          </w:p>
        </w:tc>
        <w:tc>
          <w:tcPr/>
          <w:p w:rsidR="00000000" w:rsidDel="00000000" w:rsidP="00000000" w:rsidRDefault="00000000" w:rsidRPr="00000000" w14:paraId="00000007">
            <w:pPr>
              <w:rPr>
                <w:sz w:val="22"/>
                <w:szCs w:val="22"/>
              </w:rPr>
            </w:pPr>
            <w:r w:rsidDel="00000000" w:rsidR="00000000" w:rsidRPr="00000000">
              <w:rPr>
                <w:sz w:val="22"/>
                <w:szCs w:val="22"/>
                <w:rtl w:val="0"/>
              </w:rPr>
              <w:t xml:space="preserve">CD4, LILRA4 (IGHM, LYZ, FCN1, SERPINA1, BATF3, SPON2)</w:t>
            </w:r>
          </w:p>
        </w:tc>
      </w:tr>
      <w:tr>
        <w:trPr>
          <w:cantSplit w:val="0"/>
          <w:tblHeader w:val="0"/>
        </w:trPr>
        <w:tc>
          <w:tcPr/>
          <w:p w:rsidR="00000000" w:rsidDel="00000000" w:rsidP="00000000" w:rsidRDefault="00000000" w:rsidRPr="00000000" w14:paraId="00000008">
            <w:pPr>
              <w:rPr>
                <w:sz w:val="22"/>
                <w:szCs w:val="22"/>
              </w:rPr>
            </w:pPr>
            <w:r w:rsidDel="00000000" w:rsidR="00000000" w:rsidRPr="00000000">
              <w:rPr>
                <w:sz w:val="22"/>
                <w:szCs w:val="22"/>
                <w:rtl w:val="0"/>
              </w:rPr>
              <w:t xml:space="preserve">B cell</w:t>
            </w:r>
          </w:p>
        </w:tc>
        <w:tc>
          <w:tcPr/>
          <w:p w:rsidR="00000000" w:rsidDel="00000000" w:rsidP="00000000" w:rsidRDefault="00000000" w:rsidRPr="00000000" w14:paraId="00000009">
            <w:pPr>
              <w:rPr>
                <w:sz w:val="22"/>
                <w:szCs w:val="22"/>
              </w:rPr>
            </w:pPr>
            <w:r w:rsidDel="00000000" w:rsidR="00000000" w:rsidRPr="00000000">
              <w:rPr>
                <w:sz w:val="22"/>
                <w:szCs w:val="22"/>
                <w:rtl w:val="0"/>
              </w:rPr>
              <w:t xml:space="preserve">PAX5, CD19, IGHM, IGHD, CD79a, EBF1, FCER2, CCR7</w:t>
            </w:r>
          </w:p>
        </w:tc>
      </w:tr>
      <w:tr>
        <w:trPr>
          <w:cantSplit w:val="0"/>
          <w:tblHeader w:val="0"/>
        </w:trPr>
        <w:tc>
          <w:tcPr/>
          <w:p w:rsidR="00000000" w:rsidDel="00000000" w:rsidP="00000000" w:rsidRDefault="00000000" w:rsidRPr="00000000" w14:paraId="0000000A">
            <w:pPr>
              <w:rPr>
                <w:sz w:val="22"/>
                <w:szCs w:val="22"/>
              </w:rPr>
            </w:pPr>
            <w:r w:rsidDel="00000000" w:rsidR="00000000" w:rsidRPr="00000000">
              <w:rPr>
                <w:sz w:val="22"/>
                <w:szCs w:val="22"/>
                <w:rtl w:val="0"/>
              </w:rPr>
              <w:t xml:space="preserve">NK cell</w:t>
            </w:r>
          </w:p>
        </w:tc>
        <w:tc>
          <w:tcPr/>
          <w:p w:rsidR="00000000" w:rsidDel="00000000" w:rsidP="00000000" w:rsidRDefault="00000000" w:rsidRPr="00000000" w14:paraId="0000000B">
            <w:pPr>
              <w:rPr>
                <w:sz w:val="22"/>
                <w:szCs w:val="22"/>
              </w:rPr>
            </w:pPr>
            <w:r w:rsidDel="00000000" w:rsidR="00000000" w:rsidRPr="00000000">
              <w:rPr>
                <w:sz w:val="22"/>
                <w:szCs w:val="22"/>
                <w:rtl w:val="0"/>
              </w:rPr>
              <w:t xml:space="preserve">GATA3, TBX21, IL32, KLRF1, EOMES, GLNY, SPON2 (CD3E, TRAC, CCR7)</w:t>
            </w:r>
          </w:p>
        </w:tc>
      </w:tr>
      <w:tr>
        <w:trPr>
          <w:cantSplit w:val="0"/>
          <w:tblHeader w:val="0"/>
        </w:trPr>
        <w:tc>
          <w:tcPr/>
          <w:p w:rsidR="00000000" w:rsidDel="00000000" w:rsidP="00000000" w:rsidRDefault="00000000" w:rsidRPr="00000000" w14:paraId="0000000C">
            <w:pPr>
              <w:rPr>
                <w:sz w:val="22"/>
                <w:szCs w:val="22"/>
              </w:rPr>
            </w:pPr>
            <w:r w:rsidDel="00000000" w:rsidR="00000000" w:rsidRPr="00000000">
              <w:rPr>
                <w:sz w:val="22"/>
                <w:szCs w:val="22"/>
                <w:rtl w:val="0"/>
              </w:rPr>
              <w:t xml:space="preserve">CD4 T cell</w:t>
            </w:r>
          </w:p>
        </w:tc>
        <w:tc>
          <w:tcPr/>
          <w:p w:rsidR="00000000" w:rsidDel="00000000" w:rsidP="00000000" w:rsidRDefault="00000000" w:rsidRPr="00000000" w14:paraId="0000000D">
            <w:pPr>
              <w:rPr>
                <w:sz w:val="22"/>
                <w:szCs w:val="22"/>
              </w:rPr>
            </w:pPr>
            <w:r w:rsidDel="00000000" w:rsidR="00000000" w:rsidRPr="00000000">
              <w:rPr>
                <w:sz w:val="22"/>
                <w:szCs w:val="22"/>
                <w:rtl w:val="0"/>
              </w:rPr>
              <w:t xml:space="preserve">CD3D, CD3E, CD3G, CD4, GATA3, IL32, TRAC, CCR7 (EOMES, GLNY)</w:t>
            </w:r>
          </w:p>
        </w:tc>
      </w:tr>
      <w:tr>
        <w:trPr>
          <w:cantSplit w:val="0"/>
          <w:tblHeader w:val="0"/>
        </w:trPr>
        <w:tc>
          <w:tcPr/>
          <w:p w:rsidR="00000000" w:rsidDel="00000000" w:rsidP="00000000" w:rsidRDefault="00000000" w:rsidRPr="00000000" w14:paraId="0000000E">
            <w:pPr>
              <w:rPr>
                <w:sz w:val="22"/>
                <w:szCs w:val="22"/>
              </w:rPr>
            </w:pPr>
            <w:r w:rsidDel="00000000" w:rsidR="00000000" w:rsidRPr="00000000">
              <w:rPr>
                <w:sz w:val="22"/>
                <w:szCs w:val="22"/>
                <w:rtl w:val="0"/>
              </w:rPr>
              <w:t xml:space="preserve">CD8 T cell</w:t>
            </w:r>
          </w:p>
        </w:tc>
        <w:tc>
          <w:tcPr/>
          <w:p w:rsidR="00000000" w:rsidDel="00000000" w:rsidP="00000000" w:rsidRDefault="00000000" w:rsidRPr="00000000" w14:paraId="0000000F">
            <w:pPr>
              <w:rPr>
                <w:sz w:val="22"/>
                <w:szCs w:val="22"/>
              </w:rPr>
            </w:pPr>
            <w:r w:rsidDel="00000000" w:rsidR="00000000" w:rsidRPr="00000000">
              <w:rPr>
                <w:sz w:val="22"/>
                <w:szCs w:val="22"/>
                <w:rtl w:val="0"/>
              </w:rPr>
              <w:t xml:space="preserve">CD3D, CD3E, CD3G, CD8B, GATA3, TBX21, IL32, TRAC, CCR7 (CD79a, EOMES, GLNY, SPON2)</w:t>
            </w:r>
          </w:p>
        </w:tc>
      </w:tr>
    </w:tbl>
    <w:p w:rsidR="00000000" w:rsidDel="00000000" w:rsidP="00000000" w:rsidRDefault="00000000" w:rsidRPr="00000000" w14:paraId="00000010">
      <w:pPr>
        <w:rPr>
          <w:sz w:val="22"/>
          <w:szCs w:val="22"/>
        </w:rPr>
      </w:pP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2">
            <w:pPr>
              <w:spacing w:line="276" w:lineRule="auto"/>
              <w:jc w:val="center"/>
              <w:rPr>
                <w:sz w:val="22"/>
                <w:szCs w:val="22"/>
              </w:rPr>
            </w:pPr>
            <w:r w:rsidDel="00000000" w:rsidR="00000000" w:rsidRPr="00000000">
              <w:rPr>
                <w:sz w:val="22"/>
                <w:szCs w:val="22"/>
              </w:rPr>
              <w:drawing>
                <wp:inline distB="0" distT="0" distL="0" distR="0">
                  <wp:extent cx="3615451" cy="4375623"/>
                  <wp:effectExtent b="0" l="0" r="0" t="0"/>
                  <wp:docPr id="200286599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15451" cy="437562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3">
            <w:pPr>
              <w:spacing w:line="276" w:lineRule="auto"/>
              <w:rPr>
                <w:sz w:val="22"/>
                <w:szCs w:val="22"/>
              </w:rPr>
            </w:pPr>
            <w:r w:rsidDel="00000000" w:rsidR="00000000" w:rsidRPr="00000000">
              <w:rPr>
                <w:b w:val="1"/>
                <w:sz w:val="22"/>
                <w:szCs w:val="22"/>
                <w:rtl w:val="0"/>
              </w:rPr>
              <w:t xml:space="preserve">Supplementary Figure 1</w:t>
            </w:r>
            <w:r w:rsidDel="00000000" w:rsidR="00000000" w:rsidRPr="00000000">
              <w:rPr>
                <w:sz w:val="22"/>
                <w:szCs w:val="22"/>
                <w:rtl w:val="0"/>
              </w:rPr>
              <w:t xml:space="preserve"> – Downsampling PBMC reads</w:t>
            </w:r>
          </w:p>
          <w:p w:rsidR="00000000" w:rsidDel="00000000" w:rsidP="00000000" w:rsidRDefault="00000000" w:rsidRPr="00000000" w14:paraId="00000014">
            <w:pPr>
              <w:spacing w:line="276" w:lineRule="auto"/>
              <w:rPr>
                <w:sz w:val="22"/>
                <w:szCs w:val="22"/>
              </w:rPr>
            </w:pPr>
            <w:r w:rsidDel="00000000" w:rsidR="00000000" w:rsidRPr="00000000">
              <w:rPr>
                <w:rtl w:val="0"/>
              </w:rPr>
            </w:r>
          </w:p>
          <w:p w:rsidR="00000000" w:rsidDel="00000000" w:rsidP="00000000" w:rsidRDefault="00000000" w:rsidRPr="00000000" w14:paraId="00000015">
            <w:pPr>
              <w:spacing w:line="276" w:lineRule="auto"/>
              <w:rPr>
                <w:sz w:val="22"/>
                <w:szCs w:val="22"/>
              </w:rPr>
            </w:pPr>
            <w:r w:rsidDel="00000000" w:rsidR="00000000" w:rsidRPr="00000000">
              <w:rPr>
                <w:sz w:val="22"/>
                <w:szCs w:val="22"/>
                <w:rtl w:val="0"/>
              </w:rPr>
              <w:t xml:space="preserve">We randomly downsampled the reads from a deeply sequenced (target of 110,000 reads per cell) PBMC dataset. This involved randomly deleting 50% or 75% of the reads from the original FASTQ file. The downsampled FASTQ files were then re-processed using Cellranger, along with the original FASTQ file, producing three filtered count matrices of the deduplicated UMI counts. We then processed each of these count matrices independently with HyperCell, recovering estimates of the transcriptome sizes for the measured cells. The distribution of estimates for each dataset for each cell-type are shown. The black vertical lines marking the 25% and 50% of the median transcriptome size estimate of the estimate for the count matrix that was not downsampled. We found that despite a large difference in the number of initial reads, the recovered estimates were similar, providing evidence that the model is able to find a stable optimum that is robust to experimental downsampling.</w:t>
            </w:r>
          </w:p>
        </w:tc>
      </w:tr>
    </w:tbl>
    <w:p w:rsidR="00000000" w:rsidDel="00000000" w:rsidP="00000000" w:rsidRDefault="00000000" w:rsidRPr="00000000" w14:paraId="00000016">
      <w:pPr>
        <w:spacing w:line="276" w:lineRule="auto"/>
        <w:rPr>
          <w:sz w:val="22"/>
          <w:szCs w:val="22"/>
        </w:rPr>
      </w:pPr>
      <w:r w:rsidDel="00000000" w:rsidR="00000000" w:rsidRPr="00000000">
        <w:rPr>
          <w:rtl w:val="0"/>
        </w:rPr>
      </w:r>
    </w:p>
    <w:p w:rsidR="00000000" w:rsidDel="00000000" w:rsidP="00000000" w:rsidRDefault="00000000" w:rsidRPr="00000000" w14:paraId="00000017">
      <w:pPr>
        <w:spacing w:line="276" w:lineRule="auto"/>
        <w:rPr>
          <w:sz w:val="22"/>
          <w:szCs w:val="22"/>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8">
            <w:pPr>
              <w:spacing w:line="276" w:lineRule="auto"/>
              <w:jc w:val="center"/>
              <w:rPr>
                <w:sz w:val="22"/>
                <w:szCs w:val="22"/>
              </w:rPr>
            </w:pPr>
            <w:r w:rsidDel="00000000" w:rsidR="00000000" w:rsidRPr="00000000">
              <w:rPr>
                <w:sz w:val="22"/>
                <w:szCs w:val="22"/>
              </w:rPr>
              <w:drawing>
                <wp:inline distB="0" distT="0" distL="0" distR="0">
                  <wp:extent cx="2445010" cy="1593696"/>
                  <wp:effectExtent b="0" l="0" r="0" t="0"/>
                  <wp:docPr id="200286599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45010" cy="1593696"/>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76" w:lineRule="auto"/>
              <w:jc w:val="center"/>
              <w:rPr>
                <w:sz w:val="22"/>
                <w:szCs w:val="22"/>
              </w:rPr>
            </w:pPr>
            <w:r w:rsidDel="00000000" w:rsidR="00000000" w:rsidRPr="00000000">
              <w:rPr>
                <w:sz w:val="22"/>
                <w:szCs w:val="22"/>
              </w:rPr>
              <w:drawing>
                <wp:inline distB="0" distT="0" distL="0" distR="0">
                  <wp:extent cx="4452045" cy="2990861"/>
                  <wp:effectExtent b="0" l="0" r="0" t="0"/>
                  <wp:docPr id="200286599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452045" cy="299086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A">
            <w:pPr>
              <w:spacing w:line="276" w:lineRule="auto"/>
              <w:rPr>
                <w:sz w:val="22"/>
                <w:szCs w:val="22"/>
              </w:rPr>
            </w:pPr>
            <w:r w:rsidDel="00000000" w:rsidR="00000000" w:rsidRPr="00000000">
              <w:rPr>
                <w:b w:val="1"/>
                <w:sz w:val="22"/>
                <w:szCs w:val="22"/>
                <w:rtl w:val="0"/>
              </w:rPr>
              <w:t xml:space="preserve">Supplementary Figure 2</w:t>
            </w:r>
            <w:r w:rsidDel="00000000" w:rsidR="00000000" w:rsidRPr="00000000">
              <w:rPr>
                <w:sz w:val="22"/>
                <w:szCs w:val="22"/>
                <w:rtl w:val="0"/>
              </w:rPr>
              <w:t xml:space="preserve"> – Spike-ins</w:t>
            </w:r>
          </w:p>
          <w:p w:rsidR="00000000" w:rsidDel="00000000" w:rsidP="00000000" w:rsidRDefault="00000000" w:rsidRPr="00000000" w14:paraId="0000001B">
            <w:pPr>
              <w:spacing w:line="276" w:lineRule="auto"/>
              <w:rPr>
                <w:sz w:val="22"/>
                <w:szCs w:val="22"/>
              </w:rPr>
            </w:pPr>
            <w:r w:rsidDel="00000000" w:rsidR="00000000" w:rsidRPr="00000000">
              <w:rPr>
                <w:sz w:val="22"/>
                <w:szCs w:val="22"/>
                <w:rtl w:val="0"/>
              </w:rPr>
              <w:t xml:space="preserve">A (top) – Distribution of counts for HEK cells with additional spike-in molecules, with raw (measured) counts in grey and estimated counts (gold). Top histogram is transcriptome size (cellular RNA only), and bottom histogram is of spike-in molecules only. The black vertical line marks the known amount of spike-in molecules added alongside each cell.</w:t>
            </w:r>
          </w:p>
          <w:p w:rsidR="00000000" w:rsidDel="00000000" w:rsidP="00000000" w:rsidRDefault="00000000" w:rsidRPr="00000000" w14:paraId="0000001C">
            <w:pPr>
              <w:spacing w:line="276" w:lineRule="auto"/>
              <w:rPr>
                <w:sz w:val="22"/>
                <w:szCs w:val="22"/>
              </w:rPr>
            </w:pPr>
            <w:r w:rsidDel="00000000" w:rsidR="00000000" w:rsidRPr="00000000">
              <w:rPr>
                <w:sz w:val="22"/>
                <w:szCs w:val="22"/>
                <w:rtl w:val="0"/>
              </w:rPr>
              <w:t xml:space="preserve">B (bottom) – Top row of scatterplots shows the association between total counts (left: measured, right: estimated) and the original read counts before deduplication of the UMIs. This relationship is partially a result of unwanted technical effects, and we observed that the estimated transcriptomes sizes have a weaker association with the read counts. Bottom row of scatterplots shows the association between the total counts (left: measured, right: estimated) and the measurement of cell diameter obtained during the cell sorting procedure. We found that our estimated transcriptome size had a stronger association with cell size, which aligns with the expectation of larger cells containing more RNA.</w:t>
            </w:r>
          </w:p>
        </w:tc>
      </w:tr>
    </w:tbl>
    <w:p w:rsidR="00000000" w:rsidDel="00000000" w:rsidP="00000000" w:rsidRDefault="00000000" w:rsidRPr="00000000" w14:paraId="0000001D">
      <w:pPr>
        <w:spacing w:line="276" w:lineRule="auto"/>
        <w:rPr>
          <w:sz w:val="22"/>
          <w:szCs w:val="22"/>
        </w:rPr>
      </w:pPr>
      <w:r w:rsidDel="00000000" w:rsidR="00000000" w:rsidRPr="00000000">
        <w:rPr>
          <w:rtl w:val="0"/>
        </w:rPr>
      </w:r>
    </w:p>
    <w:p w:rsidR="00000000" w:rsidDel="00000000" w:rsidP="00000000" w:rsidRDefault="00000000" w:rsidRPr="00000000" w14:paraId="0000001E">
      <w:pPr>
        <w:spacing w:line="276" w:lineRule="auto"/>
        <w:rPr>
          <w:sz w:val="22"/>
          <w:szCs w:val="22"/>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F">
            <w:pPr>
              <w:spacing w:line="276" w:lineRule="auto"/>
              <w:rPr>
                <w:sz w:val="22"/>
                <w:szCs w:val="22"/>
              </w:rPr>
            </w:pPr>
            <w:r w:rsidDel="00000000" w:rsidR="00000000" w:rsidRPr="00000000">
              <w:rPr>
                <w:sz w:val="22"/>
                <w:szCs w:val="22"/>
              </w:rPr>
              <w:drawing>
                <wp:inline distB="0" distT="0" distL="0" distR="0">
                  <wp:extent cx="5943600" cy="2044700"/>
                  <wp:effectExtent b="0" l="0" r="0" t="0"/>
                  <wp:docPr descr="A black background with white dots&#10;&#10;Description automatically generated" id="2002865997" name="image5.png"/>
                  <a:graphic>
                    <a:graphicData uri="http://schemas.openxmlformats.org/drawingml/2006/picture">
                      <pic:pic>
                        <pic:nvPicPr>
                          <pic:cNvPr descr="A black background with white dots&#10;&#10;Description automatically generated" id="0" name="image5.png"/>
                          <pic:cNvPicPr preferRelativeResize="0"/>
                        </pic:nvPicPr>
                        <pic:blipFill>
                          <a:blip r:embed="rId10"/>
                          <a:srcRect b="0" l="0" r="0" t="0"/>
                          <a:stretch>
                            <a:fillRect/>
                          </a:stretch>
                        </pic:blipFill>
                        <pic:spPr>
                          <a:xfrm>
                            <a:off x="0" y="0"/>
                            <a:ext cx="5943600" cy="20447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0">
            <w:pPr>
              <w:spacing w:line="276" w:lineRule="auto"/>
              <w:rPr>
                <w:sz w:val="22"/>
                <w:szCs w:val="22"/>
              </w:rPr>
            </w:pPr>
            <w:r w:rsidDel="00000000" w:rsidR="00000000" w:rsidRPr="00000000">
              <w:rPr>
                <w:b w:val="1"/>
                <w:sz w:val="22"/>
                <w:szCs w:val="22"/>
                <w:rtl w:val="0"/>
              </w:rPr>
              <w:t xml:space="preserve">Supplementary Figure 3</w:t>
            </w:r>
            <w:r w:rsidDel="00000000" w:rsidR="00000000" w:rsidRPr="00000000">
              <w:rPr>
                <w:sz w:val="22"/>
                <w:szCs w:val="22"/>
                <w:rtl w:val="0"/>
              </w:rPr>
              <w:t xml:space="preserve"> – Raw PBMC marker gene dotplot</w:t>
            </w:r>
          </w:p>
          <w:p w:rsidR="00000000" w:rsidDel="00000000" w:rsidP="00000000" w:rsidRDefault="00000000" w:rsidRPr="00000000" w14:paraId="00000021">
            <w:pPr>
              <w:spacing w:line="276" w:lineRule="auto"/>
              <w:rPr>
                <w:sz w:val="22"/>
                <w:szCs w:val="22"/>
              </w:rPr>
            </w:pPr>
            <w:r w:rsidDel="00000000" w:rsidR="00000000" w:rsidRPr="00000000">
              <w:rPr>
                <w:rtl w:val="0"/>
              </w:rPr>
            </w:r>
          </w:p>
          <w:p w:rsidR="00000000" w:rsidDel="00000000" w:rsidP="00000000" w:rsidRDefault="00000000" w:rsidRPr="00000000" w14:paraId="00000022">
            <w:pPr>
              <w:spacing w:line="276" w:lineRule="auto"/>
              <w:rPr>
                <w:sz w:val="22"/>
                <w:szCs w:val="22"/>
              </w:rPr>
            </w:pPr>
            <w:r w:rsidDel="00000000" w:rsidR="00000000" w:rsidRPr="00000000">
              <w:rPr>
                <w:sz w:val="22"/>
                <w:szCs w:val="22"/>
                <w:rtl w:val="0"/>
              </w:rPr>
              <w:t xml:space="preserve">Dotplot corresponding to the expression distribution across cell-types for the raw (measured) count matrix. The recovered counts are shown in Figure 2a, where we found that the cell-type specific pattern of marker gene expression is correctly preserved.</w:t>
            </w:r>
          </w:p>
        </w:tc>
      </w:tr>
    </w:tbl>
    <w:p w:rsidR="00000000" w:rsidDel="00000000" w:rsidP="00000000" w:rsidRDefault="00000000" w:rsidRPr="00000000" w14:paraId="00000023">
      <w:pPr>
        <w:spacing w:line="276" w:lineRule="auto"/>
        <w:rPr>
          <w:sz w:val="22"/>
          <w:szCs w:val="22"/>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24">
            <w:pPr>
              <w:spacing w:line="276" w:lineRule="auto"/>
              <w:rPr>
                <w:sz w:val="22"/>
                <w:szCs w:val="22"/>
              </w:rPr>
            </w:pPr>
            <w:r w:rsidDel="00000000" w:rsidR="00000000" w:rsidRPr="00000000">
              <w:rPr>
                <w:sz w:val="22"/>
                <w:szCs w:val="22"/>
              </w:rPr>
              <w:drawing>
                <wp:inline distB="0" distT="0" distL="0" distR="0">
                  <wp:extent cx="5943600" cy="7138670"/>
                  <wp:effectExtent b="0" l="0" r="0" t="0"/>
                  <wp:docPr id="200286599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713867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5">
            <w:pPr>
              <w:spacing w:line="276" w:lineRule="auto"/>
              <w:rPr>
                <w:sz w:val="22"/>
                <w:szCs w:val="22"/>
              </w:rPr>
            </w:pPr>
            <w:r w:rsidDel="00000000" w:rsidR="00000000" w:rsidRPr="00000000">
              <w:rPr>
                <w:b w:val="1"/>
                <w:sz w:val="22"/>
                <w:szCs w:val="22"/>
                <w:rtl w:val="0"/>
              </w:rPr>
              <w:t xml:space="preserve">Supplementary Figure 4</w:t>
            </w:r>
            <w:r w:rsidDel="00000000" w:rsidR="00000000" w:rsidRPr="00000000">
              <w:rPr>
                <w:sz w:val="22"/>
                <w:szCs w:val="22"/>
                <w:rtl w:val="0"/>
              </w:rPr>
              <w:t xml:space="preserve"> – Parkinson’s census full</w:t>
            </w:r>
          </w:p>
          <w:p w:rsidR="00000000" w:rsidDel="00000000" w:rsidP="00000000" w:rsidRDefault="00000000" w:rsidRPr="00000000" w14:paraId="00000026">
            <w:pPr>
              <w:spacing w:line="276" w:lineRule="auto"/>
              <w:rPr>
                <w:sz w:val="22"/>
                <w:szCs w:val="22"/>
              </w:rPr>
            </w:pPr>
            <w:r w:rsidDel="00000000" w:rsidR="00000000" w:rsidRPr="00000000">
              <w:rPr>
                <w:rtl w:val="0"/>
              </w:rPr>
            </w:r>
          </w:p>
          <w:p w:rsidR="00000000" w:rsidDel="00000000" w:rsidP="00000000" w:rsidRDefault="00000000" w:rsidRPr="00000000" w14:paraId="00000027">
            <w:pPr>
              <w:spacing w:line="276" w:lineRule="auto"/>
              <w:rPr>
                <w:sz w:val="22"/>
                <w:szCs w:val="22"/>
              </w:rPr>
            </w:pPr>
            <w:r w:rsidDel="00000000" w:rsidR="00000000" w:rsidRPr="00000000">
              <w:rPr>
                <w:sz w:val="22"/>
                <w:szCs w:val="22"/>
                <w:rtl w:val="0"/>
              </w:rPr>
              <w:t xml:space="preserve">The transcriptome census of the Parkinson’s dataset corresponding to Figure 3b, but with all cell-type subgroups present in the original study presented as separate distributions. Figure 3b combined the distributions for glial cells, however the transcriptome size distributions of the dopamine neurons, excitatory/inhibitory neurons, and oligodendrocytes are the same.</w:t>
            </w:r>
          </w:p>
        </w:tc>
      </w:tr>
    </w:tbl>
    <w:p w:rsidR="00000000" w:rsidDel="00000000" w:rsidP="00000000" w:rsidRDefault="00000000" w:rsidRPr="00000000" w14:paraId="00000028">
      <w:pPr>
        <w:spacing w:line="276" w:lineRule="auto"/>
        <w:rPr>
          <w:sz w:val="22"/>
          <w:szCs w:val="22"/>
        </w:rPr>
      </w:pPr>
      <w:r w:rsidDel="00000000" w:rsidR="00000000" w:rsidRPr="00000000">
        <w:rPr>
          <w:rtl w:val="0"/>
        </w:rPr>
      </w:r>
    </w:p>
    <w:p w:rsidR="00000000" w:rsidDel="00000000" w:rsidP="00000000" w:rsidRDefault="00000000" w:rsidRPr="00000000" w14:paraId="00000029">
      <w:pPr>
        <w:spacing w:line="276" w:lineRule="auto"/>
        <w:rPr>
          <w:sz w:val="22"/>
          <w:szCs w:val="22"/>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2A">
            <w:pPr>
              <w:spacing w:line="276" w:lineRule="auto"/>
              <w:jc w:val="center"/>
              <w:rPr>
                <w:sz w:val="22"/>
                <w:szCs w:val="22"/>
              </w:rPr>
            </w:pPr>
            <w:r w:rsidDel="00000000" w:rsidR="00000000" w:rsidRPr="00000000">
              <w:rPr>
                <w:sz w:val="22"/>
                <w:szCs w:val="22"/>
              </w:rPr>
              <w:drawing>
                <wp:inline distB="0" distT="0" distL="0" distR="0">
                  <wp:extent cx="4209335" cy="1931527"/>
                  <wp:effectExtent b="0" l="0" r="0" t="0"/>
                  <wp:docPr id="200286599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209335" cy="193152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76" w:lineRule="auto"/>
              <w:jc w:val="center"/>
              <w:rPr>
                <w:sz w:val="22"/>
                <w:szCs w:val="22"/>
              </w:rPr>
            </w:pPr>
            <w:r w:rsidDel="00000000" w:rsidR="00000000" w:rsidRPr="00000000">
              <w:rPr>
                <w:sz w:val="22"/>
                <w:szCs w:val="22"/>
              </w:rPr>
              <w:drawing>
                <wp:inline distB="0" distT="0" distL="0" distR="0">
                  <wp:extent cx="2755647" cy="4824152"/>
                  <wp:effectExtent b="0" l="0" r="0" t="0"/>
                  <wp:docPr id="200286599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755647" cy="482415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C">
            <w:pPr>
              <w:spacing w:line="276" w:lineRule="auto"/>
              <w:rPr>
                <w:sz w:val="22"/>
                <w:szCs w:val="22"/>
              </w:rPr>
            </w:pPr>
            <w:r w:rsidDel="00000000" w:rsidR="00000000" w:rsidRPr="00000000">
              <w:rPr>
                <w:b w:val="1"/>
                <w:sz w:val="22"/>
                <w:szCs w:val="22"/>
                <w:rtl w:val="0"/>
              </w:rPr>
              <w:t xml:space="preserve">Supplementary Figure 5</w:t>
            </w:r>
            <w:r w:rsidDel="00000000" w:rsidR="00000000" w:rsidRPr="00000000">
              <w:rPr>
                <w:sz w:val="22"/>
                <w:szCs w:val="22"/>
                <w:rtl w:val="0"/>
              </w:rPr>
              <w:t xml:space="preserve"> – Ghost DEG</w:t>
            </w:r>
          </w:p>
          <w:p w:rsidR="00000000" w:rsidDel="00000000" w:rsidP="00000000" w:rsidRDefault="00000000" w:rsidRPr="00000000" w14:paraId="0000002D">
            <w:pPr>
              <w:spacing w:line="276" w:lineRule="auto"/>
              <w:rPr>
                <w:sz w:val="22"/>
                <w:szCs w:val="22"/>
              </w:rPr>
            </w:pPr>
            <w:r w:rsidDel="00000000" w:rsidR="00000000" w:rsidRPr="00000000">
              <w:rPr>
                <w:sz w:val="22"/>
                <w:szCs w:val="22"/>
                <w:rtl w:val="0"/>
              </w:rPr>
              <w:t xml:space="preserve">Comparison between raw, HyperCell estimate, or pseudobulk differential expression results and differential expression results for bulk measurement (purified cell-type). We found that the estimated counts had an increased agreement with the bulk measurements, which are used as a groundtruth by (Squair et al., 2021).</w:t>
            </w:r>
          </w:p>
          <w:p w:rsidR="00000000" w:rsidDel="00000000" w:rsidP="00000000" w:rsidRDefault="00000000" w:rsidRPr="00000000" w14:paraId="0000002E">
            <w:pPr>
              <w:spacing w:line="276" w:lineRule="auto"/>
              <w:rPr>
                <w:sz w:val="22"/>
                <w:szCs w:val="22"/>
              </w:rPr>
            </w:pPr>
            <w:r w:rsidDel="00000000" w:rsidR="00000000" w:rsidRPr="00000000">
              <w:rPr>
                <w:sz w:val="22"/>
                <w:szCs w:val="22"/>
                <w:rtl w:val="0"/>
              </w:rPr>
              <w:t xml:space="preserve">A (top) – Association between single-cell and bulk differential expression log10 fold-change. Correlation is calculated only for significantly differentially expressed genes.</w:t>
            </w:r>
          </w:p>
          <w:p w:rsidR="00000000" w:rsidDel="00000000" w:rsidP="00000000" w:rsidRDefault="00000000" w:rsidRPr="00000000" w14:paraId="0000002F">
            <w:pPr>
              <w:spacing w:line="276" w:lineRule="auto"/>
              <w:rPr>
                <w:sz w:val="22"/>
                <w:szCs w:val="22"/>
              </w:rPr>
            </w:pPr>
            <w:r w:rsidDel="00000000" w:rsidR="00000000" w:rsidRPr="00000000">
              <w:rPr>
                <w:sz w:val="22"/>
                <w:szCs w:val="22"/>
                <w:rtl w:val="0"/>
              </w:rPr>
              <w:t xml:space="preserve">B (bottom) – Visualization of differential expression results for raw counts, HyperCell estimate, and bulk measurement. We found that the estimated counts corrected the unwanted </w:t>
            </w:r>
          </w:p>
        </w:tc>
      </w:tr>
    </w:tbl>
    <w:p w:rsidR="00000000" w:rsidDel="00000000" w:rsidP="00000000" w:rsidRDefault="00000000" w:rsidRPr="00000000" w14:paraId="00000030">
      <w:pPr>
        <w:spacing w:line="276" w:lineRule="auto"/>
        <w:rPr>
          <w:sz w:val="22"/>
          <w:szCs w:val="22"/>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290258"/>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290258"/>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290258"/>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290258"/>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290258"/>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290258"/>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290258"/>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90258"/>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90258"/>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90258"/>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90258"/>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290258"/>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90258"/>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90258"/>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9025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9025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9025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9025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290258"/>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29025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290258"/>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29025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90258"/>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290258"/>
    <w:rPr>
      <w:i w:val="1"/>
      <w:iCs w:val="1"/>
      <w:color w:val="404040" w:themeColor="text1" w:themeTint="0000BF"/>
    </w:rPr>
  </w:style>
  <w:style w:type="paragraph" w:styleId="ListParagraph">
    <w:name w:val="List Paragraph"/>
    <w:basedOn w:val="Normal"/>
    <w:uiPriority w:val="34"/>
    <w:qFormat w:val="1"/>
    <w:rsid w:val="00290258"/>
    <w:pPr>
      <w:ind w:left="720"/>
      <w:contextualSpacing w:val="1"/>
    </w:pPr>
  </w:style>
  <w:style w:type="character" w:styleId="IntenseEmphasis">
    <w:name w:val="Intense Emphasis"/>
    <w:basedOn w:val="DefaultParagraphFont"/>
    <w:uiPriority w:val="21"/>
    <w:qFormat w:val="1"/>
    <w:rsid w:val="00290258"/>
    <w:rPr>
      <w:i w:val="1"/>
      <w:iCs w:val="1"/>
      <w:color w:val="0f4761" w:themeColor="accent1" w:themeShade="0000BF"/>
    </w:rPr>
  </w:style>
  <w:style w:type="paragraph" w:styleId="IntenseQuote">
    <w:name w:val="Intense Quote"/>
    <w:basedOn w:val="Normal"/>
    <w:next w:val="Normal"/>
    <w:link w:val="IntenseQuoteChar"/>
    <w:uiPriority w:val="30"/>
    <w:qFormat w:val="1"/>
    <w:rsid w:val="0029025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90258"/>
    <w:rPr>
      <w:i w:val="1"/>
      <w:iCs w:val="1"/>
      <w:color w:val="0f4761" w:themeColor="accent1" w:themeShade="0000BF"/>
    </w:rPr>
  </w:style>
  <w:style w:type="character" w:styleId="IntenseReference">
    <w:name w:val="Intense Reference"/>
    <w:basedOn w:val="DefaultParagraphFont"/>
    <w:uiPriority w:val="32"/>
    <w:qFormat w:val="1"/>
    <w:rsid w:val="00290258"/>
    <w:rPr>
      <w:b w:val="1"/>
      <w:bCs w:val="1"/>
      <w:smallCaps w:val="1"/>
      <w:color w:val="0f4761" w:themeColor="accent1" w:themeShade="0000BF"/>
      <w:spacing w:val="5"/>
    </w:rPr>
  </w:style>
  <w:style w:type="table" w:styleId="TableGrid">
    <w:name w:val="Table Grid"/>
    <w:basedOn w:val="TableNormal"/>
    <w:uiPriority w:val="39"/>
    <w:rsid w:val="00130CA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7l8uUEtulTKY6ywhbPCtHxr//A==">CgMxLjA4AHIhMXAwbmcwLVhtNzRUYm5xbFY1RTlTODN1NnA1NDgtaVVv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2024-12-11T23:34:00Z</dcterms:created>
  <dc:creator>Liam Hodgson</dc:creator>
</cp:coreProperties>
</file>