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BC6486">
      <w:pPr>
        <w:spacing w:line="360" w:lineRule="auto"/>
        <w:rPr>
          <w:rFonts w:ascii="Times New Roman" w:hAnsi="Times New Roman" w:eastAsia="sans-serif" w:cs="sans-serif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</w:pPr>
      <w:bookmarkStart w:id="0" w:name="_GoBack"/>
      <w:r>
        <w:rPr>
          <w:rFonts w:ascii="Times New Roman" w:hAnsi="Times New Roman" w:eastAsia="sans-serif" w:cs="sans-serif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Supplemental information</w:t>
      </w:r>
    </w:p>
    <w:bookmarkEnd w:id="0"/>
    <w:p w14:paraId="683B8C8E">
      <w:pPr>
        <w:spacing w:line="360" w:lineRule="auto"/>
        <w:rPr>
          <w:rFonts w:ascii="Times New Roman" w:hAnsi="Times New Roman" w:eastAsia="sans-serif" w:cs="sans-serif"/>
          <w:b/>
          <w:bCs/>
          <w:i w:val="0"/>
          <w:iCs w:val="0"/>
          <w:caps w:val="0"/>
          <w:spacing w:val="0"/>
          <w:sz w:val="24"/>
          <w:szCs w:val="23"/>
          <w:shd w:val="clear" w:fill="FFFFFF"/>
        </w:rPr>
      </w:pPr>
    </w:p>
    <w:p w14:paraId="68D5698F">
      <w:pPr>
        <w:spacing w:line="360" w:lineRule="auto"/>
        <w:rPr>
          <w:rFonts w:hint="eastAsia" w:ascii="Times New Roman" w:hAnsi="Times New Roman" w:eastAsia="宋体" w:cs="sans-serif"/>
          <w:i w:val="0"/>
          <w:iCs w:val="0"/>
          <w:caps w:val="0"/>
          <w:spacing w:val="0"/>
          <w:sz w:val="24"/>
          <w:szCs w:val="23"/>
          <w:shd w:val="clear" w:fill="FFFFFF"/>
          <w:lang w:eastAsia="zh-CN"/>
        </w:rPr>
      </w:pPr>
      <w:r>
        <w:rPr>
          <w:rFonts w:hint="eastAsia" w:ascii="Times New Roman" w:hAnsi="Times New Roman" w:eastAsia="宋体" w:cs="sans-serif"/>
          <w:i w:val="0"/>
          <w:iCs w:val="0"/>
          <w:caps w:val="0"/>
          <w:spacing w:val="0"/>
          <w:sz w:val="24"/>
          <w:szCs w:val="23"/>
          <w:shd w:val="clear" w:fill="FFFFFF"/>
          <w:lang w:eastAsia="zh-CN"/>
        </w:rPr>
        <w:drawing>
          <wp:inline distT="0" distB="0" distL="114300" distR="114300">
            <wp:extent cx="5269230" cy="2941955"/>
            <wp:effectExtent l="0" t="0" r="7620" b="1079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38D6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sz w:val="24"/>
        </w:rPr>
      </w:pPr>
      <w:r>
        <w:rPr>
          <w:rStyle w:val="5"/>
          <w:rFonts w:ascii="Times New Roman" w:hAnsi="Times New Roman"/>
          <w:sz w:val="24"/>
        </w:rPr>
        <w:t>Figure S1. High expression of IRF1 in gastric cancer tissues based on TCGA and GTEx databases</w:t>
      </w:r>
    </w:p>
    <w:p w14:paraId="0AF48919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A:</w:t>
      </w:r>
      <w:r>
        <w:rPr>
          <w:rFonts w:ascii="Times New Roman" w:hAnsi="Times New Roman"/>
          <w:b w:val="0"/>
          <w:bCs/>
          <w:sz w:val="24"/>
        </w:rPr>
        <w:t xml:space="preserve"> Mutation status of the IRF1 gene in different tissue sources from the cBioPortal database, including gene point mutations (dark green), structural variations (purple), copy number amplifications (red), and deletions (blue).</w:t>
      </w:r>
    </w:p>
    <w:p w14:paraId="3E96A92E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B:</w:t>
      </w:r>
      <w:r>
        <w:rPr>
          <w:rFonts w:ascii="Times New Roman" w:hAnsi="Times New Roman"/>
          <w:b w:val="0"/>
          <w:bCs/>
          <w:sz w:val="24"/>
        </w:rPr>
        <w:t xml:space="preserve"> Three-dimensional structure of IRF1 and common SNP mutation sites.</w:t>
      </w:r>
    </w:p>
    <w:p w14:paraId="558C16ED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C:</w:t>
      </w:r>
      <w:r>
        <w:rPr>
          <w:rFonts w:ascii="Times New Roman" w:hAnsi="Times New Roman"/>
          <w:b w:val="0"/>
          <w:bCs/>
          <w:sz w:val="24"/>
        </w:rPr>
        <w:t xml:space="preserve"> Differential expression of IRF1 across 33 different tumor types and adjacent normal tissues based on TCGA and GTEx databases, where red represents tumor tissues and blue-green represents adjacent normal tissues.</w:t>
      </w:r>
    </w:p>
    <w:p w14:paraId="508F1534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sz w:val="24"/>
        </w:rPr>
      </w:pPr>
    </w:p>
    <w:p w14:paraId="590AD31D">
      <w:pPr>
        <w:spacing w:line="360" w:lineRule="auto"/>
        <w:rPr>
          <w:rFonts w:hint="eastAsia" w:ascii="Times New Roman" w:hAnsi="Times New Roman" w:eastAsia="宋体" w:cs="sans-serif"/>
          <w:i w:val="0"/>
          <w:iCs w:val="0"/>
          <w:caps w:val="0"/>
          <w:spacing w:val="0"/>
          <w:sz w:val="24"/>
          <w:szCs w:val="23"/>
          <w:shd w:val="clear" w:fill="FFFFFF"/>
          <w:lang w:eastAsia="zh-CN"/>
        </w:rPr>
      </w:pPr>
      <w:r>
        <w:rPr>
          <w:rFonts w:hint="eastAsia" w:ascii="Times New Roman" w:hAnsi="Times New Roman" w:eastAsia="宋体" w:cs="sans-serif"/>
          <w:i w:val="0"/>
          <w:iCs w:val="0"/>
          <w:caps w:val="0"/>
          <w:spacing w:val="0"/>
          <w:sz w:val="24"/>
          <w:szCs w:val="23"/>
          <w:shd w:val="clear" w:fill="FFFFFF"/>
          <w:lang w:eastAsia="zh-CN"/>
        </w:rPr>
        <w:drawing>
          <wp:inline distT="0" distB="0" distL="114300" distR="114300">
            <wp:extent cx="5267960" cy="4623435"/>
            <wp:effectExtent l="0" t="0" r="8890" b="571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02D7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sz w:val="24"/>
        </w:rPr>
      </w:pPr>
      <w:r>
        <w:rPr>
          <w:rStyle w:val="5"/>
          <w:rFonts w:ascii="Times New Roman" w:hAnsi="Times New Roman"/>
          <w:sz w:val="24"/>
        </w:rPr>
        <w:t>Figure S2. Effects of stable IRF1 expression on gastric cancer cell function</w:t>
      </w:r>
    </w:p>
    <w:p w14:paraId="62300867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A:</w:t>
      </w:r>
      <w:r>
        <w:rPr>
          <w:rFonts w:ascii="Times New Roman" w:hAnsi="Times New Roman"/>
          <w:b w:val="0"/>
          <w:bCs/>
          <w:sz w:val="24"/>
        </w:rPr>
        <w:t xml:space="preserve"> Western blot (WB) validation of IRF1 expression in stable gastric cancer cell lines.</w:t>
      </w:r>
    </w:p>
    <w:p w14:paraId="55070FEA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B:</w:t>
      </w:r>
      <w:r>
        <w:rPr>
          <w:rFonts w:ascii="Times New Roman" w:hAnsi="Times New Roman"/>
          <w:b w:val="0"/>
          <w:bCs/>
          <w:sz w:val="24"/>
        </w:rPr>
        <w:t xml:space="preserve"> Wound healing assay of AGS-IRF1 stable cell line after </w:t>
      </w:r>
      <w:r>
        <w:rPr>
          <w:rStyle w:val="5"/>
          <w:rFonts w:ascii="Times New Roman" w:hAnsi="Times New Roman"/>
          <w:b w:val="0"/>
          <w:bCs/>
          <w:sz w:val="24"/>
        </w:rPr>
        <w:t>48 hours of Dox induction</w:t>
      </w:r>
      <w:r>
        <w:rPr>
          <w:rFonts w:ascii="Times New Roman" w:hAnsi="Times New Roman"/>
          <w:b w:val="0"/>
          <w:bCs/>
          <w:sz w:val="24"/>
        </w:rPr>
        <w:t xml:space="preserve">, showing that </w:t>
      </w:r>
      <w:r>
        <w:rPr>
          <w:rStyle w:val="5"/>
          <w:rFonts w:ascii="Times New Roman" w:hAnsi="Times New Roman"/>
          <w:b w:val="0"/>
          <w:bCs/>
          <w:sz w:val="24"/>
        </w:rPr>
        <w:t>IRF1 overexpression inhibits gastric cancer cell migration</w:t>
      </w:r>
      <w:r>
        <w:rPr>
          <w:rFonts w:ascii="Times New Roman" w:hAnsi="Times New Roman"/>
          <w:b w:val="0"/>
          <w:bCs/>
          <w:sz w:val="24"/>
        </w:rPr>
        <w:t>.</w:t>
      </w:r>
    </w:p>
    <w:p w14:paraId="5A1ACE4F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C:</w:t>
      </w:r>
      <w:r>
        <w:rPr>
          <w:rFonts w:ascii="Times New Roman" w:hAnsi="Times New Roman"/>
          <w:b w:val="0"/>
          <w:bCs/>
          <w:sz w:val="24"/>
        </w:rPr>
        <w:t xml:space="preserve"> CCK-8 cytotoxicity assay demonstrating that </w:t>
      </w:r>
      <w:r>
        <w:rPr>
          <w:rStyle w:val="5"/>
          <w:rFonts w:ascii="Times New Roman" w:hAnsi="Times New Roman"/>
          <w:b w:val="0"/>
          <w:bCs/>
          <w:sz w:val="24"/>
        </w:rPr>
        <w:t>Dox-induced IRF1 overexpression suppresses gastric cancer cell proliferation</w:t>
      </w:r>
      <w:r>
        <w:rPr>
          <w:rFonts w:ascii="Times New Roman" w:hAnsi="Times New Roman"/>
          <w:b w:val="0"/>
          <w:bCs/>
          <w:sz w:val="24"/>
        </w:rPr>
        <w:t>.</w:t>
      </w:r>
    </w:p>
    <w:p w14:paraId="2608695A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D:</w:t>
      </w:r>
      <w:r>
        <w:rPr>
          <w:rFonts w:ascii="Times New Roman" w:hAnsi="Times New Roman"/>
          <w:b w:val="0"/>
          <w:bCs/>
          <w:sz w:val="24"/>
        </w:rPr>
        <w:t xml:space="preserve"> Transwell migration and invasion assays showing that </w:t>
      </w:r>
      <w:r>
        <w:rPr>
          <w:rStyle w:val="5"/>
          <w:rFonts w:ascii="Times New Roman" w:hAnsi="Times New Roman"/>
          <w:b w:val="0"/>
          <w:bCs/>
          <w:sz w:val="24"/>
        </w:rPr>
        <w:t>IRF1 overexpression (48 hours after Dox induction) inhibits migration and invasion in AGS-IRF1 stable cell lines</w:t>
      </w:r>
      <w:r>
        <w:rPr>
          <w:rFonts w:ascii="Times New Roman" w:hAnsi="Times New Roman"/>
          <w:b w:val="0"/>
          <w:bCs/>
          <w:sz w:val="24"/>
        </w:rPr>
        <w:t>.</w:t>
      </w:r>
    </w:p>
    <w:p w14:paraId="1866CF09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 xml:space="preserve"> *P &lt; 0.05, **P &lt; 0.01, ***P &lt; 0.001.</w:t>
      </w:r>
    </w:p>
    <w:p w14:paraId="2345E7C6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hint="eastAsia" w:ascii="Times New Roman" w:hAnsi="Times New Roman" w:eastAsiaTheme="minorEastAsia"/>
          <w:i/>
          <w:iCs/>
          <w:sz w:val="24"/>
          <w:lang w:eastAsia="zh-CN"/>
        </w:rPr>
      </w:pPr>
      <w:r>
        <w:rPr>
          <w:rFonts w:hint="eastAsia" w:ascii="Times New Roman" w:hAnsi="Times New Roman" w:eastAsiaTheme="minorEastAsia"/>
          <w:i/>
          <w:iCs/>
          <w:sz w:val="24"/>
          <w:lang w:eastAsia="zh-CN"/>
        </w:rPr>
        <w:drawing>
          <wp:inline distT="0" distB="0" distL="114300" distR="114300">
            <wp:extent cx="5274310" cy="3569970"/>
            <wp:effectExtent l="0" t="0" r="2540" b="1143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64AA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sz w:val="24"/>
        </w:rPr>
      </w:pPr>
      <w:r>
        <w:rPr>
          <w:rStyle w:val="5"/>
          <w:rFonts w:ascii="Times New Roman" w:hAnsi="Times New Roman"/>
          <w:sz w:val="24"/>
        </w:rPr>
        <w:t>Figure S3. Interaction between IRF1 and MX2 proteins</w:t>
      </w:r>
    </w:p>
    <w:p w14:paraId="698AAA8B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A:</w:t>
      </w:r>
      <w:r>
        <w:rPr>
          <w:rFonts w:ascii="Times New Roman" w:hAnsi="Times New Roman"/>
          <w:b w:val="0"/>
          <w:bCs/>
          <w:sz w:val="24"/>
        </w:rPr>
        <w:t xml:space="preserve"> Protein expression levels after co-transfection of IRF1 and MX2 plasmids in gastric cancer cells.</w:t>
      </w:r>
    </w:p>
    <w:p w14:paraId="05153DE1"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0" w:right="0"/>
        <w:rPr>
          <w:rFonts w:ascii="Times New Roman" w:hAnsi="Times New Roman"/>
          <w:b w:val="0"/>
          <w:bCs/>
          <w:sz w:val="24"/>
        </w:rPr>
      </w:pPr>
      <w:r>
        <w:rPr>
          <w:rStyle w:val="5"/>
          <w:rFonts w:ascii="Times New Roman" w:hAnsi="Times New Roman"/>
          <w:b w:val="0"/>
          <w:bCs/>
          <w:sz w:val="24"/>
        </w:rPr>
        <w:t>B:</w:t>
      </w:r>
      <w:r>
        <w:rPr>
          <w:rFonts w:ascii="Times New Roman" w:hAnsi="Times New Roman"/>
          <w:b w:val="0"/>
          <w:bCs/>
          <w:sz w:val="24"/>
        </w:rPr>
        <w:t xml:space="preserve"> Silver staining results of immunoprecipitated proteins after IRF1 immunoprecipitation.</w:t>
      </w:r>
    </w:p>
    <w:p w14:paraId="0623CA03">
      <w:pPr>
        <w:spacing w:line="360" w:lineRule="auto"/>
        <w:rPr>
          <w:rFonts w:hint="eastAsia" w:ascii="Times New Roman" w:hAnsi="Times New Roman" w:eastAsia="宋体" w:cs="sans-serif"/>
          <w:i w:val="0"/>
          <w:iCs w:val="0"/>
          <w:caps w:val="0"/>
          <w:spacing w:val="0"/>
          <w:sz w:val="24"/>
          <w:szCs w:val="23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CF1E25"/>
    <w:rsid w:val="45575091"/>
    <w:rsid w:val="5F9002F0"/>
    <w:rsid w:val="797E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220</Words>
  <Characters>1310</Characters>
  <Lines>0</Lines>
  <Paragraphs>0</Paragraphs>
  <TotalTime>4</TotalTime>
  <ScaleCrop>false</ScaleCrop>
  <LinksUpToDate>false</LinksUpToDate>
  <CharactersWithSpaces>1517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2025-04-01T13:54:00Z</dcterms:created>
  <dc:creator>ASUS</dc:creator>
  <cp:lastModifiedBy>花飞满天</cp:lastModifiedBy>
  <dcterms:modified xsi:type="dcterms:W3CDTF">2025-04-01T14:16:20Z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eyJoZGlkIjoiNjI0YjVjNzI0OTVmNTZhZTQ3YzhkYjg4YmY4MzI0MjEiLCJ1c2VySWQiOiIxODIwNDQxNDkifQ==</vt:lpwstr>
  </property>
  <property fmtid="{D5CDD505-2E9C-101B-9397-08002B2CF9AE}" pid="4" name="ICV">
    <vt:lpwstr>1D83AD46228C4D3898EA772EE678AC04_12</vt:lpwstr>
  </property>
</Properties>
</file>