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38B2" w14:textId="735C7585" w:rsidR="000C312F" w:rsidRPr="000C724C" w:rsidRDefault="000C312F" w:rsidP="00B03851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724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Supplemental Table 1</w:t>
      </w:r>
      <w:r w:rsidRPr="000C72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Primers used for SYBR </w:t>
      </w:r>
      <w:r w:rsidR="00473C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and TaqMan </w:t>
      </w:r>
      <w:r w:rsidRPr="000C72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q-PCR analysis of gene expression. </w:t>
      </w:r>
    </w:p>
    <w:tbl>
      <w:tblPr>
        <w:tblpPr w:leftFromText="180" w:rightFromText="180" w:vertAnchor="text" w:horzAnchor="margin" w:tblpY="-31"/>
        <w:tblW w:w="8920" w:type="dxa"/>
        <w:tblLook w:val="04A0" w:firstRow="1" w:lastRow="0" w:firstColumn="1" w:lastColumn="0" w:noHBand="0" w:noVBand="1"/>
      </w:tblPr>
      <w:tblGrid>
        <w:gridCol w:w="2940"/>
        <w:gridCol w:w="5980"/>
      </w:tblGrid>
      <w:tr w:rsidR="004C4807" w14:paraId="14AC9120" w14:textId="77777777" w:rsidTr="004C4807">
        <w:trPr>
          <w:trHeight w:val="6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FE6" w14:textId="77777777" w:rsidR="004C4807" w:rsidRPr="00473C5C" w:rsidRDefault="004C4807" w:rsidP="004C480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3C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Gene 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EBF897" w14:textId="77777777" w:rsidR="004C4807" w:rsidRPr="00473C5C" w:rsidRDefault="004C4807" w:rsidP="004C480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3C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Sequence for SYBR primers</w:t>
            </w:r>
          </w:p>
        </w:tc>
      </w:tr>
      <w:tr w:rsidR="004C4807" w14:paraId="0B9A94D2" w14:textId="77777777" w:rsidTr="004C4807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B0D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18s RNA (sense)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4ED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5'-CGAACGTCTGCCCTATCAAC-3'</w:t>
            </w:r>
          </w:p>
        </w:tc>
      </w:tr>
      <w:tr w:rsidR="004C4807" w14:paraId="5DA43862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0545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18s RNA (antisense)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EC2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5'-GGCCTCGAAAGAGTCCTGTA-3'</w:t>
            </w:r>
          </w:p>
        </w:tc>
      </w:tr>
      <w:tr w:rsidR="004C4807" w14:paraId="4199DF9C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F4A0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Fgf23 (sense)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5C9E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5'-CACTGCTAGAGCCTATTC-3'</w:t>
            </w:r>
          </w:p>
        </w:tc>
      </w:tr>
      <w:tr w:rsidR="004C4807" w14:paraId="5D03B945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C5F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Fgf23 (antisense)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1D3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5'-CACTGTAGATAGTCTGATGG-3'</w:t>
            </w:r>
          </w:p>
        </w:tc>
      </w:tr>
      <w:tr w:rsidR="004C4807" w14:paraId="36169CAB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24D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Runx2 (sense)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B5F1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5'-GCCATCACAAACAACCACAGA-3'</w:t>
            </w:r>
          </w:p>
        </w:tc>
      </w:tr>
      <w:tr w:rsidR="004C4807" w14:paraId="0ACD0A89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5DA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Runx2 (antisense)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BD8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5'-TTAAAGGCCAGAGCCTTCTT-3'</w:t>
            </w:r>
          </w:p>
        </w:tc>
      </w:tr>
      <w:tr w:rsidR="004C4807" w14:paraId="01D290DE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DCF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Dmp1 (sense)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633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5'-AGTGAGGAGGACAGCCTGAA-3'</w:t>
            </w:r>
          </w:p>
        </w:tc>
      </w:tr>
      <w:tr w:rsidR="004C4807" w14:paraId="3C504C9A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C11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Dmp1 (antisense)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FA1F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5'-GAGGCTCTCGTTGGACTCAC-3'</w:t>
            </w:r>
          </w:p>
        </w:tc>
      </w:tr>
      <w:tr w:rsidR="004C4807" w14:paraId="10C45C27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7DDE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β-actin (sense)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AA42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5'-CTCTGGCTCCTAGCACCATGAAGA-3'</w:t>
            </w:r>
          </w:p>
        </w:tc>
      </w:tr>
      <w:tr w:rsidR="004C4807" w14:paraId="313CE22B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428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β-actin (antisense)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103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5'-GTAAAACGCAGCTCAGTAACAGTCCG-3'</w:t>
            </w:r>
          </w:p>
        </w:tc>
      </w:tr>
      <w:tr w:rsidR="004C4807" w14:paraId="0FDD0A23" w14:textId="77777777" w:rsidTr="004C4807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4BB0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E08" w14:textId="77777777" w:rsidR="004C4807" w:rsidRDefault="004C4807" w:rsidP="004C4807">
            <w:pPr>
              <w:rPr>
                <w:sz w:val="20"/>
                <w:szCs w:val="20"/>
              </w:rPr>
            </w:pPr>
          </w:p>
        </w:tc>
      </w:tr>
      <w:tr w:rsidR="004C4807" w14:paraId="40FFA36E" w14:textId="77777777" w:rsidTr="004C4807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A128" w14:textId="77777777" w:rsidR="004C4807" w:rsidRDefault="004C4807" w:rsidP="004C480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371A" w14:textId="77777777" w:rsidR="004C4807" w:rsidRDefault="004C4807" w:rsidP="004C480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TaqMan Probe</w:t>
            </w:r>
          </w:p>
        </w:tc>
      </w:tr>
      <w:tr w:rsidR="004C4807" w14:paraId="6CF4592E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BA3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Rn18s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8C8A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Mm03928990_g1</w:t>
            </w:r>
          </w:p>
        </w:tc>
      </w:tr>
      <w:tr w:rsidR="004C4807" w14:paraId="1C5B9A58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2BC0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Sost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01F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Mm00470479_m1 </w:t>
            </w:r>
          </w:p>
        </w:tc>
      </w:tr>
      <w:tr w:rsidR="004C4807" w14:paraId="04E85587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6B9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Gpx4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25E4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Mm04411498_m1</w:t>
            </w:r>
          </w:p>
        </w:tc>
      </w:tr>
      <w:tr w:rsidR="004C4807" w14:paraId="22EC3736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D5C6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Slc7a11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831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Mm00442530_m1</w:t>
            </w:r>
          </w:p>
        </w:tc>
      </w:tr>
      <w:tr w:rsidR="004C4807" w14:paraId="5529B9EC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CA10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Lcn2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B189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Mm01324470_m1 </w:t>
            </w:r>
          </w:p>
        </w:tc>
      </w:tr>
      <w:tr w:rsidR="004C4807" w14:paraId="3CFED344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4D1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Slc22a17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46D9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Mm00480680_m1 </w:t>
            </w:r>
          </w:p>
        </w:tc>
      </w:tr>
      <w:tr w:rsidR="004C4807" w14:paraId="7B0D2CCD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A8C7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Alox5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A24C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Mm01182747_m1</w:t>
            </w:r>
          </w:p>
        </w:tc>
      </w:tr>
      <w:tr w:rsidR="004C4807" w14:paraId="5B81B281" w14:textId="77777777" w:rsidTr="004C4807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A397" w14:textId="77777777" w:rsidR="004C4807" w:rsidRDefault="004C4807" w:rsidP="004C480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Nrf2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015" w14:textId="77777777" w:rsidR="004C4807" w:rsidRDefault="004C4807" w:rsidP="004C48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Mm00477784_m1</w:t>
            </w:r>
          </w:p>
        </w:tc>
      </w:tr>
    </w:tbl>
    <w:p w14:paraId="3F04DB73" w14:textId="77777777" w:rsidR="00473C5C" w:rsidRDefault="00473C5C" w:rsidP="00B03851">
      <w:pPr>
        <w:spacing w:line="480" w:lineRule="auto"/>
      </w:pPr>
    </w:p>
    <w:p w14:paraId="59ACA84E" w14:textId="77777777" w:rsidR="0034490A" w:rsidRDefault="0034490A" w:rsidP="0034490A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BF1EFD">
        <w:rPr>
          <w:rFonts w:ascii="Arial" w:hAnsi="Arial" w:cs="Arial"/>
          <w:b/>
          <w:bCs/>
          <w:sz w:val="22"/>
          <w:szCs w:val="22"/>
        </w:rPr>
        <w:t>Supplemental Figures:</w:t>
      </w:r>
    </w:p>
    <w:p w14:paraId="3540AF98" w14:textId="77777777" w:rsidR="00BF1EFD" w:rsidRPr="0034490A" w:rsidRDefault="00BF1EFD" w:rsidP="0034490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19E23BC" w14:textId="7B2635B4" w:rsidR="00BF1EFD" w:rsidRPr="0034490A" w:rsidRDefault="0034490A" w:rsidP="0034490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4490A">
        <w:rPr>
          <w:rFonts w:ascii="Arial" w:hAnsi="Arial" w:cs="Arial"/>
          <w:b/>
          <w:bCs/>
          <w:sz w:val="22"/>
          <w:szCs w:val="22"/>
        </w:rPr>
        <w:t>Supplemental figure S1</w:t>
      </w:r>
      <w:r w:rsidR="00EC2552" w:rsidRPr="0034490A">
        <w:rPr>
          <w:rFonts w:ascii="Arial" w:hAnsi="Arial" w:cs="Arial"/>
          <w:sz w:val="22"/>
          <w:szCs w:val="22"/>
        </w:rPr>
        <w:t xml:space="preserve">: </w:t>
      </w:r>
      <w:r w:rsidR="00EC2552" w:rsidRPr="0034490A">
        <w:rPr>
          <w:rFonts w:ascii="Arial" w:hAnsi="Arial" w:cs="Arial"/>
          <w:b/>
          <w:bCs/>
          <w:sz w:val="22"/>
          <w:szCs w:val="22"/>
        </w:rPr>
        <w:t>LCN2 induces oxidative stress, lipid peroxidation, and apoptosis in osteocyte-like cells.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C2552" w:rsidRPr="0034490A">
        <w:rPr>
          <w:rFonts w:ascii="Arial" w:hAnsi="Arial" w:cs="Arial"/>
          <w:sz w:val="22"/>
          <w:szCs w:val="22"/>
        </w:rPr>
        <w:t xml:space="preserve">(A) Flow cytometry analysis of DCFDA fluorescence showing increased total ROS in OCY454 cells treated with recombinant LCN2 (red) compared to untreated control (gray). (B) C11-BODIPY assay detecting lipid peroxidation, measured as oxidation-dependent shift to FITC fluorescence in LCN2-treated cells versus control. (C) TUNEL staining reveals increased apoptotic nuclei (green) in LCN2-treated cells compared to control; DAPI (blue) labels all nuclei. Scale bar: 100 µm. (D) Annexin V/PI flow cytometry plots demonstrate elevated </w:t>
      </w:r>
      <w:r w:rsidRPr="0034490A">
        <w:rPr>
          <w:rFonts w:ascii="Arial" w:hAnsi="Arial" w:cs="Arial"/>
          <w:sz w:val="22"/>
          <w:szCs w:val="22"/>
        </w:rPr>
        <w:t xml:space="preserve">cells in </w:t>
      </w:r>
      <w:r w:rsidR="00EC2552" w:rsidRPr="0034490A">
        <w:rPr>
          <w:rFonts w:ascii="Arial" w:hAnsi="Arial" w:cs="Arial"/>
          <w:sz w:val="22"/>
          <w:szCs w:val="22"/>
        </w:rPr>
        <w:lastRenderedPageBreak/>
        <w:t>early (Annexin V</w:t>
      </w:r>
      <w:r w:rsidR="00EC2552" w:rsidRPr="0034490A">
        <w:rPr>
          <w:rFonts w:ascii="Cambria Math" w:hAnsi="Cambria Math" w:cs="Cambria Math"/>
          <w:sz w:val="22"/>
          <w:szCs w:val="22"/>
        </w:rPr>
        <w:t>⁺</w:t>
      </w:r>
      <w:r w:rsidR="00EC2552" w:rsidRPr="0034490A">
        <w:rPr>
          <w:rFonts w:ascii="Arial" w:hAnsi="Arial" w:cs="Arial"/>
          <w:sz w:val="22"/>
          <w:szCs w:val="22"/>
        </w:rPr>
        <w:t>/PI</w:t>
      </w:r>
      <w:r w:rsidR="00EC2552" w:rsidRPr="0034490A">
        <w:rPr>
          <w:rFonts w:ascii="Cambria Math" w:hAnsi="Cambria Math" w:cs="Cambria Math"/>
          <w:sz w:val="22"/>
          <w:szCs w:val="22"/>
        </w:rPr>
        <w:t>⁻</w:t>
      </w:r>
      <w:r w:rsidR="00EC2552" w:rsidRPr="0034490A">
        <w:rPr>
          <w:rFonts w:ascii="Arial" w:hAnsi="Arial" w:cs="Arial"/>
          <w:sz w:val="22"/>
          <w:szCs w:val="22"/>
        </w:rPr>
        <w:t>) and late (Annexin V</w:t>
      </w:r>
      <w:r w:rsidR="00EC2552" w:rsidRPr="0034490A">
        <w:rPr>
          <w:rFonts w:ascii="Cambria Math" w:hAnsi="Cambria Math" w:cs="Cambria Math"/>
          <w:sz w:val="22"/>
          <w:szCs w:val="22"/>
        </w:rPr>
        <w:t>⁺</w:t>
      </w:r>
      <w:r w:rsidR="00EC2552" w:rsidRPr="0034490A">
        <w:rPr>
          <w:rFonts w:ascii="Arial" w:hAnsi="Arial" w:cs="Arial"/>
          <w:sz w:val="22"/>
          <w:szCs w:val="22"/>
        </w:rPr>
        <w:t>/PI</w:t>
      </w:r>
      <w:r w:rsidR="00EC2552" w:rsidRPr="0034490A">
        <w:rPr>
          <w:rFonts w:ascii="Cambria Math" w:hAnsi="Cambria Math" w:cs="Cambria Math"/>
          <w:sz w:val="22"/>
          <w:szCs w:val="22"/>
        </w:rPr>
        <w:t>⁺</w:t>
      </w:r>
      <w:r w:rsidR="00EC2552" w:rsidRPr="0034490A">
        <w:rPr>
          <w:rFonts w:ascii="Arial" w:hAnsi="Arial" w:cs="Arial"/>
          <w:sz w:val="22"/>
          <w:szCs w:val="22"/>
        </w:rPr>
        <w:t>)</w:t>
      </w:r>
      <w:r w:rsidRPr="0034490A">
        <w:rPr>
          <w:rFonts w:ascii="Arial" w:hAnsi="Arial" w:cs="Arial"/>
          <w:sz w:val="22"/>
          <w:szCs w:val="22"/>
        </w:rPr>
        <w:t xml:space="preserve"> stages of cell death</w:t>
      </w:r>
      <w:r w:rsidR="00EC2552" w:rsidRPr="0034490A">
        <w:rPr>
          <w:rFonts w:ascii="Arial" w:hAnsi="Arial" w:cs="Arial"/>
          <w:sz w:val="22"/>
          <w:szCs w:val="22"/>
        </w:rPr>
        <w:t xml:space="preserve"> in LCN2-treated cells relative to control.</w:t>
      </w:r>
    </w:p>
    <w:p w14:paraId="129890FC" w14:textId="77777777" w:rsidR="00BF1EFD" w:rsidRDefault="00BF1EFD" w:rsidP="00B03851">
      <w:pPr>
        <w:spacing w:line="480" w:lineRule="auto"/>
      </w:pPr>
    </w:p>
    <w:p w14:paraId="067AFC56" w14:textId="77777777" w:rsidR="00BF1EFD" w:rsidRPr="00BF1EFD" w:rsidRDefault="00BF1EFD" w:rsidP="00B03851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C2CF556" w14:textId="6851A97B" w:rsidR="00BF1EFD" w:rsidRDefault="00BF1EFD" w:rsidP="0034490A">
      <w:pPr>
        <w:spacing w:line="480" w:lineRule="auto"/>
        <w:rPr>
          <w:rFonts w:ascii="Arial" w:hAnsi="Arial" w:cs="Arial"/>
          <w:sz w:val="22"/>
          <w:szCs w:val="22"/>
        </w:rPr>
      </w:pPr>
      <w:r w:rsidRPr="00BF1EFD">
        <w:rPr>
          <w:rFonts w:ascii="Arial" w:hAnsi="Arial" w:cs="Arial"/>
          <w:b/>
          <w:bCs/>
          <w:sz w:val="22"/>
          <w:szCs w:val="22"/>
        </w:rPr>
        <w:t xml:space="preserve">Supplemental figure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34490A">
        <w:rPr>
          <w:rFonts w:ascii="Arial" w:hAnsi="Arial" w:cs="Arial"/>
          <w:b/>
          <w:bCs/>
          <w:sz w:val="22"/>
          <w:szCs w:val="22"/>
        </w:rPr>
        <w:t>2</w:t>
      </w:r>
      <w:r w:rsidRPr="00BF1EFD">
        <w:rPr>
          <w:rFonts w:ascii="Arial" w:hAnsi="Arial" w:cs="Arial"/>
          <w:b/>
          <w:bCs/>
          <w:sz w:val="22"/>
          <w:szCs w:val="22"/>
        </w:rPr>
        <w:t xml:space="preserve">: </w:t>
      </w:r>
      <w:r w:rsidR="0034490A" w:rsidRPr="0034490A">
        <w:rPr>
          <w:rFonts w:ascii="Arial" w:hAnsi="Arial" w:cs="Arial"/>
          <w:b/>
          <w:bCs/>
          <w:sz w:val="22"/>
          <w:szCs w:val="22"/>
        </w:rPr>
        <w:t>LCN2 knockdown reduces oxidative stress, lipid peroxidation, and apoptosis in osteocyte-like cells.</w:t>
      </w:r>
      <w:r w:rsidR="0034490A">
        <w:rPr>
          <w:rFonts w:ascii="Arial" w:hAnsi="Arial" w:cs="Arial"/>
          <w:b/>
          <w:bCs/>
          <w:sz w:val="22"/>
          <w:szCs w:val="22"/>
        </w:rPr>
        <w:t xml:space="preserve"> </w:t>
      </w:r>
      <w:r w:rsidR="0034490A" w:rsidRPr="0034490A">
        <w:rPr>
          <w:rFonts w:ascii="Arial" w:hAnsi="Arial" w:cs="Arial"/>
          <w:sz w:val="22"/>
          <w:szCs w:val="22"/>
        </w:rPr>
        <w:t>(A) DCFDA-based flow cytometry shows reduced total reactive oxygen species (ROS) levels in OCY454 cells transduced with LCN2 shRNA (red) compared to control shRNA (gray).</w:t>
      </w:r>
      <w:r w:rsidR="0034490A">
        <w:rPr>
          <w:rFonts w:ascii="Arial" w:hAnsi="Arial" w:cs="Arial"/>
          <w:sz w:val="22"/>
          <w:szCs w:val="22"/>
        </w:rPr>
        <w:t xml:space="preserve"> </w:t>
      </w:r>
      <w:r w:rsidR="0034490A" w:rsidRPr="0034490A">
        <w:rPr>
          <w:rFonts w:ascii="Arial" w:hAnsi="Arial" w:cs="Arial"/>
          <w:sz w:val="22"/>
          <w:szCs w:val="22"/>
        </w:rPr>
        <w:t>(B) C11-BODIPY oxidation assay reveals decreased lipid peroxidation in LCN2 knockdown cells, indicated by reduced FITC fluorescence.</w:t>
      </w:r>
      <w:r w:rsidR="0034490A">
        <w:rPr>
          <w:rFonts w:ascii="Arial" w:hAnsi="Arial" w:cs="Arial"/>
          <w:sz w:val="22"/>
          <w:szCs w:val="22"/>
        </w:rPr>
        <w:t xml:space="preserve"> </w:t>
      </w:r>
      <w:r w:rsidR="0034490A" w:rsidRPr="0034490A">
        <w:rPr>
          <w:rFonts w:ascii="Arial" w:hAnsi="Arial" w:cs="Arial"/>
          <w:sz w:val="22"/>
          <w:szCs w:val="22"/>
        </w:rPr>
        <w:t>(C) Annexin V/PI staining demonstrates reduced early (Annexin V</w:t>
      </w:r>
      <w:r w:rsidR="0034490A" w:rsidRPr="0034490A">
        <w:rPr>
          <w:rFonts w:ascii="Cambria Math" w:hAnsi="Cambria Math" w:cs="Cambria Math"/>
          <w:sz w:val="22"/>
          <w:szCs w:val="22"/>
        </w:rPr>
        <w:t>⁺</w:t>
      </w:r>
      <w:r w:rsidR="0034490A" w:rsidRPr="0034490A">
        <w:rPr>
          <w:rFonts w:ascii="Arial" w:hAnsi="Arial" w:cs="Arial"/>
          <w:sz w:val="22"/>
          <w:szCs w:val="22"/>
        </w:rPr>
        <w:t>/PI</w:t>
      </w:r>
      <w:r w:rsidR="0034490A" w:rsidRPr="0034490A">
        <w:rPr>
          <w:rFonts w:ascii="Cambria Math" w:hAnsi="Cambria Math" w:cs="Cambria Math"/>
          <w:sz w:val="22"/>
          <w:szCs w:val="22"/>
        </w:rPr>
        <w:t>⁻</w:t>
      </w:r>
      <w:r w:rsidR="0034490A" w:rsidRPr="0034490A">
        <w:rPr>
          <w:rFonts w:ascii="Arial" w:hAnsi="Arial" w:cs="Arial"/>
          <w:sz w:val="22"/>
          <w:szCs w:val="22"/>
        </w:rPr>
        <w:t>) and late (Annexin V</w:t>
      </w:r>
      <w:r w:rsidR="0034490A" w:rsidRPr="0034490A">
        <w:rPr>
          <w:rFonts w:ascii="Cambria Math" w:hAnsi="Cambria Math" w:cs="Cambria Math"/>
          <w:sz w:val="22"/>
          <w:szCs w:val="22"/>
        </w:rPr>
        <w:t>⁺</w:t>
      </w:r>
      <w:r w:rsidR="0034490A" w:rsidRPr="0034490A">
        <w:rPr>
          <w:rFonts w:ascii="Arial" w:hAnsi="Arial" w:cs="Arial"/>
          <w:sz w:val="22"/>
          <w:szCs w:val="22"/>
        </w:rPr>
        <w:t>/PI</w:t>
      </w:r>
      <w:r w:rsidR="0034490A" w:rsidRPr="0034490A">
        <w:rPr>
          <w:rFonts w:ascii="Cambria Math" w:hAnsi="Cambria Math" w:cs="Cambria Math"/>
          <w:sz w:val="22"/>
          <w:szCs w:val="22"/>
        </w:rPr>
        <w:t>⁺</w:t>
      </w:r>
      <w:r w:rsidR="0034490A" w:rsidRPr="0034490A">
        <w:rPr>
          <w:rFonts w:ascii="Arial" w:hAnsi="Arial" w:cs="Arial"/>
          <w:sz w:val="22"/>
          <w:szCs w:val="22"/>
        </w:rPr>
        <w:t>) apoptosis in LCN2 shRNA cells versus controls, indicating enhanced cell survival.</w:t>
      </w:r>
    </w:p>
    <w:p w14:paraId="670491D4" w14:textId="77777777" w:rsidR="0034490A" w:rsidRDefault="0034490A" w:rsidP="0034490A">
      <w:pPr>
        <w:spacing w:line="480" w:lineRule="auto"/>
        <w:rPr>
          <w:rFonts w:ascii="Arial" w:hAnsi="Arial" w:cs="Arial"/>
          <w:sz w:val="22"/>
          <w:szCs w:val="22"/>
        </w:rPr>
      </w:pPr>
    </w:p>
    <w:p w14:paraId="745F28CB" w14:textId="268898EF" w:rsidR="004363F0" w:rsidRPr="0034490A" w:rsidRDefault="004363F0" w:rsidP="0034490A">
      <w:pPr>
        <w:spacing w:line="480" w:lineRule="auto"/>
        <w:rPr>
          <w:rFonts w:ascii="Arial" w:hAnsi="Arial" w:cs="Arial"/>
          <w:sz w:val="22"/>
          <w:szCs w:val="22"/>
        </w:rPr>
      </w:pPr>
    </w:p>
    <w:p w14:paraId="1DB55B34" w14:textId="0CD02772" w:rsidR="00B03851" w:rsidRDefault="004363F0" w:rsidP="004C48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F1EFD">
        <w:rPr>
          <w:rFonts w:ascii="Arial" w:hAnsi="Arial" w:cs="Arial"/>
          <w:b/>
          <w:bCs/>
          <w:sz w:val="22"/>
          <w:szCs w:val="22"/>
        </w:rPr>
        <w:t xml:space="preserve">Supplemental figure </w:t>
      </w:r>
      <w:r>
        <w:rPr>
          <w:rFonts w:ascii="Arial" w:hAnsi="Arial" w:cs="Arial"/>
          <w:b/>
          <w:bCs/>
          <w:sz w:val="22"/>
          <w:szCs w:val="22"/>
        </w:rPr>
        <w:t>S3</w:t>
      </w:r>
      <w:r w:rsidRPr="00BF1EF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4490A">
        <w:rPr>
          <w:rFonts w:ascii="Arial" w:hAnsi="Arial" w:cs="Arial"/>
          <w:b/>
          <w:bCs/>
          <w:sz w:val="22"/>
          <w:szCs w:val="22"/>
        </w:rPr>
        <w:t xml:space="preserve">LCN2 </w:t>
      </w:r>
      <w:r>
        <w:rPr>
          <w:rFonts w:ascii="Arial" w:hAnsi="Arial" w:cs="Arial"/>
          <w:b/>
          <w:bCs/>
          <w:sz w:val="22"/>
          <w:szCs w:val="22"/>
        </w:rPr>
        <w:t xml:space="preserve">is a key regulator of mitochondrial dynamics in osteocytes. </w:t>
      </w:r>
      <w:r w:rsidR="00BF1EFD" w:rsidRPr="00BF1EFD">
        <w:rPr>
          <w:rFonts w:ascii="Arial" w:hAnsi="Arial" w:cs="Arial"/>
          <w:sz w:val="22"/>
          <w:szCs w:val="22"/>
        </w:rPr>
        <w:t>(A) RNA-seq analysis of humeri from WT and Dmp1-Cre; Lcn2</w:t>
      </w:r>
      <w:r w:rsidR="00BF1EFD" w:rsidRPr="00BF1EFD">
        <w:rPr>
          <w:rFonts w:ascii="Arial" w:hAnsi="Arial" w:cs="Arial"/>
          <w:sz w:val="22"/>
          <w:szCs w:val="22"/>
          <w:vertAlign w:val="superscript"/>
        </w:rPr>
        <w:t xml:space="preserve">fl/fl </w:t>
      </w:r>
      <w:r w:rsidR="00BF1EFD" w:rsidRPr="00BF1EFD">
        <w:rPr>
          <w:rFonts w:ascii="Arial" w:hAnsi="Arial" w:cs="Arial"/>
          <w:sz w:val="22"/>
          <w:szCs w:val="22"/>
        </w:rPr>
        <w:t>mice was cross-referenced with MitoCarta3.0 to identify differentially expressed genes involved in mitochondrial function. Genes were categorized into functional groups related to cristae structure, apoptosis, mitophagy, contact sites, and mitochondrial fission. Log</w:t>
      </w:r>
      <w:r w:rsidR="00BF1EFD" w:rsidRPr="00BF1EFD">
        <w:rPr>
          <w:rFonts w:ascii="Cambria Math" w:hAnsi="Cambria Math" w:cs="Cambria Math"/>
          <w:sz w:val="22"/>
          <w:szCs w:val="22"/>
        </w:rPr>
        <w:t>₂</w:t>
      </w:r>
      <w:r w:rsidR="00BF1EFD" w:rsidRPr="00BF1EFD">
        <w:rPr>
          <w:rFonts w:ascii="Arial" w:hAnsi="Arial" w:cs="Arial"/>
          <w:sz w:val="22"/>
          <w:szCs w:val="22"/>
        </w:rPr>
        <w:t xml:space="preserve"> fold change values represent gene expression differences between WT (black circles) and LCN2-deficient (red squares) osteocytes. LCN2 deletion is associated with altered expression of key regulators of mitochondrial apoptosis, mitophagy, and dynamics.</w:t>
      </w:r>
      <w:r>
        <w:rPr>
          <w:rFonts w:ascii="Arial" w:hAnsi="Arial" w:cs="Arial"/>
          <w:sz w:val="22"/>
          <w:szCs w:val="22"/>
        </w:rPr>
        <w:t xml:space="preserve"> </w:t>
      </w:r>
      <w:r w:rsidR="00BF1EFD" w:rsidRPr="00BF1EFD">
        <w:rPr>
          <w:rFonts w:ascii="Arial" w:hAnsi="Arial" w:cs="Arial"/>
          <w:sz w:val="22"/>
          <w:szCs w:val="22"/>
        </w:rPr>
        <w:t xml:space="preserve">(B) Seahorse extracellular flux analysis measuring oxygen consumption rate (OCR) in OCY454 osteocyte-like cells treated with recombinant murine LCN2 (100 ng/mL) for 24 hours. LCN2 treatment significantly reduces basal respiration, maximal respiration, and ATP production compared to untreated controls (*p &lt; 0.05, Student’s t-test, n = </w:t>
      </w:r>
      <w:r w:rsidR="00BF1EFD">
        <w:rPr>
          <w:rFonts w:ascii="Arial" w:hAnsi="Arial" w:cs="Arial"/>
          <w:sz w:val="22"/>
          <w:szCs w:val="22"/>
        </w:rPr>
        <w:t>8-10</w:t>
      </w:r>
      <w:r w:rsidR="00BF1EFD" w:rsidRPr="00BF1EFD">
        <w:rPr>
          <w:rFonts w:ascii="Arial" w:hAnsi="Arial" w:cs="Arial"/>
          <w:sz w:val="22"/>
          <w:szCs w:val="22"/>
        </w:rPr>
        <w:t xml:space="preserve"> biological replicates/group). Data are presented as mean ± SD.</w:t>
      </w:r>
    </w:p>
    <w:p w14:paraId="5D0D7438" w14:textId="615FC85D" w:rsidR="00BF1EFD" w:rsidRDefault="00BF1EFD" w:rsidP="004C480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7248A467" w14:textId="369C7B7C" w:rsidR="00BF1EFD" w:rsidRPr="004C4807" w:rsidRDefault="00BF1EFD" w:rsidP="004C4807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1EFD">
        <w:rPr>
          <w:rFonts w:ascii="Arial" w:hAnsi="Arial" w:cs="Arial"/>
          <w:b/>
          <w:bCs/>
          <w:sz w:val="22"/>
          <w:szCs w:val="22"/>
        </w:rPr>
        <w:t xml:space="preserve">Supplemental figure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4363F0">
        <w:rPr>
          <w:rFonts w:ascii="Arial" w:hAnsi="Arial" w:cs="Arial"/>
          <w:b/>
          <w:bCs/>
          <w:sz w:val="22"/>
          <w:szCs w:val="22"/>
        </w:rPr>
        <w:t>4</w:t>
      </w:r>
      <w:r w:rsidRPr="00BF1EFD">
        <w:rPr>
          <w:rFonts w:ascii="Arial" w:hAnsi="Arial" w:cs="Arial"/>
          <w:b/>
          <w:bCs/>
          <w:sz w:val="22"/>
          <w:szCs w:val="22"/>
        </w:rPr>
        <w:t>. LCN2 deletion increases trabecular bone mass but does not significantly alter cortical bone structure in tibias of 13-week-old male mice.</w:t>
      </w:r>
      <w:r w:rsidR="004363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EFD">
        <w:rPr>
          <w:rFonts w:ascii="Arial" w:hAnsi="Arial" w:cs="Arial"/>
          <w:sz w:val="22"/>
          <w:szCs w:val="22"/>
        </w:rPr>
        <w:t>(A)</w:t>
      </w:r>
      <w:r w:rsidR="004363F0">
        <w:rPr>
          <w:rFonts w:ascii="Arial" w:hAnsi="Arial" w:cs="Arial"/>
          <w:sz w:val="22"/>
          <w:szCs w:val="22"/>
        </w:rPr>
        <w:t xml:space="preserve"> </w:t>
      </w:r>
      <w:r w:rsidRPr="00BF1EFD">
        <w:rPr>
          <w:rFonts w:ascii="Arial" w:hAnsi="Arial" w:cs="Arial"/>
          <w:sz w:val="22"/>
          <w:szCs w:val="22"/>
        </w:rPr>
        <w:t xml:space="preserve">Representative </w:t>
      </w:r>
      <w:proofErr w:type="spellStart"/>
      <w:r w:rsidRPr="00BF1EFD">
        <w:rPr>
          <w:rFonts w:ascii="Arial" w:hAnsi="Arial" w:cs="Arial"/>
          <w:sz w:val="22"/>
          <w:szCs w:val="22"/>
        </w:rPr>
        <w:t>μCT</w:t>
      </w:r>
      <w:proofErr w:type="spellEnd"/>
      <w:r w:rsidRPr="00BF1EFD">
        <w:rPr>
          <w:rFonts w:ascii="Arial" w:hAnsi="Arial" w:cs="Arial"/>
          <w:sz w:val="22"/>
          <w:szCs w:val="22"/>
        </w:rPr>
        <w:t xml:space="preserve"> reconstructions of trabecular (left) and cortical (right) bone from tibias of WT and Dmp1-Cre; Lcn2fl/fl male mice. Scale bar = </w:t>
      </w:r>
      <w:r>
        <w:rPr>
          <w:rFonts w:ascii="Arial" w:hAnsi="Arial" w:cs="Arial"/>
          <w:sz w:val="22"/>
          <w:szCs w:val="22"/>
        </w:rPr>
        <w:t>1</w:t>
      </w:r>
      <w:r w:rsidRPr="00BF1EFD">
        <w:rPr>
          <w:rFonts w:ascii="Arial" w:hAnsi="Arial" w:cs="Arial"/>
          <w:sz w:val="22"/>
          <w:szCs w:val="22"/>
        </w:rPr>
        <w:t>00 μm.</w:t>
      </w:r>
      <w:r w:rsidR="004C48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EFD">
        <w:rPr>
          <w:rFonts w:ascii="Arial" w:hAnsi="Arial" w:cs="Arial"/>
          <w:sz w:val="22"/>
          <w:szCs w:val="22"/>
        </w:rPr>
        <w:t xml:space="preserve">(B-H) Quantitative </w:t>
      </w:r>
      <w:proofErr w:type="spellStart"/>
      <w:r w:rsidRPr="00BF1EFD">
        <w:rPr>
          <w:rFonts w:ascii="Arial" w:hAnsi="Arial" w:cs="Arial"/>
          <w:sz w:val="22"/>
          <w:szCs w:val="22"/>
        </w:rPr>
        <w:t>μCT</w:t>
      </w:r>
      <w:proofErr w:type="spellEnd"/>
      <w:r w:rsidRPr="00BF1EFD">
        <w:rPr>
          <w:rFonts w:ascii="Arial" w:hAnsi="Arial" w:cs="Arial"/>
          <w:sz w:val="22"/>
          <w:szCs w:val="22"/>
        </w:rPr>
        <w:t xml:space="preserve"> analysis of trabecular bone parameters. LCN2 deletion significantly increases trabecular bone volume fraction (BV/TV, B), trabecular number (</w:t>
      </w:r>
      <w:proofErr w:type="gramStart"/>
      <w:r w:rsidRPr="00BF1EFD">
        <w:rPr>
          <w:rFonts w:ascii="Arial" w:hAnsi="Arial" w:cs="Arial"/>
          <w:sz w:val="22"/>
          <w:szCs w:val="22"/>
        </w:rPr>
        <w:t>Tb.N</w:t>
      </w:r>
      <w:proofErr w:type="gramEnd"/>
      <w:r w:rsidRPr="00BF1EFD">
        <w:rPr>
          <w:rFonts w:ascii="Arial" w:hAnsi="Arial" w:cs="Arial"/>
          <w:sz w:val="22"/>
          <w:szCs w:val="22"/>
        </w:rPr>
        <w:t>, D), trabecular connectivity density (</w:t>
      </w:r>
      <w:proofErr w:type="spellStart"/>
      <w:proofErr w:type="gramStart"/>
      <w:r w:rsidRPr="00BF1EFD">
        <w:rPr>
          <w:rFonts w:ascii="Arial" w:hAnsi="Arial" w:cs="Arial"/>
          <w:sz w:val="22"/>
          <w:szCs w:val="22"/>
        </w:rPr>
        <w:t>Tb.Conn</w:t>
      </w:r>
      <w:proofErr w:type="spellEnd"/>
      <w:proofErr w:type="gramEnd"/>
      <w:r w:rsidRPr="00BF1EFD">
        <w:rPr>
          <w:rFonts w:ascii="Arial" w:hAnsi="Arial" w:cs="Arial"/>
          <w:sz w:val="22"/>
          <w:szCs w:val="22"/>
        </w:rPr>
        <w:t>-Den, G), and trabecular bone mineral density (</w:t>
      </w:r>
      <w:proofErr w:type="spellStart"/>
      <w:r w:rsidRPr="00BF1EFD">
        <w:rPr>
          <w:rFonts w:ascii="Arial" w:hAnsi="Arial" w:cs="Arial"/>
          <w:sz w:val="22"/>
          <w:szCs w:val="22"/>
        </w:rPr>
        <w:t>Tb.BMD</w:t>
      </w:r>
      <w:proofErr w:type="spellEnd"/>
      <w:r w:rsidRPr="00BF1EFD">
        <w:rPr>
          <w:rFonts w:ascii="Arial" w:hAnsi="Arial" w:cs="Arial"/>
          <w:sz w:val="22"/>
          <w:szCs w:val="22"/>
        </w:rPr>
        <w:t>, H), while reducing trabecular spacing (</w:t>
      </w:r>
      <w:proofErr w:type="spellStart"/>
      <w:proofErr w:type="gramStart"/>
      <w:r w:rsidRPr="00BF1EFD">
        <w:rPr>
          <w:rFonts w:ascii="Arial" w:hAnsi="Arial" w:cs="Arial"/>
          <w:sz w:val="22"/>
          <w:szCs w:val="22"/>
        </w:rPr>
        <w:t>Tb.Sp</w:t>
      </w:r>
      <w:proofErr w:type="spellEnd"/>
      <w:proofErr w:type="gramEnd"/>
      <w:r w:rsidRPr="00BF1EFD">
        <w:rPr>
          <w:rFonts w:ascii="Arial" w:hAnsi="Arial" w:cs="Arial"/>
          <w:sz w:val="22"/>
          <w:szCs w:val="22"/>
        </w:rPr>
        <w:t>, E). Trabecular thickness (</w:t>
      </w:r>
      <w:proofErr w:type="spellStart"/>
      <w:proofErr w:type="gramStart"/>
      <w:r w:rsidRPr="00BF1EFD">
        <w:rPr>
          <w:rFonts w:ascii="Arial" w:hAnsi="Arial" w:cs="Arial"/>
          <w:sz w:val="22"/>
          <w:szCs w:val="22"/>
        </w:rPr>
        <w:t>Tb.Th</w:t>
      </w:r>
      <w:proofErr w:type="spellEnd"/>
      <w:proofErr w:type="gramEnd"/>
      <w:r w:rsidRPr="00BF1EFD">
        <w:rPr>
          <w:rFonts w:ascii="Arial" w:hAnsi="Arial" w:cs="Arial"/>
          <w:sz w:val="22"/>
          <w:szCs w:val="22"/>
        </w:rPr>
        <w:t>, C) and structure model index (</w:t>
      </w:r>
      <w:proofErr w:type="spellStart"/>
      <w:r w:rsidRPr="00BF1EFD">
        <w:rPr>
          <w:rFonts w:ascii="Arial" w:hAnsi="Arial" w:cs="Arial"/>
          <w:sz w:val="22"/>
          <w:szCs w:val="22"/>
        </w:rPr>
        <w:t>Tb.SMI</w:t>
      </w:r>
      <w:proofErr w:type="spellEnd"/>
      <w:r w:rsidRPr="00BF1EFD">
        <w:rPr>
          <w:rFonts w:ascii="Arial" w:hAnsi="Arial" w:cs="Arial"/>
          <w:sz w:val="22"/>
          <w:szCs w:val="22"/>
        </w:rPr>
        <w:t>, F) remain unchanged.</w:t>
      </w:r>
      <w:r w:rsidR="004C48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EFD">
        <w:rPr>
          <w:rFonts w:ascii="Arial" w:hAnsi="Arial" w:cs="Arial"/>
          <w:sz w:val="22"/>
          <w:szCs w:val="22"/>
        </w:rPr>
        <w:t xml:space="preserve">(I-K) Cortical bone parameters assessed by </w:t>
      </w:r>
      <w:proofErr w:type="spellStart"/>
      <w:r w:rsidRPr="00BF1EFD">
        <w:rPr>
          <w:rFonts w:ascii="Arial" w:hAnsi="Arial" w:cs="Arial"/>
          <w:sz w:val="22"/>
          <w:szCs w:val="22"/>
        </w:rPr>
        <w:t>μCT</w:t>
      </w:r>
      <w:proofErr w:type="spellEnd"/>
      <w:r w:rsidRPr="00BF1EFD">
        <w:rPr>
          <w:rFonts w:ascii="Arial" w:hAnsi="Arial" w:cs="Arial"/>
          <w:sz w:val="22"/>
          <w:szCs w:val="22"/>
        </w:rPr>
        <w:t>. LCN2 deletion does not significantly alter cortical bone area fraction (Ct.BA/TA, I), cortical thickness (</w:t>
      </w:r>
      <w:proofErr w:type="spellStart"/>
      <w:proofErr w:type="gramStart"/>
      <w:r w:rsidRPr="00BF1EFD">
        <w:rPr>
          <w:rFonts w:ascii="Arial" w:hAnsi="Arial" w:cs="Arial"/>
          <w:sz w:val="22"/>
          <w:szCs w:val="22"/>
        </w:rPr>
        <w:t>Ct.Th</w:t>
      </w:r>
      <w:proofErr w:type="spellEnd"/>
      <w:proofErr w:type="gramEnd"/>
      <w:r w:rsidRPr="00BF1EFD">
        <w:rPr>
          <w:rFonts w:ascii="Arial" w:hAnsi="Arial" w:cs="Arial"/>
          <w:sz w:val="22"/>
          <w:szCs w:val="22"/>
        </w:rPr>
        <w:t>, J), or cortical bone mineral density (</w:t>
      </w:r>
      <w:proofErr w:type="spellStart"/>
      <w:r w:rsidRPr="00BF1EFD">
        <w:rPr>
          <w:rFonts w:ascii="Arial" w:hAnsi="Arial" w:cs="Arial"/>
          <w:sz w:val="22"/>
          <w:szCs w:val="22"/>
        </w:rPr>
        <w:t>Ct.BMD</w:t>
      </w:r>
      <w:proofErr w:type="spellEnd"/>
      <w:r w:rsidRPr="00BF1EFD">
        <w:rPr>
          <w:rFonts w:ascii="Arial" w:hAnsi="Arial" w:cs="Arial"/>
          <w:sz w:val="22"/>
          <w:szCs w:val="22"/>
        </w:rPr>
        <w:t>, K), indicating a selective effect on trabecular bone.</w:t>
      </w:r>
      <w:r w:rsidR="004C4807">
        <w:rPr>
          <w:rFonts w:ascii="Arial" w:hAnsi="Arial" w:cs="Arial"/>
          <w:sz w:val="22"/>
          <w:szCs w:val="22"/>
        </w:rPr>
        <w:t xml:space="preserve"> </w:t>
      </w:r>
      <w:r w:rsidRPr="00BF1EFD">
        <w:rPr>
          <w:rFonts w:ascii="Arial" w:hAnsi="Arial" w:cs="Arial"/>
          <w:sz w:val="22"/>
          <w:szCs w:val="22"/>
        </w:rPr>
        <w:t>Data are presented as mean ± SD; **p &lt; 0.01, ***p &lt; 0.001, ns = not significant (Student’s t-test), n = 10-12 male mice per group.</w:t>
      </w:r>
    </w:p>
    <w:sectPr w:rsidR="00BF1EFD" w:rsidRPr="004C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2F"/>
    <w:rsid w:val="00025BED"/>
    <w:rsid w:val="000646A2"/>
    <w:rsid w:val="00074337"/>
    <w:rsid w:val="000C312F"/>
    <w:rsid w:val="000C77BA"/>
    <w:rsid w:val="000D1738"/>
    <w:rsid w:val="00105339"/>
    <w:rsid w:val="0013542D"/>
    <w:rsid w:val="00142EA9"/>
    <w:rsid w:val="00171640"/>
    <w:rsid w:val="00180767"/>
    <w:rsid w:val="001B53A3"/>
    <w:rsid w:val="0022706E"/>
    <w:rsid w:val="0023332F"/>
    <w:rsid w:val="00285184"/>
    <w:rsid w:val="002B2578"/>
    <w:rsid w:val="002B74F1"/>
    <w:rsid w:val="002C3A6B"/>
    <w:rsid w:val="00304B52"/>
    <w:rsid w:val="0034490A"/>
    <w:rsid w:val="00361CFF"/>
    <w:rsid w:val="003758CD"/>
    <w:rsid w:val="00385A6D"/>
    <w:rsid w:val="003A773F"/>
    <w:rsid w:val="003B55E1"/>
    <w:rsid w:val="004064B2"/>
    <w:rsid w:val="004208B4"/>
    <w:rsid w:val="00435E11"/>
    <w:rsid w:val="004363F0"/>
    <w:rsid w:val="00451833"/>
    <w:rsid w:val="00454BBF"/>
    <w:rsid w:val="00473C5C"/>
    <w:rsid w:val="00477F84"/>
    <w:rsid w:val="0049210A"/>
    <w:rsid w:val="00494A04"/>
    <w:rsid w:val="004C4807"/>
    <w:rsid w:val="004D2621"/>
    <w:rsid w:val="004F4B4D"/>
    <w:rsid w:val="00501D3B"/>
    <w:rsid w:val="005437CE"/>
    <w:rsid w:val="00575762"/>
    <w:rsid w:val="00580603"/>
    <w:rsid w:val="00591E2D"/>
    <w:rsid w:val="00596024"/>
    <w:rsid w:val="005A1737"/>
    <w:rsid w:val="005A56B8"/>
    <w:rsid w:val="00606D46"/>
    <w:rsid w:val="006154FC"/>
    <w:rsid w:val="0063405F"/>
    <w:rsid w:val="00697095"/>
    <w:rsid w:val="006E3119"/>
    <w:rsid w:val="006E61EE"/>
    <w:rsid w:val="006F3A14"/>
    <w:rsid w:val="006F69D6"/>
    <w:rsid w:val="007061A3"/>
    <w:rsid w:val="00724A8B"/>
    <w:rsid w:val="007C5420"/>
    <w:rsid w:val="007D5F13"/>
    <w:rsid w:val="00833CF1"/>
    <w:rsid w:val="008C0DC3"/>
    <w:rsid w:val="008C66A7"/>
    <w:rsid w:val="00906105"/>
    <w:rsid w:val="00915B42"/>
    <w:rsid w:val="00923E08"/>
    <w:rsid w:val="00930949"/>
    <w:rsid w:val="009459CD"/>
    <w:rsid w:val="00950704"/>
    <w:rsid w:val="00977732"/>
    <w:rsid w:val="009933A0"/>
    <w:rsid w:val="009F326F"/>
    <w:rsid w:val="00A04B56"/>
    <w:rsid w:val="00A8660D"/>
    <w:rsid w:val="00AB4C61"/>
    <w:rsid w:val="00AC2794"/>
    <w:rsid w:val="00AD633C"/>
    <w:rsid w:val="00B03851"/>
    <w:rsid w:val="00B37570"/>
    <w:rsid w:val="00BE2ACA"/>
    <w:rsid w:val="00BE64B5"/>
    <w:rsid w:val="00BF1EFD"/>
    <w:rsid w:val="00BF5D30"/>
    <w:rsid w:val="00C37139"/>
    <w:rsid w:val="00C423BF"/>
    <w:rsid w:val="00C566BB"/>
    <w:rsid w:val="00C64728"/>
    <w:rsid w:val="00C94E2D"/>
    <w:rsid w:val="00CC1BC0"/>
    <w:rsid w:val="00CC478B"/>
    <w:rsid w:val="00CD0058"/>
    <w:rsid w:val="00D116C8"/>
    <w:rsid w:val="00D7652A"/>
    <w:rsid w:val="00D82E09"/>
    <w:rsid w:val="00D9326F"/>
    <w:rsid w:val="00DD61CD"/>
    <w:rsid w:val="00E5652A"/>
    <w:rsid w:val="00E613D4"/>
    <w:rsid w:val="00E63752"/>
    <w:rsid w:val="00E65DF3"/>
    <w:rsid w:val="00E731C4"/>
    <w:rsid w:val="00E9324B"/>
    <w:rsid w:val="00EC2552"/>
    <w:rsid w:val="00ED3A8F"/>
    <w:rsid w:val="00ED518F"/>
    <w:rsid w:val="00F269BC"/>
    <w:rsid w:val="00F466FD"/>
    <w:rsid w:val="00F4689E"/>
    <w:rsid w:val="00F55421"/>
    <w:rsid w:val="00F55967"/>
    <w:rsid w:val="00FA4293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539AF"/>
  <w15:chartTrackingRefBased/>
  <w15:docId w15:val="{05C0FB26-2FD8-B046-9509-F36E27D8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1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C312F"/>
    <w:pPr>
      <w:widowControl w:val="0"/>
      <w:autoSpaceDE w:val="0"/>
      <w:autoSpaceDN w:val="0"/>
      <w:spacing w:before="5"/>
      <w:ind w:left="110"/>
    </w:pPr>
    <w:rPr>
      <w:sz w:val="22"/>
      <w:szCs w:val="22"/>
    </w:rPr>
  </w:style>
  <w:style w:type="table" w:styleId="TableGridLight">
    <w:name w:val="Grid Table Light"/>
    <w:basedOn w:val="TableNormal"/>
    <w:uiPriority w:val="40"/>
    <w:rsid w:val="000C312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Dole, Neha S</dc:creator>
  <cp:keywords/>
  <dc:description/>
  <cp:lastModifiedBy>Dole, Neha S</cp:lastModifiedBy>
  <cp:revision>2</cp:revision>
  <cp:lastPrinted>2025-03-20T17:29:00Z</cp:lastPrinted>
  <dcterms:created xsi:type="dcterms:W3CDTF">2025-04-11T04:01:00Z</dcterms:created>
  <dcterms:modified xsi:type="dcterms:W3CDTF">2025-04-11T04:01:00Z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2025-03-20T17:29:53Z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9e79ea29-b9cf-48c0-a709-77477826184c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50, 3, 0, 1</vt:lpwstr>
  </property>
</Properties>
</file>