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D2F6E1">
      <w:pPr>
        <w:ind w:firstLine="0" w:firstLineChars="0"/>
        <w:rPr>
          <w:rFonts w:ascii="Times New Roman" w:hAnsi="Times New Roman" w:cs="Times New Roman"/>
          <w:b/>
          <w:bCs/>
        </w:rPr>
      </w:pPr>
      <w:r>
        <w:rPr>
          <w:rFonts w:ascii="Times New Roman" w:hAnsi="Times New Roman" w:cs="Times New Roman"/>
          <w:b/>
          <w:bCs/>
        </w:rPr>
        <w:t>Supplemental Information</w:t>
      </w:r>
    </w:p>
    <w:p w14:paraId="5E55F412">
      <w:pPr>
        <w:ind w:firstLine="0" w:firstLineChars="0"/>
        <w:rPr>
          <w:rFonts w:ascii="Times New Roman" w:hAnsi="Times New Roman" w:cs="Times New Roman"/>
          <w:b/>
          <w:bCs/>
        </w:rPr>
      </w:pPr>
    </w:p>
    <w:p w14:paraId="22814AAE">
      <w:pPr>
        <w:pStyle w:val="37"/>
        <w:keepNext/>
        <w:keepLines w:val="0"/>
        <w:pageBreakBefore w:val="0"/>
        <w:widowControl/>
        <w:kinsoku/>
        <w:wordWrap/>
        <w:overflowPunct/>
        <w:topLinePunct w:val="0"/>
        <w:autoSpaceDE/>
        <w:autoSpaceDN/>
        <w:bidi w:val="0"/>
        <w:adjustRightInd/>
        <w:snapToGrid/>
        <w:spacing w:before="0" w:after="313" w:afterLines="100" w:line="360" w:lineRule="auto"/>
        <w:ind w:firstLine="482"/>
        <w:textAlignment w:val="auto"/>
        <w:rPr>
          <w:rFonts w:eastAsiaTheme="minorEastAsia"/>
          <w:bCs w:val="0"/>
          <w:lang w:eastAsia="zh-CN"/>
        </w:rPr>
      </w:pPr>
      <w:r>
        <w:rPr>
          <w:rFonts w:hint="eastAsia"/>
          <w:bCs w:val="0"/>
        </w:rPr>
        <w:t>PT109B, a Multikinase Inhibitor, Converts Astrocytes into Dopaminergic Neurons and Alleviates Parkinson's Disease in Mice</w:t>
      </w:r>
      <w:r>
        <w:rPr>
          <w:bCs w:val="0"/>
        </w:rPr>
        <w:t>.</w:t>
      </w:r>
    </w:p>
    <w:p w14:paraId="7DE555A7">
      <w:pPr>
        <w:ind w:firstLine="0" w:firstLineChars="0"/>
        <w:rPr>
          <w:rFonts w:ascii="Times New Roman" w:hAnsi="Times New Roman" w:cs="Times New Roman"/>
          <w:b/>
          <w:bCs/>
        </w:rPr>
      </w:pPr>
      <w:r>
        <w:rPr>
          <w:rFonts w:ascii="Times New Roman" w:hAnsi="Times New Roman" w:cs="Times New Roman"/>
          <w:sz w:val="22"/>
          <w:szCs w:val="21"/>
        </w:rPr>
        <w:t xml:space="preserve">Cailv Wei, Yang Yang, Tszhei Fong, </w:t>
      </w:r>
      <w:r>
        <w:rPr>
          <w:rFonts w:hint="eastAsia" w:ascii="Times New Roman" w:hAnsi="Times New Roman" w:cs="Times New Roman"/>
          <w:sz w:val="22"/>
          <w:szCs w:val="21"/>
        </w:rPr>
        <w:t>Yuan Liu, Shisong Wang, Chao Ding, Zeyu Zhu, Jianwen Zhou, Kang Jia, Zhixian Zhang, Qianhui Shen, Yu Ren, Zhi Liang, Yanping Chen, Yalin Tu, Cheng Long, Wenbin Deng, Qiang Zhou, Karl Wah-Keung Tsim, Rongbiao Pi,</w:t>
      </w:r>
    </w:p>
    <w:p w14:paraId="6213ECAA">
      <w:pPr>
        <w:widowControl/>
        <w:spacing w:line="240" w:lineRule="auto"/>
        <w:ind w:firstLine="0" w:firstLineChars="0"/>
        <w:jc w:val="left"/>
        <w:rPr>
          <w:rFonts w:ascii="Times New Roman" w:hAnsi="Times New Roman" w:cs="Times New Roman"/>
          <w:b/>
          <w:bCs/>
        </w:rPr>
      </w:pPr>
      <w:r>
        <w:rPr>
          <w:rFonts w:ascii="Times New Roman" w:hAnsi="Times New Roman" w:cs="Times New Roman"/>
          <w:b/>
          <w:bCs/>
        </w:rPr>
        <w:br w:type="page"/>
      </w:r>
    </w:p>
    <w:p w14:paraId="316B1F7C">
      <w:pPr>
        <w:ind w:firstLine="0" w:firstLineChars="0"/>
        <w:rPr>
          <w:rFonts w:ascii="Times New Roman" w:hAnsi="Times New Roman" w:cs="Times New Roman"/>
          <w:b/>
          <w:bCs/>
        </w:rPr>
      </w:pPr>
      <w:r>
        <w:rPr>
          <w:rFonts w:ascii="Times New Roman" w:hAnsi="Times New Roman" w:cs="Times New Roman"/>
          <w:b/>
          <w:bCs/>
        </w:rPr>
        <w:t>Fig. S1</w:t>
      </w:r>
    </w:p>
    <w:p w14:paraId="75A396D5">
      <w:pPr>
        <w:ind w:firstLine="0" w:firstLineChars="0"/>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5268595" cy="2080260"/>
            <wp:effectExtent l="0" t="0" r="0" b="0"/>
            <wp:docPr id="1" name="图片 1"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 S1"/>
                    <pic:cNvPicPr>
                      <a:picLocks noChangeAspect="1"/>
                    </pic:cNvPicPr>
                  </pic:nvPicPr>
                  <pic:blipFill>
                    <a:blip r:embed="rId12"/>
                    <a:srcRect b="70781"/>
                    <a:stretch>
                      <a:fillRect/>
                    </a:stretch>
                  </pic:blipFill>
                  <pic:spPr>
                    <a:xfrm>
                      <a:off x="0" y="0"/>
                      <a:ext cx="5268595" cy="2080260"/>
                    </a:xfrm>
                    <a:prstGeom prst="rect">
                      <a:avLst/>
                    </a:prstGeom>
                  </pic:spPr>
                </pic:pic>
              </a:graphicData>
            </a:graphic>
          </wp:inline>
        </w:drawing>
      </w:r>
    </w:p>
    <w:p w14:paraId="1FDE71D3">
      <w:pPr>
        <w:spacing w:line="240" w:lineRule="auto"/>
        <w:ind w:firstLine="0" w:firstLineChars="0"/>
        <w:rPr>
          <w:rFonts w:ascii="Times New Roman" w:hAnsi="Times New Roman" w:cs="Times New Roman"/>
          <w:b/>
          <w:bCs/>
          <w:sz w:val="20"/>
          <w:szCs w:val="18"/>
        </w:rPr>
      </w:pPr>
      <w:r>
        <w:rPr>
          <w:rFonts w:hint="eastAsia" w:ascii="Times New Roman" w:hAnsi="Times New Roman" w:cs="Times New Roman"/>
          <w:b/>
          <w:bCs/>
          <w:sz w:val="20"/>
          <w:szCs w:val="18"/>
        </w:rPr>
        <w:t xml:space="preserve">Figure S1 </w:t>
      </w:r>
      <w:r>
        <w:rPr>
          <w:rFonts w:ascii="Times New Roman" w:hAnsi="Times New Roman" w:cs="Times New Roman"/>
          <w:b/>
          <w:bCs/>
          <w:sz w:val="20"/>
          <w:szCs w:val="18"/>
        </w:rPr>
        <w:t>Extraction and purity identification of primary rat midbrain astrocytes.</w:t>
      </w:r>
    </w:p>
    <w:p w14:paraId="12E193B5">
      <w:pPr>
        <w:spacing w:line="240" w:lineRule="auto"/>
        <w:ind w:firstLine="0" w:firstLineChars="0"/>
        <w:rPr>
          <w:rFonts w:ascii="Times New Roman" w:hAnsi="Times New Roman" w:cs="Times New Roman"/>
          <w:sz w:val="20"/>
          <w:szCs w:val="18"/>
        </w:rPr>
      </w:pPr>
      <w:r>
        <w:rPr>
          <w:rFonts w:hint="eastAsia" w:ascii="Times New Roman" w:hAnsi="Times New Roman" w:cs="Times New Roman"/>
          <w:b/>
          <w:bCs/>
          <w:sz w:val="20"/>
          <w:szCs w:val="18"/>
          <w:lang w:val="en-US" w:eastAsia="zh-CN"/>
        </w:rPr>
        <w:t>a</w:t>
      </w:r>
      <w:r>
        <w:rPr>
          <w:rFonts w:ascii="Times New Roman" w:hAnsi="Times New Roman" w:cs="Times New Roman"/>
          <w:sz w:val="20"/>
          <w:szCs w:val="18"/>
        </w:rPr>
        <w:t xml:space="preserve"> Flow chart of astrocytes extraction from midbrain. Primary midbrain astrocytes were cultured for 7 days in vitro, and shaken to obtain higher purity cells.</w:t>
      </w:r>
      <w:r>
        <w:rPr>
          <w:rFonts w:hint="eastAsia" w:ascii="Times New Roman" w:hAnsi="Times New Roman" w:cs="Times New Roman"/>
          <w:sz w:val="20"/>
          <w:szCs w:val="18"/>
          <w:lang w:val="en-US" w:eastAsia="zh-CN"/>
        </w:rPr>
        <w:t xml:space="preserve"> </w:t>
      </w:r>
      <w:r>
        <w:rPr>
          <w:rFonts w:hint="eastAsia" w:ascii="Times New Roman" w:hAnsi="Times New Roman" w:cs="Times New Roman"/>
          <w:b/>
          <w:bCs/>
          <w:sz w:val="20"/>
          <w:szCs w:val="18"/>
          <w:lang w:val="en-US" w:eastAsia="zh-CN"/>
        </w:rPr>
        <w:t>b</w:t>
      </w:r>
      <w:r>
        <w:rPr>
          <w:rFonts w:ascii="Times New Roman" w:hAnsi="Times New Roman" w:cs="Times New Roman"/>
          <w:sz w:val="20"/>
          <w:szCs w:val="18"/>
        </w:rPr>
        <w:t xml:space="preserve"> (B) Detection of cell types including astrocytes (GFAP, S100β), neuroblast (DCX), neuron (NeuN), microglia (Iba1) and oligodendrocyte (MOG) by immunofluorescence. </w:t>
      </w:r>
      <w:r>
        <w:rPr>
          <w:rFonts w:hint="eastAsia" w:ascii="Times New Roman" w:hAnsi="Times New Roman" w:cs="Times New Roman"/>
          <w:b/>
          <w:bCs/>
          <w:sz w:val="20"/>
          <w:szCs w:val="18"/>
          <w:lang w:val="en-US" w:eastAsia="zh-CN"/>
        </w:rPr>
        <w:t>c</w:t>
      </w:r>
      <w:r>
        <w:rPr>
          <w:rFonts w:ascii="Times New Roman" w:hAnsi="Times New Roman" w:cs="Times New Roman"/>
          <w:sz w:val="20"/>
          <w:szCs w:val="18"/>
        </w:rPr>
        <w:t xml:space="preserve"> Quantification of the cultured cell types of midbrain in vitro. n =</w:t>
      </w:r>
      <w:r>
        <w:rPr>
          <w:rFonts w:hint="eastAsia" w:ascii="Times New Roman" w:hAnsi="Times New Roman" w:cs="Times New Roman"/>
          <w:sz w:val="20"/>
          <w:szCs w:val="18"/>
          <w:lang w:val="en-US" w:eastAsia="zh-CN"/>
        </w:rPr>
        <w:t xml:space="preserve"> </w:t>
      </w:r>
      <w:r>
        <w:rPr>
          <w:rFonts w:ascii="Times New Roman" w:hAnsi="Times New Roman" w:cs="Times New Roman"/>
          <w:sz w:val="20"/>
          <w:szCs w:val="18"/>
        </w:rPr>
        <w:t>3, Scale bars =</w:t>
      </w:r>
      <w:r>
        <w:rPr>
          <w:rFonts w:hint="eastAsia" w:ascii="Times New Roman" w:hAnsi="Times New Roman" w:cs="Times New Roman"/>
          <w:sz w:val="20"/>
          <w:szCs w:val="18"/>
          <w:lang w:val="en-US" w:eastAsia="zh-CN"/>
        </w:rPr>
        <w:t xml:space="preserve"> </w:t>
      </w:r>
      <w:r>
        <w:rPr>
          <w:rFonts w:hint="eastAsia" w:ascii="Times New Roman" w:hAnsi="Times New Roman" w:cs="Times New Roman"/>
          <w:sz w:val="20"/>
          <w:szCs w:val="18"/>
        </w:rPr>
        <w:t>1</w:t>
      </w:r>
      <w:r>
        <w:rPr>
          <w:rFonts w:ascii="Times New Roman" w:hAnsi="Times New Roman" w:cs="Times New Roman"/>
          <w:sz w:val="20"/>
          <w:szCs w:val="18"/>
        </w:rPr>
        <w:t>0 μm. Data are represented as Mean ± SEM.</w:t>
      </w:r>
    </w:p>
    <w:p w14:paraId="72EC4F22">
      <w:pPr>
        <w:ind w:firstLine="480"/>
        <w:rPr>
          <w:rFonts w:ascii="Times New Roman" w:hAnsi="Times New Roman" w:cs="Times New Roman"/>
        </w:rPr>
      </w:pPr>
      <w:r>
        <w:rPr>
          <w:rFonts w:ascii="Times New Roman" w:hAnsi="Times New Roman" w:cs="Times New Roman"/>
        </w:rPr>
        <w:br w:type="page"/>
      </w:r>
    </w:p>
    <w:p w14:paraId="02704B90">
      <w:pPr>
        <w:ind w:firstLine="0" w:firstLineChars="0"/>
        <w:rPr>
          <w:rFonts w:ascii="Times New Roman" w:hAnsi="Times New Roman" w:cs="Times New Roman"/>
          <w:b/>
          <w:bCs/>
        </w:rPr>
      </w:pPr>
      <w:r>
        <w:rPr>
          <w:rFonts w:ascii="Times New Roman" w:hAnsi="Times New Roman" w:cs="Times New Roman"/>
          <w:b/>
          <w:bCs/>
        </w:rPr>
        <w:t>Fig. S2</w:t>
      </w:r>
    </w:p>
    <w:p w14:paraId="400E3BC5">
      <w:pPr>
        <w:ind w:firstLine="0" w:firstLineChars="0"/>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5268595" cy="5677535"/>
            <wp:effectExtent l="0" t="0" r="0" b="0"/>
            <wp:docPr id="9" name="图片 9"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 S2"/>
                    <pic:cNvPicPr>
                      <a:picLocks noChangeAspect="1"/>
                    </pic:cNvPicPr>
                  </pic:nvPicPr>
                  <pic:blipFill>
                    <a:blip r:embed="rId13"/>
                    <a:srcRect t="7960" b="12783"/>
                    <a:stretch>
                      <a:fillRect/>
                    </a:stretch>
                  </pic:blipFill>
                  <pic:spPr>
                    <a:xfrm>
                      <a:off x="0" y="0"/>
                      <a:ext cx="5268595" cy="5677535"/>
                    </a:xfrm>
                    <a:prstGeom prst="rect">
                      <a:avLst/>
                    </a:prstGeom>
                  </pic:spPr>
                </pic:pic>
              </a:graphicData>
            </a:graphic>
          </wp:inline>
        </w:drawing>
      </w:r>
    </w:p>
    <w:p w14:paraId="3A76EAE6">
      <w:pPr>
        <w:spacing w:line="240" w:lineRule="auto"/>
        <w:ind w:firstLine="0" w:firstLineChars="0"/>
        <w:rPr>
          <w:rFonts w:ascii="Times New Roman" w:hAnsi="Times New Roman" w:cs="Times New Roman"/>
          <w:b/>
          <w:bCs/>
          <w:sz w:val="20"/>
          <w:szCs w:val="18"/>
        </w:rPr>
      </w:pPr>
      <w:r>
        <w:rPr>
          <w:rFonts w:hint="eastAsia" w:ascii="Times New Roman" w:hAnsi="Times New Roman" w:cs="Times New Roman"/>
          <w:b/>
          <w:bCs/>
          <w:sz w:val="20"/>
          <w:szCs w:val="18"/>
        </w:rPr>
        <w:t>Figure S2</w:t>
      </w:r>
      <w:r>
        <w:rPr>
          <w:rFonts w:ascii="Times New Roman" w:hAnsi="Times New Roman" w:cs="Times New Roman"/>
          <w:bCs/>
          <w:sz w:val="20"/>
          <w:szCs w:val="18"/>
        </w:rPr>
        <w:t xml:space="preserve"> </w:t>
      </w:r>
      <w:r>
        <w:rPr>
          <w:rFonts w:ascii="Times New Roman" w:hAnsi="Times New Roman" w:cs="Times New Roman"/>
          <w:b/>
          <w:bCs/>
          <w:sz w:val="20"/>
          <w:szCs w:val="18"/>
        </w:rPr>
        <w:t>PT109B directly reprogramed astrocytes into induced neurons.</w:t>
      </w:r>
    </w:p>
    <w:p w14:paraId="510600AB">
      <w:pPr>
        <w:spacing w:line="240" w:lineRule="auto"/>
        <w:ind w:firstLine="0" w:firstLineChars="0"/>
        <w:rPr>
          <w:rFonts w:ascii="Times New Roman" w:hAnsi="Times New Roman" w:cs="Times New Roman"/>
          <w:bCs/>
          <w:sz w:val="20"/>
          <w:szCs w:val="18"/>
        </w:rPr>
      </w:pPr>
      <w:r>
        <w:rPr>
          <w:rFonts w:hint="eastAsia" w:ascii="Times New Roman" w:hAnsi="Times New Roman" w:cs="Times New Roman"/>
          <w:b/>
          <w:bCs/>
          <w:sz w:val="20"/>
          <w:szCs w:val="18"/>
          <w:lang w:val="en-US" w:eastAsia="zh-CN"/>
        </w:rPr>
        <w:t xml:space="preserve">a </w:t>
      </w:r>
      <w:r>
        <w:rPr>
          <w:rFonts w:ascii="Times New Roman" w:hAnsi="Times New Roman" w:cs="Times New Roman"/>
          <w:bCs/>
          <w:sz w:val="20"/>
          <w:szCs w:val="18"/>
        </w:rPr>
        <w:t xml:space="preserve">Schematic of the experimental design. Test 1: </w:t>
      </w:r>
      <w:r>
        <w:rPr>
          <w:rFonts w:hint="eastAsia" w:ascii="Times New Roman" w:hAnsi="Times New Roman" w:cs="Times New Roman"/>
          <w:bCs/>
          <w:sz w:val="20"/>
          <w:szCs w:val="18"/>
        </w:rPr>
        <w:t>a</w:t>
      </w:r>
      <w:r>
        <w:rPr>
          <w:rFonts w:ascii="Times New Roman" w:hAnsi="Times New Roman" w:cs="Times New Roman"/>
          <w:bCs/>
          <w:sz w:val="20"/>
          <w:szCs w:val="18"/>
        </w:rPr>
        <w:t xml:space="preserve">ssessment of cell proliferation capacity; Test 2: </w:t>
      </w:r>
      <w:r>
        <w:rPr>
          <w:rFonts w:hint="eastAsia" w:ascii="Times New Roman" w:hAnsi="Times New Roman" w:cs="Times New Roman"/>
          <w:bCs/>
          <w:sz w:val="20"/>
          <w:szCs w:val="18"/>
        </w:rPr>
        <w:t>d</w:t>
      </w:r>
      <w:r>
        <w:rPr>
          <w:rFonts w:ascii="Times New Roman" w:hAnsi="Times New Roman" w:cs="Times New Roman"/>
          <w:bCs/>
          <w:sz w:val="20"/>
          <w:szCs w:val="18"/>
        </w:rPr>
        <w:t xml:space="preserve">etection of neural stem cell markers; Test 3: </w:t>
      </w:r>
      <w:r>
        <w:rPr>
          <w:rFonts w:hint="eastAsia" w:ascii="Times New Roman" w:hAnsi="Times New Roman" w:cs="Times New Roman"/>
          <w:bCs/>
          <w:sz w:val="20"/>
          <w:szCs w:val="18"/>
        </w:rPr>
        <w:t>e</w:t>
      </w:r>
      <w:r>
        <w:rPr>
          <w:rFonts w:ascii="Times New Roman" w:hAnsi="Times New Roman" w:cs="Times New Roman"/>
          <w:bCs/>
          <w:sz w:val="20"/>
          <w:szCs w:val="18"/>
        </w:rPr>
        <w:t>valuation of astrocytes and neuronal markers following PT109B</w:t>
      </w:r>
      <w:r>
        <w:rPr>
          <w:rFonts w:hint="eastAsia" w:ascii="Times New Roman" w:hAnsi="Times New Roman" w:cs="Times New Roman"/>
          <w:bCs/>
          <w:sz w:val="20"/>
          <w:szCs w:val="18"/>
        </w:rPr>
        <w:t xml:space="preserve"> </w:t>
      </w:r>
      <w:r>
        <w:rPr>
          <w:rFonts w:ascii="Times New Roman" w:hAnsi="Times New Roman" w:cs="Times New Roman"/>
          <w:bCs/>
          <w:sz w:val="20"/>
          <w:szCs w:val="18"/>
        </w:rPr>
        <w:t xml:space="preserve">(10 μM) treatment. </w:t>
      </w:r>
      <w:r>
        <w:rPr>
          <w:rFonts w:hint="eastAsia" w:ascii="Times New Roman" w:hAnsi="Times New Roman" w:cs="Times New Roman"/>
          <w:b/>
          <w:bCs w:val="0"/>
          <w:sz w:val="20"/>
          <w:szCs w:val="18"/>
          <w:lang w:val="en-US" w:eastAsia="zh-CN"/>
        </w:rPr>
        <w:t>b, c</w:t>
      </w:r>
      <w:r>
        <w:rPr>
          <w:rFonts w:ascii="Times New Roman" w:hAnsi="Times New Roman" w:cs="Times New Roman"/>
          <w:bCs/>
          <w:sz w:val="20"/>
          <w:szCs w:val="18"/>
        </w:rPr>
        <w:t xml:space="preserve"> Representative images of the expression of NPCs makers (B) SOX2 and (C) OCT4, and immature neuron maker Tuj1 in the primary astrocytes post-PT109B induction at 3 and 7 days. </w:t>
      </w:r>
      <w:r>
        <w:rPr>
          <w:rFonts w:hint="eastAsia" w:ascii="Times New Roman" w:hAnsi="Times New Roman" w:cs="Times New Roman"/>
          <w:b/>
          <w:bCs w:val="0"/>
          <w:sz w:val="20"/>
          <w:szCs w:val="18"/>
          <w:lang w:val="en-US" w:eastAsia="zh-CN"/>
        </w:rPr>
        <w:t>d</w:t>
      </w:r>
      <w:r>
        <w:rPr>
          <w:rFonts w:hint="eastAsia" w:ascii="Times New Roman" w:hAnsi="Times New Roman" w:cs="Times New Roman"/>
          <w:bCs/>
          <w:sz w:val="20"/>
          <w:szCs w:val="18"/>
          <w:lang w:val="en-US" w:eastAsia="zh-CN"/>
        </w:rPr>
        <w:t xml:space="preserve"> </w:t>
      </w:r>
      <w:r>
        <w:rPr>
          <w:rFonts w:ascii="Times New Roman" w:hAnsi="Times New Roman" w:cs="Times New Roman"/>
          <w:bCs/>
          <w:sz w:val="20"/>
          <w:szCs w:val="18"/>
        </w:rPr>
        <w:t>Quantification of Tuj1</w:t>
      </w:r>
      <w:r>
        <w:rPr>
          <w:rFonts w:ascii="Times New Roman" w:hAnsi="Times New Roman" w:cs="Times New Roman"/>
          <w:bCs/>
          <w:sz w:val="20"/>
          <w:szCs w:val="18"/>
          <w:vertAlign w:val="superscript"/>
        </w:rPr>
        <w:t>+</w:t>
      </w:r>
      <w:r>
        <w:rPr>
          <w:rFonts w:ascii="Times New Roman" w:hAnsi="Times New Roman" w:cs="Times New Roman"/>
          <w:bCs/>
          <w:sz w:val="20"/>
          <w:szCs w:val="18"/>
        </w:rPr>
        <w:t>, SOX2</w:t>
      </w:r>
      <w:r>
        <w:rPr>
          <w:rFonts w:ascii="Times New Roman" w:hAnsi="Times New Roman" w:cs="Times New Roman"/>
          <w:bCs/>
          <w:sz w:val="20"/>
          <w:szCs w:val="18"/>
          <w:vertAlign w:val="superscript"/>
        </w:rPr>
        <w:t>+</w:t>
      </w:r>
      <w:r>
        <w:rPr>
          <w:rFonts w:ascii="Times New Roman" w:hAnsi="Times New Roman" w:cs="Times New Roman"/>
          <w:bCs/>
          <w:sz w:val="20"/>
          <w:szCs w:val="18"/>
        </w:rPr>
        <w:t>, and OCT4</w:t>
      </w:r>
      <w:r>
        <w:rPr>
          <w:rFonts w:ascii="Times New Roman" w:hAnsi="Times New Roman" w:cs="Times New Roman"/>
          <w:bCs/>
          <w:sz w:val="20"/>
          <w:szCs w:val="18"/>
          <w:vertAlign w:val="superscript"/>
        </w:rPr>
        <w:t>+</w:t>
      </w:r>
      <w:r>
        <w:rPr>
          <w:rFonts w:ascii="Times New Roman" w:hAnsi="Times New Roman" w:cs="Times New Roman"/>
          <w:bCs/>
          <w:sz w:val="20"/>
          <w:szCs w:val="18"/>
        </w:rPr>
        <w:t xml:space="preserve"> cells in PT109B-induced cells. </w:t>
      </w:r>
      <w:r>
        <w:rPr>
          <w:rFonts w:hint="eastAsia" w:ascii="Times New Roman" w:hAnsi="Times New Roman" w:cs="Times New Roman"/>
          <w:bCs/>
          <w:sz w:val="20"/>
          <w:szCs w:val="18"/>
          <w:lang w:val="en-US" w:eastAsia="zh-CN"/>
        </w:rPr>
        <w:t xml:space="preserve">(n=3-7). </w:t>
      </w:r>
      <w:r>
        <w:rPr>
          <w:rFonts w:hint="eastAsia" w:ascii="Times New Roman" w:hAnsi="Times New Roman" w:cs="Times New Roman"/>
          <w:b/>
          <w:bCs w:val="0"/>
          <w:sz w:val="20"/>
          <w:szCs w:val="18"/>
          <w:lang w:val="en-US" w:eastAsia="zh-CN"/>
        </w:rPr>
        <w:t>e</w:t>
      </w:r>
      <w:r>
        <w:rPr>
          <w:rFonts w:ascii="Times New Roman" w:hAnsi="Times New Roman" w:cs="Times New Roman"/>
          <w:bCs/>
          <w:sz w:val="20"/>
          <w:szCs w:val="18"/>
        </w:rPr>
        <w:t xml:space="preserve"> </w:t>
      </w:r>
      <w:bookmarkStart w:id="0" w:name="_GoBack"/>
      <w:bookmarkEnd w:id="0"/>
      <w:r>
        <w:rPr>
          <w:rFonts w:ascii="Times New Roman" w:hAnsi="Times New Roman" w:cs="Times New Roman"/>
          <w:bCs/>
          <w:sz w:val="20"/>
          <w:szCs w:val="18"/>
        </w:rPr>
        <w:t>Immunostaining of BrdU labeled with BrdU 24 h</w:t>
      </w:r>
      <w:r>
        <w:rPr>
          <w:rFonts w:hint="eastAsia" w:ascii="Times New Roman" w:hAnsi="Times New Roman" w:cs="Times New Roman"/>
          <w:bCs/>
          <w:sz w:val="20"/>
          <w:szCs w:val="18"/>
          <w:lang w:val="en-US" w:eastAsia="zh-CN"/>
        </w:rPr>
        <w:t>ours</w:t>
      </w:r>
      <w:r>
        <w:rPr>
          <w:rFonts w:ascii="Times New Roman" w:hAnsi="Times New Roman" w:cs="Times New Roman"/>
          <w:bCs/>
          <w:sz w:val="20"/>
          <w:szCs w:val="18"/>
        </w:rPr>
        <w:t xml:space="preserve"> prior to PT109B treatment. </w:t>
      </w:r>
      <w:r>
        <w:rPr>
          <w:rFonts w:hint="eastAsia" w:ascii="Times New Roman" w:hAnsi="Times New Roman" w:cs="Times New Roman"/>
          <w:b/>
          <w:bCs w:val="0"/>
          <w:sz w:val="20"/>
          <w:szCs w:val="18"/>
          <w:lang w:val="en-US" w:eastAsia="zh-CN"/>
        </w:rPr>
        <w:t>f</w:t>
      </w:r>
      <w:r>
        <w:rPr>
          <w:rFonts w:ascii="Times New Roman" w:hAnsi="Times New Roman" w:cs="Times New Roman"/>
          <w:b/>
          <w:bCs w:val="0"/>
          <w:sz w:val="20"/>
          <w:szCs w:val="18"/>
        </w:rPr>
        <w:t xml:space="preserve"> </w:t>
      </w:r>
      <w:r>
        <w:rPr>
          <w:rFonts w:ascii="Times New Roman" w:hAnsi="Times New Roman" w:cs="Times New Roman"/>
          <w:bCs/>
          <w:sz w:val="20"/>
          <w:szCs w:val="18"/>
        </w:rPr>
        <w:t>Representative images of Ki67</w:t>
      </w:r>
      <w:r>
        <w:rPr>
          <w:rFonts w:ascii="Times New Roman" w:hAnsi="Times New Roman" w:cs="Times New Roman"/>
          <w:bCs/>
          <w:sz w:val="20"/>
          <w:szCs w:val="18"/>
          <w:vertAlign w:val="superscript"/>
        </w:rPr>
        <w:t>+</w:t>
      </w:r>
      <w:r>
        <w:rPr>
          <w:rFonts w:ascii="Times New Roman" w:hAnsi="Times New Roman" w:cs="Times New Roman"/>
          <w:bCs/>
          <w:sz w:val="20"/>
          <w:szCs w:val="18"/>
        </w:rPr>
        <w:t xml:space="preserve"> cells following PT109B induction for 3 and 7 days. </w:t>
      </w:r>
      <w:r>
        <w:rPr>
          <w:rFonts w:hint="eastAsia" w:ascii="Times New Roman" w:hAnsi="Times New Roman" w:cs="Times New Roman"/>
          <w:b/>
          <w:bCs w:val="0"/>
          <w:sz w:val="20"/>
          <w:szCs w:val="18"/>
          <w:lang w:val="en-US" w:eastAsia="zh-CN"/>
        </w:rPr>
        <w:t>g</w:t>
      </w:r>
      <w:r>
        <w:rPr>
          <w:rFonts w:ascii="Times New Roman" w:hAnsi="Times New Roman" w:cs="Times New Roman"/>
          <w:bCs/>
          <w:sz w:val="20"/>
          <w:szCs w:val="18"/>
        </w:rPr>
        <w:t xml:space="preserve"> Quantification of Brdu</w:t>
      </w:r>
      <w:r>
        <w:rPr>
          <w:rFonts w:ascii="Times New Roman" w:hAnsi="Times New Roman" w:cs="Times New Roman"/>
          <w:bCs/>
          <w:sz w:val="20"/>
          <w:szCs w:val="18"/>
          <w:vertAlign w:val="superscript"/>
        </w:rPr>
        <w:t>+</w:t>
      </w:r>
      <w:r>
        <w:rPr>
          <w:rFonts w:ascii="Times New Roman" w:hAnsi="Times New Roman" w:cs="Times New Roman"/>
          <w:bCs/>
          <w:sz w:val="20"/>
          <w:szCs w:val="18"/>
        </w:rPr>
        <w:t xml:space="preserve"> and Ki67</w:t>
      </w:r>
      <w:r>
        <w:rPr>
          <w:rFonts w:ascii="Times New Roman" w:hAnsi="Times New Roman" w:cs="Times New Roman"/>
          <w:bCs/>
          <w:sz w:val="20"/>
          <w:szCs w:val="18"/>
          <w:vertAlign w:val="superscript"/>
        </w:rPr>
        <w:t>+</w:t>
      </w:r>
      <w:r>
        <w:rPr>
          <w:rFonts w:ascii="Times New Roman" w:hAnsi="Times New Roman" w:cs="Times New Roman"/>
          <w:bCs/>
          <w:sz w:val="20"/>
          <w:szCs w:val="18"/>
        </w:rPr>
        <w:t xml:space="preserve"> cells.  </w:t>
      </w:r>
      <w:r>
        <w:rPr>
          <w:rFonts w:hint="eastAsia" w:ascii="Times New Roman" w:hAnsi="Times New Roman" w:cs="Times New Roman"/>
          <w:bCs/>
          <w:sz w:val="20"/>
          <w:szCs w:val="18"/>
          <w:lang w:val="en-US" w:eastAsia="zh-CN"/>
        </w:rPr>
        <w:t xml:space="preserve">(n=3-4). </w:t>
      </w:r>
      <w:r>
        <w:rPr>
          <w:rFonts w:hint="eastAsia" w:ascii="Times New Roman" w:hAnsi="Times New Roman" w:cs="Times New Roman"/>
          <w:b/>
          <w:bCs w:val="0"/>
          <w:sz w:val="20"/>
          <w:szCs w:val="18"/>
          <w:lang w:val="en-US" w:eastAsia="zh-CN"/>
        </w:rPr>
        <w:t>h</w:t>
      </w:r>
      <w:r>
        <w:rPr>
          <w:rFonts w:ascii="Times New Roman" w:hAnsi="Times New Roman" w:cs="Times New Roman"/>
          <w:bCs/>
          <w:sz w:val="20"/>
          <w:szCs w:val="18"/>
        </w:rPr>
        <w:t xml:space="preserve"> Immunofluorescence analysis of astrocytes treated with PT109B for 0, 3, 7, and 14 days. Markers for astrocytes (GFAP), mature neurons (MAP2), and dopaminergic neurons (TH) were assessed. </w:t>
      </w:r>
      <w:r>
        <w:rPr>
          <w:rFonts w:hint="eastAsia" w:ascii="Times New Roman" w:hAnsi="Times New Roman" w:cs="Times New Roman"/>
          <w:b/>
          <w:bCs w:val="0"/>
          <w:sz w:val="20"/>
          <w:szCs w:val="18"/>
          <w:lang w:val="en-US" w:eastAsia="zh-CN"/>
        </w:rPr>
        <w:t>i-k</w:t>
      </w:r>
      <w:r>
        <w:rPr>
          <w:rFonts w:ascii="Times New Roman" w:hAnsi="Times New Roman" w:cs="Times New Roman"/>
          <w:bCs/>
          <w:sz w:val="20"/>
          <w:szCs w:val="18"/>
        </w:rPr>
        <w:t xml:space="preserve"> Statistical analysis of the ratio of (I) GFAP</w:t>
      </w:r>
      <w:r>
        <w:rPr>
          <w:rFonts w:ascii="Times New Roman" w:hAnsi="Times New Roman" w:cs="Times New Roman"/>
          <w:bCs/>
          <w:sz w:val="20"/>
          <w:szCs w:val="18"/>
          <w:vertAlign w:val="superscript"/>
        </w:rPr>
        <w:t>+</w:t>
      </w:r>
      <w:r>
        <w:rPr>
          <w:rFonts w:ascii="Times New Roman" w:hAnsi="Times New Roman" w:cs="Times New Roman"/>
          <w:bCs/>
          <w:sz w:val="20"/>
          <w:szCs w:val="18"/>
        </w:rPr>
        <w:t>, (J) MAP2</w:t>
      </w:r>
      <w:r>
        <w:rPr>
          <w:rFonts w:ascii="Times New Roman" w:hAnsi="Times New Roman" w:cs="Times New Roman"/>
          <w:bCs/>
          <w:sz w:val="20"/>
          <w:szCs w:val="18"/>
          <w:vertAlign w:val="superscript"/>
        </w:rPr>
        <w:t>+</w:t>
      </w:r>
      <w:r>
        <w:rPr>
          <w:rFonts w:ascii="Times New Roman" w:hAnsi="Times New Roman" w:cs="Times New Roman"/>
          <w:bCs/>
          <w:sz w:val="20"/>
          <w:szCs w:val="18"/>
        </w:rPr>
        <w:t xml:space="preserve"> and (K) TH</w:t>
      </w:r>
      <w:r>
        <w:rPr>
          <w:rFonts w:ascii="Times New Roman" w:hAnsi="Times New Roman" w:cs="Times New Roman"/>
          <w:bCs/>
          <w:sz w:val="20"/>
          <w:szCs w:val="18"/>
          <w:vertAlign w:val="superscript"/>
        </w:rPr>
        <w:t xml:space="preserve">+ </w:t>
      </w:r>
      <w:r>
        <w:rPr>
          <w:rFonts w:ascii="Times New Roman" w:hAnsi="Times New Roman" w:cs="Times New Roman"/>
          <w:bCs/>
          <w:sz w:val="20"/>
          <w:szCs w:val="18"/>
        </w:rPr>
        <w:t xml:space="preserve">cell in each group. Scale bar=20 μm. </w:t>
      </w:r>
      <w:r>
        <w:rPr>
          <w:rFonts w:hint="eastAsia" w:ascii="Times New Roman" w:hAnsi="Times New Roman" w:cs="Times New Roman"/>
          <w:bCs/>
          <w:sz w:val="20"/>
          <w:szCs w:val="18"/>
          <w:lang w:val="en-US" w:eastAsia="zh-CN"/>
        </w:rPr>
        <w:t xml:space="preserve">(n=3). </w:t>
      </w:r>
      <w:r>
        <w:rPr>
          <w:rFonts w:ascii="Times New Roman" w:hAnsi="Times New Roman" w:cs="Times New Roman"/>
          <w:bCs/>
          <w:sz w:val="20"/>
          <w:szCs w:val="18"/>
        </w:rPr>
        <w:t xml:space="preserve">Data are reported as mean ± SEM; </w:t>
      </w:r>
      <w:r>
        <w:rPr>
          <w:rFonts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 xml:space="preserve">&lt; 0.05, </w:t>
      </w:r>
      <w:r>
        <w:rPr>
          <w:rFonts w:ascii="Times New Roman" w:hAnsi="Times New Roman" w:cs="Times New Roman"/>
          <w:b/>
          <w:bCs/>
          <w:sz w:val="20"/>
          <w:szCs w:val="18"/>
          <w:vertAlign w:val="superscript"/>
        </w:rPr>
        <w:t>*</w:t>
      </w:r>
      <w:r>
        <w:rPr>
          <w:rFonts w:hint="eastAsia"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&lt; 0.0</w:t>
      </w:r>
      <w:r>
        <w:rPr>
          <w:rFonts w:hint="eastAsia" w:ascii="Times New Roman" w:hAnsi="Times New Roman" w:cs="Times New Roman"/>
          <w:bCs/>
          <w:sz w:val="20"/>
          <w:szCs w:val="18"/>
        </w:rPr>
        <w:t>1</w:t>
      </w:r>
      <w:r>
        <w:rPr>
          <w:rFonts w:ascii="Times New Roman" w:hAnsi="Times New Roman" w:cs="Times New Roman"/>
          <w:bCs/>
          <w:sz w:val="20"/>
          <w:szCs w:val="18"/>
        </w:rPr>
        <w:t>,</w:t>
      </w:r>
      <w:r>
        <w:rPr>
          <w:rFonts w:hint="eastAsia" w:ascii="Times New Roman" w:hAnsi="Times New Roman" w:cs="Times New Roman"/>
          <w:bCs/>
          <w:sz w:val="20"/>
          <w:szCs w:val="18"/>
        </w:rPr>
        <w:t xml:space="preserve"> </w:t>
      </w:r>
      <w:r>
        <w:rPr>
          <w:rFonts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&lt; 0.001 vs. control group</w:t>
      </w:r>
      <w:r>
        <w:rPr>
          <w:rFonts w:hint="eastAsia" w:ascii="Times New Roman" w:hAnsi="Times New Roman" w:cs="Times New Roman"/>
          <w:bCs/>
          <w:sz w:val="20"/>
          <w:szCs w:val="18"/>
          <w:lang w:val="en-US" w:eastAsia="zh-CN"/>
        </w:rPr>
        <w:t xml:space="preserve"> (CT)</w:t>
      </w:r>
      <w:r>
        <w:rPr>
          <w:rFonts w:ascii="Times New Roman" w:hAnsi="Times New Roman" w:cs="Times New Roman"/>
          <w:bCs/>
          <w:sz w:val="20"/>
          <w:szCs w:val="18"/>
        </w:rPr>
        <w:t xml:space="preserve">. </w:t>
      </w:r>
    </w:p>
    <w:p w14:paraId="3B9A7A4B">
      <w:pPr>
        <w:ind w:firstLine="198" w:firstLineChars="82"/>
        <w:rPr>
          <w:rFonts w:ascii="Times New Roman" w:hAnsi="Times New Roman" w:cs="Times New Roman"/>
          <w:b/>
          <w:bCs/>
        </w:rPr>
      </w:pPr>
    </w:p>
    <w:p w14:paraId="6E54856C">
      <w:pPr>
        <w:ind w:firstLine="198" w:firstLineChars="82"/>
        <w:rPr>
          <w:rFonts w:ascii="Times New Roman" w:hAnsi="Times New Roman" w:cs="Times New Roman"/>
          <w:b/>
          <w:bCs/>
        </w:rPr>
      </w:pPr>
      <w:r>
        <w:rPr>
          <w:rFonts w:ascii="Times New Roman" w:hAnsi="Times New Roman" w:cs="Times New Roman"/>
          <w:b/>
          <w:bCs/>
        </w:rPr>
        <w:t>Fig. S3</w:t>
      </w:r>
    </w:p>
    <w:p w14:paraId="3B8F7041">
      <w:pPr>
        <w:ind w:firstLine="0" w:firstLineChars="0"/>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5273675" cy="3576955"/>
            <wp:effectExtent l="0" t="0" r="0" b="0"/>
            <wp:docPr id="5" name="图片 5"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3"/>
                    <pic:cNvPicPr>
                      <a:picLocks noChangeAspect="1"/>
                    </pic:cNvPicPr>
                  </pic:nvPicPr>
                  <pic:blipFill>
                    <a:blip r:embed="rId14"/>
                    <a:srcRect b="49602"/>
                    <a:stretch>
                      <a:fillRect/>
                    </a:stretch>
                  </pic:blipFill>
                  <pic:spPr>
                    <a:xfrm>
                      <a:off x="0" y="0"/>
                      <a:ext cx="5273675" cy="3576955"/>
                    </a:xfrm>
                    <a:prstGeom prst="rect">
                      <a:avLst/>
                    </a:prstGeom>
                  </pic:spPr>
                </pic:pic>
              </a:graphicData>
            </a:graphic>
          </wp:inline>
        </w:drawing>
      </w:r>
    </w:p>
    <w:p w14:paraId="08D2365F">
      <w:pPr>
        <w:spacing w:line="240" w:lineRule="auto"/>
        <w:ind w:firstLine="0" w:firstLineChars="0"/>
        <w:rPr>
          <w:rFonts w:ascii="Times New Roman" w:hAnsi="Times New Roman" w:cs="Times New Roman"/>
          <w:sz w:val="20"/>
          <w:szCs w:val="20"/>
        </w:rPr>
      </w:pPr>
      <w:r>
        <w:rPr>
          <w:rFonts w:hint="eastAsia" w:ascii="Times New Roman" w:hAnsi="Times New Roman" w:cs="Times New Roman"/>
          <w:b/>
          <w:bCs/>
          <w:sz w:val="20"/>
          <w:szCs w:val="20"/>
        </w:rPr>
        <w:t>Figure S3</w:t>
      </w:r>
      <w:r>
        <w:rPr>
          <w:rFonts w:ascii="Times New Roman" w:hAnsi="Times New Roman" w:cs="Times New Roman"/>
          <w:b/>
          <w:bCs/>
          <w:sz w:val="20"/>
          <w:szCs w:val="20"/>
        </w:rPr>
        <w:t xml:space="preserve"> PTBP1 overexpression does not alter PT109B-induced morphological changes in astrocytes. </w:t>
      </w:r>
    </w:p>
    <w:p w14:paraId="53331F5B">
      <w:pPr>
        <w:spacing w:line="240" w:lineRule="auto"/>
        <w:ind w:firstLine="0" w:firstLineChars="0"/>
        <w:rPr>
          <w:rFonts w:ascii="Times New Roman" w:hAnsi="Times New Roman" w:cs="Times New Roman"/>
        </w:rPr>
      </w:pPr>
      <w:r>
        <w:rPr>
          <w:rFonts w:hint="eastAsia" w:ascii="Times New Roman" w:hAnsi="Times New Roman" w:cs="Times New Roman"/>
          <w:b/>
          <w:bCs w:val="0"/>
          <w:sz w:val="20"/>
          <w:szCs w:val="20"/>
          <w:lang w:val="en-US" w:eastAsia="zh-CN"/>
        </w:rPr>
        <w:t>a</w:t>
      </w:r>
      <w:r>
        <w:rPr>
          <w:rFonts w:ascii="Times New Roman" w:hAnsi="Times New Roman" w:cs="Times New Roman"/>
          <w:bCs/>
          <w:sz w:val="20"/>
          <w:szCs w:val="20"/>
        </w:rPr>
        <w:t xml:space="preserve"> Western blot analysis of PTBP1 protein levels in astrocytes following PT109B (10 μM) treatment for 0.75, 1.5, 3, 6, 12, 24 and 72 hours. </w:t>
      </w:r>
      <w:r>
        <w:rPr>
          <w:rFonts w:hint="eastAsia" w:ascii="Times New Roman" w:hAnsi="Times New Roman" w:cs="Times New Roman"/>
          <w:b/>
          <w:bCs w:val="0"/>
          <w:sz w:val="20"/>
          <w:szCs w:val="20"/>
          <w:lang w:val="en-US" w:eastAsia="zh-CN"/>
        </w:rPr>
        <w:t>b</w:t>
      </w:r>
      <w:r>
        <w:rPr>
          <w:rFonts w:hint="eastAsia" w:ascii="Times New Roman" w:hAnsi="Times New Roman" w:cs="Times New Roman"/>
          <w:bCs/>
          <w:sz w:val="20"/>
          <w:szCs w:val="20"/>
          <w:lang w:val="en-US" w:eastAsia="zh-CN"/>
        </w:rPr>
        <w:t xml:space="preserve"> </w:t>
      </w:r>
      <w:r>
        <w:rPr>
          <w:rFonts w:ascii="Times New Roman" w:hAnsi="Times New Roman" w:cs="Times New Roman"/>
          <w:bCs/>
          <w:sz w:val="20"/>
          <w:szCs w:val="20"/>
        </w:rPr>
        <w:t>Quantification of PTBP1 protein level.</w:t>
      </w:r>
      <w:r>
        <w:rPr>
          <w:rFonts w:hint="eastAsia" w:ascii="Times New Roman" w:hAnsi="Times New Roman" w:cs="Times New Roman"/>
          <w:bCs/>
          <w:sz w:val="20"/>
          <w:szCs w:val="20"/>
          <w:lang w:val="en-US" w:eastAsia="zh-CN"/>
        </w:rPr>
        <w:t xml:space="preserve"> </w:t>
      </w:r>
      <w:r>
        <w:rPr>
          <w:rFonts w:ascii="Times New Roman" w:hAnsi="Times New Roman" w:cs="Times New Roman"/>
          <w:bCs/>
          <w:sz w:val="20"/>
          <w:szCs w:val="18"/>
        </w:rPr>
        <w:t xml:space="preserve"> </w:t>
      </w:r>
      <w:r>
        <w:rPr>
          <w:rFonts w:hint="eastAsia" w:ascii="Times New Roman" w:hAnsi="Times New Roman" w:cs="Times New Roman"/>
          <w:bCs/>
          <w:sz w:val="20"/>
          <w:szCs w:val="18"/>
          <w:lang w:val="en-US" w:eastAsia="zh-CN"/>
        </w:rPr>
        <w:t xml:space="preserve">(n=3). </w:t>
      </w:r>
      <w:r>
        <w:rPr>
          <w:rFonts w:hint="eastAsia" w:ascii="Times New Roman" w:hAnsi="Times New Roman" w:cs="Times New Roman"/>
          <w:b/>
          <w:bCs w:val="0"/>
          <w:sz w:val="20"/>
          <w:szCs w:val="20"/>
          <w:lang w:val="en-US" w:eastAsia="zh-CN"/>
        </w:rPr>
        <w:t>c</w:t>
      </w:r>
      <w:r>
        <w:rPr>
          <w:rFonts w:ascii="Times New Roman" w:hAnsi="Times New Roman" w:cs="Times New Roman"/>
          <w:bCs/>
          <w:sz w:val="20"/>
          <w:szCs w:val="20"/>
        </w:rPr>
        <w:t xml:space="preserve"> Phase-contrast microscopy images of astrocytes treated with siPTBP1 and PT109B for 48 hours.</w:t>
      </w:r>
      <w:r>
        <w:rPr>
          <w:rFonts w:hint="eastAsia" w:ascii="Times New Roman" w:hAnsi="Times New Roman" w:cs="Times New Roman"/>
          <w:bCs/>
          <w:sz w:val="20"/>
          <w:szCs w:val="20"/>
          <w:lang w:val="en-US" w:eastAsia="zh-CN"/>
        </w:rPr>
        <w:t xml:space="preserve"> </w:t>
      </w:r>
      <w:r>
        <w:rPr>
          <w:rFonts w:hint="eastAsia" w:ascii="Times New Roman" w:hAnsi="Times New Roman" w:cs="Times New Roman"/>
          <w:b/>
          <w:bCs w:val="0"/>
          <w:sz w:val="20"/>
          <w:szCs w:val="20"/>
          <w:lang w:val="en-US" w:eastAsia="zh-CN"/>
        </w:rPr>
        <w:t>d</w:t>
      </w:r>
      <w:r>
        <w:rPr>
          <w:rFonts w:ascii="Times New Roman" w:hAnsi="Times New Roman" w:cs="Times New Roman"/>
          <w:bCs/>
          <w:sz w:val="20"/>
          <w:szCs w:val="20"/>
        </w:rPr>
        <w:t xml:space="preserve"> Western blot analysis of PTBP1 protein levels in astrocytes following siPTBP1 and PT109B treatment. </w:t>
      </w:r>
      <w:r>
        <w:rPr>
          <w:rFonts w:hint="eastAsia" w:ascii="Times New Roman" w:hAnsi="Times New Roman" w:cs="Times New Roman"/>
          <w:b/>
          <w:bCs w:val="0"/>
          <w:sz w:val="20"/>
          <w:szCs w:val="20"/>
          <w:lang w:val="en-US" w:eastAsia="zh-CN"/>
        </w:rPr>
        <w:t>e</w:t>
      </w:r>
      <w:r>
        <w:rPr>
          <w:rFonts w:ascii="Times New Roman" w:hAnsi="Times New Roman" w:cs="Times New Roman"/>
          <w:bCs/>
          <w:sz w:val="20"/>
          <w:szCs w:val="20"/>
        </w:rPr>
        <w:t xml:space="preserve"> Phase-contrast microscopy images of astrocytes transfected with a PTBP1 expression plasmid and treated with PT109B (10 μM) for 48 hours. </w:t>
      </w:r>
      <w:r>
        <w:rPr>
          <w:rFonts w:hint="eastAsia" w:ascii="Times New Roman" w:hAnsi="Times New Roman" w:cs="Times New Roman"/>
          <w:b/>
          <w:bCs w:val="0"/>
          <w:sz w:val="20"/>
          <w:szCs w:val="20"/>
          <w:lang w:val="en-US" w:eastAsia="zh-CN"/>
        </w:rPr>
        <w:t>f</w:t>
      </w:r>
      <w:r>
        <w:rPr>
          <w:rFonts w:ascii="Times New Roman" w:hAnsi="Times New Roman" w:cs="Times New Roman"/>
          <w:bCs/>
          <w:sz w:val="20"/>
          <w:szCs w:val="20"/>
        </w:rPr>
        <w:t xml:space="preserve"> Western blot analysis confirming the overexpression of PTBP1 and detection of the plasmid label (Flag) in transfected astrocytes. Scale bar=10 μm. Data are reported as mean ± SEM; </w:t>
      </w:r>
      <w:r>
        <w:rPr>
          <w:rFonts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 xml:space="preserve">&lt; 0.05, </w:t>
      </w:r>
      <w:r>
        <w:rPr>
          <w:rFonts w:ascii="Times New Roman" w:hAnsi="Times New Roman" w:cs="Times New Roman"/>
          <w:b/>
          <w:bCs/>
          <w:sz w:val="20"/>
          <w:szCs w:val="18"/>
          <w:vertAlign w:val="superscript"/>
        </w:rPr>
        <w:t>*</w:t>
      </w:r>
      <w:r>
        <w:rPr>
          <w:rFonts w:hint="eastAsia"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&lt; 0.0</w:t>
      </w:r>
      <w:r>
        <w:rPr>
          <w:rFonts w:hint="eastAsia" w:ascii="Times New Roman" w:hAnsi="Times New Roman" w:cs="Times New Roman"/>
          <w:bCs/>
          <w:sz w:val="20"/>
          <w:szCs w:val="18"/>
        </w:rPr>
        <w:t>1</w:t>
      </w:r>
      <w:r>
        <w:rPr>
          <w:rFonts w:ascii="Times New Roman" w:hAnsi="Times New Roman" w:cs="Times New Roman"/>
          <w:bCs/>
          <w:sz w:val="20"/>
          <w:szCs w:val="18"/>
        </w:rPr>
        <w:t>,</w:t>
      </w:r>
      <w:r>
        <w:rPr>
          <w:rFonts w:hint="eastAsia" w:ascii="Times New Roman" w:hAnsi="Times New Roman" w:cs="Times New Roman"/>
          <w:bCs/>
          <w:sz w:val="20"/>
          <w:szCs w:val="18"/>
        </w:rPr>
        <w:t xml:space="preserve"> </w:t>
      </w:r>
      <w:r>
        <w:rPr>
          <w:rFonts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&lt; 0.001 vs. control group</w:t>
      </w:r>
      <w:r>
        <w:rPr>
          <w:rFonts w:hint="eastAsia" w:ascii="Times New Roman" w:hAnsi="Times New Roman" w:cs="Times New Roman"/>
          <w:bCs/>
          <w:sz w:val="20"/>
          <w:szCs w:val="18"/>
          <w:lang w:val="en-US" w:eastAsia="zh-CN"/>
        </w:rPr>
        <w:t xml:space="preserve"> (CT)</w:t>
      </w:r>
      <w:r>
        <w:rPr>
          <w:rFonts w:ascii="Times New Roman" w:hAnsi="Times New Roman" w:cs="Times New Roman"/>
          <w:bCs/>
          <w:sz w:val="20"/>
          <w:szCs w:val="18"/>
        </w:rPr>
        <w:t xml:space="preserve">. </w:t>
      </w:r>
      <w:r>
        <w:rPr>
          <w:rFonts w:ascii="Times New Roman" w:hAnsi="Times New Roman" w:cs="Times New Roman"/>
        </w:rPr>
        <w:br w:type="page"/>
      </w:r>
    </w:p>
    <w:p w14:paraId="6B46D387">
      <w:pPr>
        <w:ind w:firstLine="0" w:firstLineChars="0"/>
        <w:rPr>
          <w:rFonts w:ascii="Times New Roman" w:hAnsi="Times New Roman" w:cs="Times New Roman"/>
          <w:b/>
          <w:bCs/>
        </w:rPr>
      </w:pPr>
      <w:r>
        <w:rPr>
          <w:rFonts w:ascii="Times New Roman" w:hAnsi="Times New Roman" w:cs="Times New Roman"/>
          <w:b/>
          <w:bCs/>
        </w:rPr>
        <w:t>Fig. S4</w:t>
      </w:r>
    </w:p>
    <w:p w14:paraId="172DCA59">
      <w:pPr>
        <w:ind w:firstLine="0" w:firstLineChars="0"/>
        <w:rPr>
          <w:rFonts w:hint="eastAsia" w:ascii="Times New Roman" w:hAnsi="Times New Roman" w:eastAsia="宋体" w:cs="Times New Roman"/>
          <w:b/>
          <w:bCs/>
          <w:lang w:eastAsia="zh-CN"/>
        </w:rPr>
      </w:pPr>
      <w:r>
        <w:rPr>
          <w:rFonts w:hint="eastAsia" w:ascii="Times New Roman" w:hAnsi="Times New Roman" w:eastAsia="宋体" w:cs="Times New Roman"/>
          <w:b/>
          <w:bCs/>
          <w:lang w:eastAsia="zh-CN"/>
        </w:rPr>
        <w:drawing>
          <wp:inline distT="0" distB="0" distL="114300" distR="114300">
            <wp:extent cx="5271135" cy="1148715"/>
            <wp:effectExtent l="0" t="0" r="5715" b="3810"/>
            <wp:docPr id="6" name="图片 6"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4"/>
                    <pic:cNvPicPr>
                      <a:picLocks noChangeAspect="1"/>
                    </pic:cNvPicPr>
                  </pic:nvPicPr>
                  <pic:blipFill>
                    <a:blip r:embed="rId15"/>
                    <a:stretch>
                      <a:fillRect/>
                    </a:stretch>
                  </pic:blipFill>
                  <pic:spPr>
                    <a:xfrm>
                      <a:off x="0" y="0"/>
                      <a:ext cx="5271135" cy="1148715"/>
                    </a:xfrm>
                    <a:prstGeom prst="rect">
                      <a:avLst/>
                    </a:prstGeom>
                  </pic:spPr>
                </pic:pic>
              </a:graphicData>
            </a:graphic>
          </wp:inline>
        </w:drawing>
      </w:r>
    </w:p>
    <w:p w14:paraId="52B865D0">
      <w:pPr>
        <w:spacing w:line="240" w:lineRule="auto"/>
        <w:ind w:firstLine="0" w:firstLineChars="0"/>
        <w:rPr>
          <w:rFonts w:ascii="Times New Roman" w:hAnsi="Times New Roman" w:cs="Times New Roman"/>
          <w:b/>
          <w:bCs/>
          <w:sz w:val="20"/>
          <w:szCs w:val="20"/>
        </w:rPr>
      </w:pPr>
      <w:r>
        <w:rPr>
          <w:rFonts w:hint="eastAsia" w:ascii="Times New Roman" w:hAnsi="Times New Roman" w:cs="Times New Roman"/>
          <w:b/>
          <w:bCs/>
          <w:sz w:val="20"/>
          <w:szCs w:val="20"/>
        </w:rPr>
        <w:t xml:space="preserve">Figure S4 </w:t>
      </w:r>
      <w:r>
        <w:rPr>
          <w:rFonts w:ascii="Times New Roman" w:hAnsi="Times New Roman" w:cs="Times New Roman"/>
          <w:b/>
          <w:bCs/>
          <w:sz w:val="20"/>
          <w:szCs w:val="20"/>
        </w:rPr>
        <w:t>Relative mRNA expression levels of key genes by PT109B reprogramming.</w:t>
      </w:r>
    </w:p>
    <w:p w14:paraId="74A8EE25">
      <w:pPr>
        <w:spacing w:line="240" w:lineRule="auto"/>
        <w:ind w:firstLine="0" w:firstLineChars="0"/>
        <w:rPr>
          <w:rFonts w:ascii="Times New Roman" w:hAnsi="Times New Roman" w:cs="Times New Roman"/>
        </w:rPr>
      </w:pPr>
      <w:r>
        <w:rPr>
          <w:rFonts w:ascii="Times New Roman" w:hAnsi="Times New Roman" w:cs="Times New Roman"/>
          <w:sz w:val="20"/>
          <w:szCs w:val="20"/>
        </w:rPr>
        <w:t xml:space="preserve">Cells were treated with PT109B for durations of 0, 1.5, 3, and 6 hours, followed by qPCR analysis to </w:t>
      </w:r>
      <w:r>
        <w:rPr>
          <w:rFonts w:ascii="Times New Roman" w:hAnsi="Times New Roman" w:cs="Times New Roman"/>
          <w:b w:val="0"/>
          <w:bCs w:val="0"/>
          <w:sz w:val="20"/>
          <w:szCs w:val="20"/>
        </w:rPr>
        <w:t xml:space="preserve">assess the relative mRNA expression levels of key genes. </w:t>
      </w:r>
      <w:r>
        <w:rPr>
          <w:rFonts w:hint="eastAsia" w:ascii="Times New Roman" w:hAnsi="Times New Roman" w:cs="Times New Roman"/>
          <w:b/>
          <w:bCs/>
          <w:sz w:val="20"/>
          <w:szCs w:val="20"/>
          <w:lang w:val="en-US" w:eastAsia="zh-CN"/>
        </w:rPr>
        <w:t>a-c</w:t>
      </w:r>
      <w:r>
        <w:rPr>
          <w:rFonts w:ascii="Times New Roman" w:hAnsi="Times New Roman" w:cs="Times New Roman"/>
          <w:b/>
          <w:bCs/>
          <w:sz w:val="20"/>
          <w:szCs w:val="20"/>
        </w:rPr>
        <w:t xml:space="preserve"> </w:t>
      </w:r>
      <w:r>
        <w:rPr>
          <w:rFonts w:ascii="Times New Roman" w:hAnsi="Times New Roman" w:cs="Times New Roman"/>
          <w:sz w:val="20"/>
          <w:szCs w:val="20"/>
        </w:rPr>
        <w:t>The investigated genes included those associated with (</w:t>
      </w:r>
      <w:r>
        <w:rPr>
          <w:rFonts w:hint="eastAsia" w:ascii="Times New Roman" w:hAnsi="Times New Roman" w:cs="Times New Roman"/>
          <w:b/>
          <w:bCs/>
          <w:sz w:val="20"/>
          <w:szCs w:val="20"/>
          <w:lang w:val="en-US" w:eastAsia="zh-CN"/>
        </w:rPr>
        <w:t>a</w:t>
      </w:r>
      <w:r>
        <w:rPr>
          <w:rFonts w:ascii="Times New Roman" w:hAnsi="Times New Roman" w:cs="Times New Roman"/>
          <w:sz w:val="20"/>
          <w:szCs w:val="20"/>
        </w:rPr>
        <w:t>) the TGFβ/BMP signaling pathway (TGF-β1, BMP1, SMAD3), (</w:t>
      </w:r>
      <w:r>
        <w:rPr>
          <w:rFonts w:hint="eastAsia" w:ascii="Times New Roman" w:hAnsi="Times New Roman" w:cs="Times New Roman"/>
          <w:b/>
          <w:bCs/>
          <w:sz w:val="20"/>
          <w:szCs w:val="20"/>
          <w:lang w:val="en-US" w:eastAsia="zh-CN"/>
        </w:rPr>
        <w:t>b</w:t>
      </w:r>
      <w:r>
        <w:rPr>
          <w:rFonts w:ascii="Times New Roman" w:hAnsi="Times New Roman" w:cs="Times New Roman"/>
          <w:sz w:val="20"/>
          <w:szCs w:val="20"/>
        </w:rPr>
        <w:t>) the MAPK signaling pathway (MAPK1, Fosb, Ptgs2, MYC), (</w:t>
      </w:r>
      <w:r>
        <w:rPr>
          <w:rFonts w:hint="eastAsia" w:ascii="Times New Roman" w:hAnsi="Times New Roman" w:cs="Times New Roman"/>
          <w:b/>
          <w:bCs/>
          <w:sz w:val="20"/>
          <w:szCs w:val="20"/>
          <w:lang w:val="en-US" w:eastAsia="zh-CN"/>
        </w:rPr>
        <w:t>c</w:t>
      </w:r>
      <w:r>
        <w:rPr>
          <w:rFonts w:ascii="Times New Roman" w:hAnsi="Times New Roman" w:cs="Times New Roman"/>
          <w:sz w:val="20"/>
          <w:szCs w:val="20"/>
        </w:rPr>
        <w:t xml:space="preserve">) cell cycle regulation (Mki67, Pten), and PTBP1. </w:t>
      </w:r>
      <w:r>
        <w:rPr>
          <w:rFonts w:ascii="Times New Roman" w:hAnsi="Times New Roman" w:cs="Times New Roman"/>
          <w:bCs/>
          <w:sz w:val="20"/>
          <w:szCs w:val="18"/>
        </w:rPr>
        <w:t xml:space="preserve"> </w:t>
      </w:r>
      <w:r>
        <w:rPr>
          <w:rFonts w:hint="eastAsia" w:ascii="Times New Roman" w:hAnsi="Times New Roman" w:cs="Times New Roman"/>
          <w:bCs/>
          <w:sz w:val="20"/>
          <w:szCs w:val="18"/>
          <w:lang w:val="en-US" w:eastAsia="zh-CN"/>
        </w:rPr>
        <w:t xml:space="preserve">(n=3). </w:t>
      </w:r>
      <w:r>
        <w:rPr>
          <w:rFonts w:ascii="Times New Roman" w:hAnsi="Times New Roman" w:cs="Times New Roman"/>
          <w:sz w:val="20"/>
          <w:szCs w:val="20"/>
        </w:rPr>
        <w:t xml:space="preserve">Data are reported as mean ± SEM; </w:t>
      </w:r>
      <w:r>
        <w:rPr>
          <w:rFonts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 xml:space="preserve">&lt; 0.05, </w:t>
      </w:r>
      <w:r>
        <w:rPr>
          <w:rFonts w:ascii="Times New Roman" w:hAnsi="Times New Roman" w:cs="Times New Roman"/>
          <w:b/>
          <w:bCs/>
          <w:sz w:val="20"/>
          <w:szCs w:val="18"/>
          <w:vertAlign w:val="superscript"/>
        </w:rPr>
        <w:t>*</w:t>
      </w:r>
      <w:r>
        <w:rPr>
          <w:rFonts w:hint="eastAsia"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&lt; 0.0</w:t>
      </w:r>
      <w:r>
        <w:rPr>
          <w:rFonts w:hint="eastAsia" w:ascii="Times New Roman" w:hAnsi="Times New Roman" w:cs="Times New Roman"/>
          <w:bCs/>
          <w:sz w:val="20"/>
          <w:szCs w:val="18"/>
        </w:rPr>
        <w:t>1</w:t>
      </w:r>
      <w:r>
        <w:rPr>
          <w:rFonts w:ascii="Times New Roman" w:hAnsi="Times New Roman" w:cs="Times New Roman"/>
          <w:bCs/>
          <w:sz w:val="20"/>
          <w:szCs w:val="18"/>
        </w:rPr>
        <w:t>,</w:t>
      </w:r>
      <w:r>
        <w:rPr>
          <w:rFonts w:hint="eastAsia" w:ascii="Times New Roman" w:hAnsi="Times New Roman" w:cs="Times New Roman"/>
          <w:bCs/>
          <w:sz w:val="20"/>
          <w:szCs w:val="18"/>
        </w:rPr>
        <w:t xml:space="preserve"> </w:t>
      </w:r>
      <w:r>
        <w:rPr>
          <w:rFonts w:ascii="Times New Roman" w:hAnsi="Times New Roman" w:cs="Times New Roman"/>
          <w:b/>
          <w:bCs/>
          <w:sz w:val="20"/>
          <w:szCs w:val="18"/>
          <w:vertAlign w:val="superscript"/>
        </w:rPr>
        <w:t>***</w:t>
      </w:r>
      <w:r>
        <w:rPr>
          <w:rFonts w:ascii="Times New Roman" w:hAnsi="Times New Roman" w:cs="Times New Roman"/>
          <w:bCs/>
          <w:i/>
          <w:iCs/>
          <w:sz w:val="20"/>
          <w:szCs w:val="18"/>
        </w:rPr>
        <w:t>P</w:t>
      </w:r>
      <w:r>
        <w:rPr>
          <w:rFonts w:ascii="Times New Roman" w:hAnsi="Times New Roman" w:cs="Times New Roman"/>
          <w:bCs/>
          <w:sz w:val="20"/>
          <w:szCs w:val="18"/>
        </w:rPr>
        <w:t>&lt; 0.001 vs. control group</w:t>
      </w:r>
      <w:r>
        <w:rPr>
          <w:rFonts w:hint="eastAsia" w:ascii="Times New Roman" w:hAnsi="Times New Roman" w:cs="Times New Roman"/>
          <w:bCs/>
          <w:sz w:val="20"/>
          <w:szCs w:val="18"/>
          <w:lang w:val="en-US" w:eastAsia="zh-CN"/>
        </w:rPr>
        <w:t xml:space="preserve"> (CT)</w:t>
      </w:r>
      <w:r>
        <w:rPr>
          <w:rFonts w:ascii="Times New Roman" w:hAnsi="Times New Roman" w:cs="Times New Roman"/>
          <w:bCs/>
          <w:sz w:val="20"/>
          <w:szCs w:val="18"/>
        </w:rPr>
        <w:t>.</w:t>
      </w:r>
      <w:r>
        <w:rPr>
          <w:rFonts w:ascii="Times New Roman" w:hAnsi="Times New Roman" w:cs="Times New Roman"/>
        </w:rPr>
        <w:br w:type="page"/>
      </w:r>
    </w:p>
    <w:p w14:paraId="0FC4FE6D">
      <w:pPr>
        <w:ind w:firstLine="0" w:firstLineChars="0"/>
        <w:rPr>
          <w:rFonts w:ascii="Times New Roman" w:hAnsi="Times New Roman" w:cs="Times New Roman"/>
          <w:b/>
          <w:bCs/>
        </w:rPr>
      </w:pPr>
      <w:r>
        <w:rPr>
          <w:rFonts w:ascii="Times New Roman" w:hAnsi="Times New Roman" w:cs="Times New Roman"/>
          <w:b/>
          <w:bCs/>
        </w:rPr>
        <w:t>Fig. S5</w:t>
      </w:r>
    </w:p>
    <w:p w14:paraId="70EE7ADA">
      <w:pPr>
        <w:tabs>
          <w:tab w:val="left" w:pos="3499"/>
        </w:tabs>
        <w:ind w:firstLine="0" w:firstLineChars="0"/>
        <w:rPr>
          <w:rFonts w:hint="eastAsia" w:ascii="Times New Roman" w:hAnsi="Times New Roman" w:eastAsia="宋体" w:cs="Times New Roman"/>
          <w:lang w:eastAsia="zh-CN"/>
        </w:rPr>
      </w:pPr>
      <w:r>
        <w:rPr>
          <w:rFonts w:hint="eastAsia" w:ascii="Times New Roman" w:hAnsi="Times New Roman" w:cs="Times New Roman"/>
          <w:lang w:eastAsia="zh-CN"/>
        </w:rPr>
        <w:tab/>
      </w:r>
      <w:r>
        <w:rPr>
          <w:rFonts w:hint="eastAsia" w:ascii="Times New Roman" w:hAnsi="Times New Roman" w:eastAsia="宋体" w:cs="Times New Roman"/>
          <w:lang w:eastAsia="zh-CN"/>
        </w:rPr>
        <w:drawing>
          <wp:inline distT="0" distB="0" distL="114300" distR="114300">
            <wp:extent cx="5267960" cy="5671185"/>
            <wp:effectExtent l="0" t="0" r="0" b="0"/>
            <wp:docPr id="7" name="图片 7"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 S5"/>
                    <pic:cNvPicPr>
                      <a:picLocks noChangeAspect="1"/>
                    </pic:cNvPicPr>
                  </pic:nvPicPr>
                  <pic:blipFill>
                    <a:blip r:embed="rId16"/>
                    <a:srcRect t="9842" b="10608"/>
                    <a:stretch>
                      <a:fillRect/>
                    </a:stretch>
                  </pic:blipFill>
                  <pic:spPr>
                    <a:xfrm>
                      <a:off x="0" y="0"/>
                      <a:ext cx="5267960" cy="5671185"/>
                    </a:xfrm>
                    <a:prstGeom prst="rect">
                      <a:avLst/>
                    </a:prstGeom>
                  </pic:spPr>
                </pic:pic>
              </a:graphicData>
            </a:graphic>
          </wp:inline>
        </w:drawing>
      </w:r>
    </w:p>
    <w:p w14:paraId="1700DF21">
      <w:pPr>
        <w:ind w:firstLine="0" w:firstLineChars="0"/>
        <w:rPr>
          <w:rFonts w:ascii="Times New Roman" w:hAnsi="Times New Roman" w:cs="Times New Roman"/>
          <w:b/>
          <w:bCs/>
          <w:sz w:val="20"/>
          <w:szCs w:val="20"/>
        </w:rPr>
      </w:pPr>
      <w:r>
        <w:rPr>
          <w:rFonts w:hint="eastAsia" w:ascii="Times New Roman" w:hAnsi="Times New Roman" w:cs="Times New Roman"/>
          <w:b/>
          <w:bCs/>
          <w:sz w:val="20"/>
          <w:szCs w:val="20"/>
        </w:rPr>
        <w:t>Figure S5</w:t>
      </w:r>
      <w:r>
        <w:rPr>
          <w:rFonts w:ascii="Times New Roman" w:hAnsi="Times New Roman" w:cs="Times New Roman"/>
        </w:rPr>
        <w:t xml:space="preserve"> </w:t>
      </w:r>
      <w:r>
        <w:rPr>
          <w:rFonts w:ascii="Times New Roman" w:hAnsi="Times New Roman" w:cs="Times New Roman"/>
          <w:b/>
          <w:bCs/>
          <w:sz w:val="20"/>
          <w:szCs w:val="20"/>
        </w:rPr>
        <w:t>Establishment and validation of a 6-OHDA induced PD mice model.</w:t>
      </w:r>
    </w:p>
    <w:p w14:paraId="5BF149C3">
      <w:pPr>
        <w:spacing w:line="240" w:lineRule="auto"/>
        <w:ind w:firstLine="0" w:firstLineChars="0"/>
        <w:rPr>
          <w:rFonts w:ascii="Times New Roman" w:hAnsi="Times New Roman" w:cs="Times New Roman"/>
          <w:sz w:val="20"/>
          <w:szCs w:val="20"/>
        </w:rPr>
      </w:pPr>
      <w:r>
        <w:rPr>
          <w:rFonts w:ascii="Times New Roman" w:hAnsi="Times New Roman" w:cs="Times New Roman"/>
          <w:sz w:val="20"/>
          <w:szCs w:val="20"/>
        </w:rPr>
        <w:t>Mice were injected unilaterally with 6-OHDA in the right MFB. AAV5-GFAP-EGFP (1×10</w:t>
      </w:r>
      <w:r>
        <w:rPr>
          <w:rFonts w:ascii="Times New Roman" w:hAnsi="Times New Roman" w:cs="Times New Roman"/>
          <w:sz w:val="20"/>
          <w:szCs w:val="20"/>
          <w:vertAlign w:val="superscript"/>
        </w:rPr>
        <w:t>12</w:t>
      </w:r>
      <w:r>
        <w:rPr>
          <w:rFonts w:ascii="Times New Roman" w:hAnsi="Times New Roman" w:cs="Times New Roman"/>
          <w:sz w:val="20"/>
          <w:szCs w:val="20"/>
        </w:rPr>
        <w:t xml:space="preserve"> vg/mL) was injected into the cortex of mice at a constant rate of 0.2 µL/min for 5 minutes.</w:t>
      </w:r>
    </w:p>
    <w:p w14:paraId="71A2FAB7">
      <w:pPr>
        <w:spacing w:line="240" w:lineRule="auto"/>
        <w:ind w:firstLine="0" w:firstLineChars="0"/>
        <w:rPr>
          <w:rFonts w:ascii="Times New Roman" w:hAnsi="Times New Roman" w:cs="Times New Roman"/>
          <w:sz w:val="20"/>
          <w:szCs w:val="20"/>
        </w:rPr>
      </w:pPr>
      <w:r>
        <w:rPr>
          <w:rFonts w:hint="eastAsia" w:ascii="Times New Roman" w:hAnsi="Times New Roman" w:cs="Times New Roman"/>
          <w:b/>
          <w:bCs/>
          <w:sz w:val="20"/>
          <w:szCs w:val="20"/>
          <w:lang w:val="en-US" w:eastAsia="zh-CN"/>
        </w:rPr>
        <w:t>a</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Experimental workflow. </w:t>
      </w:r>
      <w:r>
        <w:rPr>
          <w:rFonts w:hint="eastAsia" w:ascii="Times New Roman" w:hAnsi="Times New Roman" w:cs="Times New Roman"/>
          <w:b/>
          <w:bCs/>
          <w:sz w:val="20"/>
          <w:szCs w:val="20"/>
          <w:lang w:val="en-US" w:eastAsia="zh-CN"/>
        </w:rPr>
        <w:t>b</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Apomorphine-induced rotation test was conducted to evaluate the rotational behavior of mice.</w:t>
      </w:r>
      <w:r>
        <w:rPr>
          <w:rFonts w:hint="eastAsia" w:ascii="Times New Roman" w:hAnsi="Times New Roman" w:cs="Times New Roman"/>
          <w:sz w:val="20"/>
          <w:szCs w:val="20"/>
          <w:lang w:val="en-US" w:eastAsia="zh-CN"/>
        </w:rPr>
        <w:t xml:space="preserve"> (CT, n=9; 6-OHDA, n=60). </w:t>
      </w:r>
      <w:r>
        <w:rPr>
          <w:rFonts w:hint="eastAsia" w:ascii="Times New Roman" w:hAnsi="Times New Roman" w:cs="Times New Roman"/>
          <w:b/>
          <w:bCs/>
          <w:sz w:val="20"/>
          <w:szCs w:val="20"/>
          <w:lang w:val="en-US" w:eastAsia="zh-CN"/>
        </w:rPr>
        <w:t>c</w:t>
      </w:r>
      <w:r>
        <w:rPr>
          <w:rFonts w:ascii="Times New Roman" w:hAnsi="Times New Roman" w:cs="Times New Roman"/>
          <w:sz w:val="20"/>
          <w:szCs w:val="20"/>
        </w:rPr>
        <w:t xml:space="preserve"> Immunofluorescence detection of dopaminergic neurons (TH, red) in the striatum and substantia nigra of control (CT) and 6-OHDA-lesioned (Model) mice. 6-OHDA induced significant denervation of TH+ neurons in the model group. Scale bar</w:t>
      </w:r>
      <w:r>
        <w:rPr>
          <w:rFonts w:hint="eastAsia" w:ascii="Times New Roman" w:hAnsi="Times New Roman" w:cs="Times New Roman"/>
          <w:sz w:val="20"/>
          <w:szCs w:val="20"/>
        </w:rPr>
        <w:t xml:space="preserve"> </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100 μm.</w:t>
      </w:r>
      <w:r>
        <w:rPr>
          <w:rFonts w:hint="eastAsia" w:ascii="Times New Roman" w:hAnsi="Times New Roman" w:cs="Times New Roman"/>
          <w:sz w:val="20"/>
          <w:szCs w:val="20"/>
          <w:lang w:val="en-US" w:eastAsia="zh-CN"/>
        </w:rPr>
        <w:t xml:space="preserve"> </w:t>
      </w:r>
      <w:r>
        <w:rPr>
          <w:rFonts w:hint="eastAsia" w:ascii="Times New Roman" w:hAnsi="Times New Roman" w:cs="Times New Roman"/>
          <w:b/>
          <w:bCs/>
          <w:sz w:val="20"/>
          <w:szCs w:val="20"/>
          <w:lang w:val="en-US" w:eastAsia="zh-CN"/>
        </w:rPr>
        <w:t>d, e</w:t>
      </w:r>
      <w:r>
        <w:rPr>
          <w:rFonts w:ascii="Times New Roman" w:hAnsi="Times New Roman" w:cs="Times New Roman"/>
          <w:sz w:val="20"/>
          <w:szCs w:val="20"/>
        </w:rPr>
        <w:t xml:space="preserve"> Mice were injected unilaterally with AAV5-GFAP-EGFP in the striatum and substantia nigra to label astrocytes. After 3 weeks, co-immunostaining of (</w:t>
      </w:r>
      <w:r>
        <w:rPr>
          <w:rFonts w:hint="eastAsia" w:ascii="Times New Roman" w:hAnsi="Times New Roman" w:cs="Times New Roman"/>
          <w:b/>
          <w:bCs/>
          <w:sz w:val="20"/>
          <w:szCs w:val="20"/>
          <w:lang w:val="en-US" w:eastAsia="zh-CN"/>
        </w:rPr>
        <w:t>d</w:t>
      </w:r>
      <w:r>
        <w:rPr>
          <w:rFonts w:ascii="Times New Roman" w:hAnsi="Times New Roman" w:cs="Times New Roman"/>
          <w:sz w:val="20"/>
          <w:szCs w:val="20"/>
        </w:rPr>
        <w:t>) virus-labeled astrocytes (GFAP, red; GFP, green) and (</w:t>
      </w:r>
      <w:r>
        <w:rPr>
          <w:rFonts w:hint="eastAsia" w:ascii="Times New Roman" w:hAnsi="Times New Roman" w:cs="Times New Roman"/>
          <w:b/>
          <w:bCs/>
          <w:sz w:val="20"/>
          <w:szCs w:val="20"/>
          <w:lang w:val="en-US" w:eastAsia="zh-CN"/>
        </w:rPr>
        <w:t>e</w:t>
      </w:r>
      <w:r>
        <w:rPr>
          <w:rFonts w:ascii="Times New Roman" w:hAnsi="Times New Roman" w:cs="Times New Roman"/>
          <w:sz w:val="20"/>
          <w:szCs w:val="20"/>
        </w:rPr>
        <w:t>) neurons (NeuN, red) was performed. Scale bar</w:t>
      </w:r>
      <w:r>
        <w:rPr>
          <w:rFonts w:hint="eastAsia" w:ascii="Times New Roman" w:hAnsi="Times New Roman" w:cs="Times New Roman"/>
          <w:sz w:val="20"/>
          <w:szCs w:val="20"/>
        </w:rPr>
        <w:t xml:space="preserve"> </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20 μm. </w:t>
      </w:r>
    </w:p>
    <w:p w14:paraId="14792F67">
      <w:pPr>
        <w:ind w:firstLine="480"/>
        <w:rPr>
          <w:rFonts w:ascii="Times New Roman" w:hAnsi="Times New Roman" w:cs="Times New Roman"/>
        </w:rPr>
      </w:pPr>
      <w:r>
        <w:rPr>
          <w:rFonts w:ascii="Times New Roman" w:hAnsi="Times New Roman" w:cs="Times New Roman"/>
        </w:rPr>
        <w:br w:type="page"/>
      </w:r>
    </w:p>
    <w:p w14:paraId="081C2BB5">
      <w:pPr>
        <w:ind w:firstLine="0" w:firstLineChars="0"/>
        <w:rPr>
          <w:rFonts w:ascii="Times New Roman" w:hAnsi="Times New Roman" w:cs="Times New Roman"/>
          <w:b/>
          <w:bCs/>
        </w:rPr>
      </w:pPr>
      <w:r>
        <w:rPr>
          <w:rFonts w:ascii="Times New Roman" w:hAnsi="Times New Roman" w:cs="Times New Roman"/>
          <w:b/>
          <w:bCs/>
        </w:rPr>
        <w:t>Fig. S6</w:t>
      </w:r>
    </w:p>
    <w:p w14:paraId="3BC57574">
      <w:pPr>
        <w:ind w:firstLine="0" w:firstLineChars="0"/>
        <w:jc w:val="center"/>
        <w:rPr>
          <w:rFonts w:hint="eastAsia" w:ascii="Times New Roman" w:hAnsi="Times New Roman" w:eastAsia="宋体" w:cs="Times New Roman"/>
          <w:b/>
          <w:bCs/>
          <w:lang w:eastAsia="zh-CN"/>
        </w:rPr>
      </w:pPr>
      <w:r>
        <w:rPr>
          <w:rFonts w:hint="eastAsia" w:ascii="Times New Roman" w:hAnsi="Times New Roman" w:eastAsia="宋体" w:cs="Times New Roman"/>
          <w:b/>
          <w:bCs/>
          <w:lang w:eastAsia="zh-CN"/>
        </w:rPr>
        <w:drawing>
          <wp:inline distT="0" distB="0" distL="114300" distR="114300">
            <wp:extent cx="5272405" cy="5140960"/>
            <wp:effectExtent l="0" t="0" r="0" b="0"/>
            <wp:docPr id="8" name="图片 8" descr="Fig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 S6"/>
                    <pic:cNvPicPr>
                      <a:picLocks noChangeAspect="1"/>
                    </pic:cNvPicPr>
                  </pic:nvPicPr>
                  <pic:blipFill>
                    <a:blip r:embed="rId17"/>
                    <a:srcRect b="24010"/>
                    <a:stretch>
                      <a:fillRect/>
                    </a:stretch>
                  </pic:blipFill>
                  <pic:spPr>
                    <a:xfrm>
                      <a:off x="0" y="0"/>
                      <a:ext cx="5272405" cy="5140960"/>
                    </a:xfrm>
                    <a:prstGeom prst="rect">
                      <a:avLst/>
                    </a:prstGeom>
                  </pic:spPr>
                </pic:pic>
              </a:graphicData>
            </a:graphic>
          </wp:inline>
        </w:drawing>
      </w:r>
    </w:p>
    <w:p w14:paraId="2137AD8C">
      <w:pPr>
        <w:ind w:firstLine="0" w:firstLineChars="0"/>
        <w:rPr>
          <w:rFonts w:ascii="Times New Roman" w:hAnsi="Times New Roman" w:cs="Times New Roman"/>
        </w:rPr>
      </w:pPr>
      <w:r>
        <w:rPr>
          <w:rFonts w:hint="eastAsia" w:ascii="Times New Roman" w:hAnsi="Times New Roman" w:cs="Times New Roman"/>
          <w:b/>
          <w:bCs/>
          <w:sz w:val="20"/>
          <w:szCs w:val="20"/>
        </w:rPr>
        <w:t xml:space="preserve">Figure S6 </w:t>
      </w:r>
      <w:r>
        <w:rPr>
          <w:rFonts w:ascii="Times New Roman" w:hAnsi="Times New Roman" w:cs="Times New Roman"/>
          <w:b/>
          <w:bCs/>
          <w:sz w:val="20"/>
          <w:szCs w:val="20"/>
        </w:rPr>
        <w:t>PT109B shows no pathological effect on tissues and organs of mice.</w:t>
      </w:r>
    </w:p>
    <w:p w14:paraId="5ED11D37">
      <w:pPr>
        <w:spacing w:line="240" w:lineRule="auto"/>
        <w:ind w:firstLine="0" w:firstLineChars="0"/>
        <w:rPr>
          <w:rFonts w:ascii="Times New Roman" w:hAnsi="Times New Roman" w:cs="Times New Roman"/>
          <w:sz w:val="20"/>
          <w:szCs w:val="20"/>
        </w:rPr>
      </w:pPr>
      <w:r>
        <w:rPr>
          <w:rFonts w:ascii="Times New Roman" w:hAnsi="Times New Roman" w:cs="Times New Roman"/>
          <w:sz w:val="20"/>
          <w:szCs w:val="20"/>
        </w:rPr>
        <w:t xml:space="preserve">Control and PD mice were orally administered PT109B (100 mg/kg) for 3 months, followed by comprehensive assessment of physiological and biochemical parameters to evaluate safety and tolerability. </w:t>
      </w:r>
      <w:r>
        <w:rPr>
          <w:rFonts w:hint="eastAsia" w:ascii="Times New Roman" w:hAnsi="Times New Roman" w:cs="Times New Roman"/>
          <w:b/>
          <w:bCs/>
          <w:sz w:val="20"/>
          <w:szCs w:val="20"/>
          <w:lang w:val="en-US" w:eastAsia="zh-CN"/>
        </w:rPr>
        <w:t>a, b</w:t>
      </w:r>
      <w:r>
        <w:rPr>
          <w:rFonts w:ascii="Times New Roman" w:hAnsi="Times New Roman" w:cs="Times New Roman"/>
          <w:sz w:val="20"/>
          <w:szCs w:val="20"/>
        </w:rPr>
        <w:t xml:space="preserve"> Monitoring of (</w:t>
      </w:r>
      <w:r>
        <w:rPr>
          <w:rFonts w:hint="eastAsia" w:ascii="Times New Roman" w:hAnsi="Times New Roman" w:cs="Times New Roman"/>
          <w:b/>
          <w:bCs/>
          <w:sz w:val="20"/>
          <w:szCs w:val="20"/>
          <w:lang w:val="en-US" w:eastAsia="zh-CN"/>
        </w:rPr>
        <w:t>a</w:t>
      </w:r>
      <w:r>
        <w:rPr>
          <w:rFonts w:ascii="Times New Roman" w:hAnsi="Times New Roman" w:cs="Times New Roman"/>
          <w:sz w:val="20"/>
          <w:szCs w:val="20"/>
        </w:rPr>
        <w:t>) body weight and (</w:t>
      </w:r>
      <w:r>
        <w:rPr>
          <w:rFonts w:hint="eastAsia" w:ascii="Times New Roman" w:hAnsi="Times New Roman" w:cs="Times New Roman"/>
          <w:b/>
          <w:bCs/>
          <w:sz w:val="20"/>
          <w:szCs w:val="20"/>
          <w:lang w:val="en-US" w:eastAsia="zh-CN"/>
        </w:rPr>
        <w:t>b</w:t>
      </w:r>
      <w:r>
        <w:rPr>
          <w:rFonts w:ascii="Times New Roman" w:hAnsi="Times New Roman" w:cs="Times New Roman"/>
          <w:sz w:val="20"/>
          <w:szCs w:val="20"/>
        </w:rPr>
        <w:t xml:space="preserve">) organ indices. </w:t>
      </w:r>
      <w:r>
        <w:rPr>
          <w:rFonts w:hint="eastAsia" w:ascii="Times New Roman" w:hAnsi="Times New Roman" w:cs="Times New Roman"/>
          <w:b/>
          <w:bCs/>
          <w:sz w:val="20"/>
          <w:szCs w:val="20"/>
          <w:lang w:val="en-US" w:eastAsia="zh-CN"/>
        </w:rPr>
        <w:t>c, d</w:t>
      </w:r>
      <w:r>
        <w:rPr>
          <w:rFonts w:ascii="Times New Roman" w:hAnsi="Times New Roman" w:cs="Times New Roman"/>
          <w:sz w:val="20"/>
          <w:szCs w:val="20"/>
        </w:rPr>
        <w:t xml:space="preserve"> Histopathological evaluation of major organs (liver, kidney, heart, lung, and spleen) using hematoxylin and eosin (H&amp;E) staining. Representative images (</w:t>
      </w:r>
      <w:r>
        <w:rPr>
          <w:rFonts w:hint="eastAsia" w:ascii="Times New Roman" w:hAnsi="Times New Roman" w:cs="Times New Roman"/>
          <w:b/>
          <w:bCs/>
          <w:sz w:val="20"/>
          <w:szCs w:val="20"/>
          <w:lang w:val="en-US" w:eastAsia="zh-CN"/>
        </w:rPr>
        <w:t>c</w:t>
      </w:r>
      <w:r>
        <w:rPr>
          <w:rFonts w:ascii="Times New Roman" w:hAnsi="Times New Roman" w:cs="Times New Roman"/>
          <w:sz w:val="20"/>
          <w:szCs w:val="20"/>
        </w:rPr>
        <w:t>) and quantitative analysis (</w:t>
      </w:r>
      <w:r>
        <w:rPr>
          <w:rFonts w:hint="eastAsia" w:ascii="Times New Roman" w:hAnsi="Times New Roman" w:cs="Times New Roman"/>
          <w:b/>
          <w:bCs/>
          <w:sz w:val="20"/>
          <w:szCs w:val="20"/>
          <w:lang w:val="en-US" w:eastAsia="zh-CN"/>
        </w:rPr>
        <w:t>d</w:t>
      </w:r>
      <w:r>
        <w:rPr>
          <w:rFonts w:ascii="Times New Roman" w:hAnsi="Times New Roman" w:cs="Times New Roman"/>
          <w:sz w:val="20"/>
          <w:szCs w:val="20"/>
        </w:rPr>
        <w:t>) revealed no observable pathological changes in PT109B-treated mice. Scale bar = 200 µm.</w:t>
      </w:r>
      <w:r>
        <w:rPr>
          <w:rFonts w:hint="eastAsia" w:ascii="Times New Roman" w:hAnsi="Times New Roman" w:cs="Times New Roman"/>
          <w:sz w:val="20"/>
          <w:szCs w:val="20"/>
          <w:lang w:val="en-US" w:eastAsia="zh-CN"/>
        </w:rPr>
        <w:t xml:space="preserve"> </w:t>
      </w:r>
      <w:r>
        <w:rPr>
          <w:rFonts w:hint="eastAsia" w:ascii="Times New Roman" w:hAnsi="Times New Roman" w:cs="Times New Roman"/>
          <w:b/>
          <w:bCs/>
          <w:sz w:val="20"/>
          <w:szCs w:val="20"/>
          <w:lang w:val="en-US" w:eastAsia="zh-CN"/>
        </w:rPr>
        <w:t>e-g</w:t>
      </w:r>
      <w:r>
        <w:rPr>
          <w:rFonts w:ascii="Times New Roman" w:hAnsi="Times New Roman" w:cs="Times New Roman"/>
          <w:sz w:val="20"/>
          <w:szCs w:val="20"/>
        </w:rPr>
        <w:t xml:space="preserve"> Assessment of liver function markers: (</w:t>
      </w:r>
      <w:r>
        <w:rPr>
          <w:rFonts w:hint="eastAsia" w:ascii="Times New Roman" w:hAnsi="Times New Roman" w:cs="Times New Roman"/>
          <w:b/>
          <w:bCs/>
          <w:sz w:val="20"/>
          <w:szCs w:val="20"/>
          <w:lang w:val="en-US" w:eastAsia="zh-CN"/>
        </w:rPr>
        <w:t>e</w:t>
      </w:r>
      <w:r>
        <w:rPr>
          <w:rFonts w:ascii="Times New Roman" w:hAnsi="Times New Roman" w:cs="Times New Roman"/>
          <w:sz w:val="20"/>
          <w:szCs w:val="20"/>
        </w:rPr>
        <w:t>) alanine aminotransferase (ALT), (</w:t>
      </w:r>
      <w:r>
        <w:rPr>
          <w:rFonts w:hint="eastAsia" w:ascii="Times New Roman" w:hAnsi="Times New Roman" w:cs="Times New Roman"/>
          <w:b/>
          <w:bCs/>
          <w:sz w:val="20"/>
          <w:szCs w:val="20"/>
          <w:lang w:val="en-US" w:eastAsia="zh-CN"/>
        </w:rPr>
        <w:t>f</w:t>
      </w:r>
      <w:r>
        <w:rPr>
          <w:rFonts w:ascii="Times New Roman" w:hAnsi="Times New Roman" w:cs="Times New Roman"/>
          <w:sz w:val="20"/>
          <w:szCs w:val="20"/>
        </w:rPr>
        <w:t>) aspartate aminotransferase (AST), and (</w:t>
      </w:r>
      <w:r>
        <w:rPr>
          <w:rFonts w:hint="eastAsia" w:ascii="Times New Roman" w:hAnsi="Times New Roman" w:cs="Times New Roman"/>
          <w:b/>
          <w:bCs/>
          <w:sz w:val="20"/>
          <w:szCs w:val="20"/>
          <w:lang w:val="en-US" w:eastAsia="zh-CN"/>
        </w:rPr>
        <w:t>g</w:t>
      </w:r>
      <w:r>
        <w:rPr>
          <w:rFonts w:ascii="Times New Roman" w:hAnsi="Times New Roman" w:cs="Times New Roman"/>
          <w:sz w:val="20"/>
          <w:szCs w:val="20"/>
        </w:rPr>
        <w:t>) gamma-glutamyl transferase (γ-GT).</w:t>
      </w:r>
      <w:r>
        <w:rPr>
          <w:rFonts w:hint="eastAsia" w:ascii="Times New Roman" w:hAnsi="Times New Roman" w:cs="Times New Roman"/>
          <w:b/>
          <w:bCs/>
          <w:sz w:val="20"/>
          <w:szCs w:val="20"/>
          <w:lang w:val="en-US" w:eastAsia="zh-CN"/>
        </w:rPr>
        <w:t xml:space="preserve"> h-j</w:t>
      </w:r>
      <w:r>
        <w:rPr>
          <w:rFonts w:ascii="Times New Roman" w:hAnsi="Times New Roman" w:cs="Times New Roman"/>
          <w:sz w:val="20"/>
          <w:szCs w:val="20"/>
        </w:rPr>
        <w:t xml:space="preserve"> Evaluation of kidney function markers: (</w:t>
      </w:r>
      <w:r>
        <w:rPr>
          <w:rFonts w:hint="eastAsia" w:ascii="Times New Roman" w:hAnsi="Times New Roman" w:cs="Times New Roman"/>
          <w:b/>
          <w:bCs/>
          <w:sz w:val="20"/>
          <w:szCs w:val="20"/>
          <w:lang w:val="en-US" w:eastAsia="zh-CN"/>
        </w:rPr>
        <w:t>h</w:t>
      </w:r>
      <w:r>
        <w:rPr>
          <w:rFonts w:ascii="Times New Roman" w:hAnsi="Times New Roman" w:cs="Times New Roman"/>
          <w:sz w:val="20"/>
          <w:szCs w:val="20"/>
        </w:rPr>
        <w:t>) blood urea nitrogen (BUN), (</w:t>
      </w:r>
      <w:r>
        <w:rPr>
          <w:rFonts w:hint="eastAsia" w:ascii="Times New Roman" w:hAnsi="Times New Roman" w:cs="Times New Roman"/>
          <w:b/>
          <w:bCs/>
          <w:sz w:val="20"/>
          <w:szCs w:val="20"/>
          <w:lang w:val="en-US" w:eastAsia="zh-CN"/>
        </w:rPr>
        <w:t>i</w:t>
      </w:r>
      <w:r>
        <w:rPr>
          <w:rFonts w:ascii="Times New Roman" w:hAnsi="Times New Roman" w:cs="Times New Roman"/>
          <w:sz w:val="20"/>
          <w:szCs w:val="20"/>
        </w:rPr>
        <w:t>) creatinine (CREA), and (</w:t>
      </w:r>
      <w:r>
        <w:rPr>
          <w:rFonts w:hint="eastAsia" w:ascii="Times New Roman" w:hAnsi="Times New Roman" w:cs="Times New Roman"/>
          <w:b/>
          <w:bCs/>
          <w:sz w:val="20"/>
          <w:szCs w:val="20"/>
          <w:lang w:val="en-US" w:eastAsia="zh-CN"/>
        </w:rPr>
        <w:t>j</w:t>
      </w:r>
      <w:r>
        <w:rPr>
          <w:rFonts w:ascii="Times New Roman" w:hAnsi="Times New Roman" w:cs="Times New Roman"/>
          <w:sz w:val="20"/>
          <w:szCs w:val="20"/>
        </w:rPr>
        <w:t>) uric acid (UA).</w:t>
      </w:r>
      <w:r>
        <w:rPr>
          <w:rFonts w:ascii="Times New Roman" w:hAnsi="Times New Roman" w:cs="Times New Roman"/>
          <w:b/>
          <w:bCs/>
          <w:sz w:val="20"/>
          <w:szCs w:val="20"/>
        </w:rPr>
        <w:t xml:space="preserve"> </w:t>
      </w:r>
      <w:r>
        <w:rPr>
          <w:rFonts w:hint="eastAsia" w:ascii="Times New Roman" w:hAnsi="Times New Roman" w:cs="Times New Roman"/>
          <w:b/>
          <w:bCs/>
          <w:sz w:val="20"/>
          <w:szCs w:val="20"/>
          <w:lang w:val="en-US" w:eastAsia="zh-CN"/>
        </w:rPr>
        <w:t>k-t</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Hematological profiling, including (</w:t>
      </w:r>
      <w:r>
        <w:rPr>
          <w:rFonts w:hint="eastAsia" w:ascii="Times New Roman" w:hAnsi="Times New Roman" w:cs="Times New Roman"/>
          <w:b/>
          <w:bCs/>
          <w:sz w:val="20"/>
          <w:szCs w:val="20"/>
          <w:lang w:val="en-US" w:eastAsia="zh-CN"/>
        </w:rPr>
        <w:t>k</w:t>
      </w:r>
      <w:r>
        <w:rPr>
          <w:rFonts w:ascii="Times New Roman" w:hAnsi="Times New Roman" w:cs="Times New Roman"/>
          <w:sz w:val="20"/>
          <w:szCs w:val="20"/>
        </w:rPr>
        <w:t>) white blood cell</w:t>
      </w:r>
      <w:r>
        <w:rPr>
          <w:rFonts w:hint="eastAsia" w:ascii="Times New Roman" w:hAnsi="Times New Roman" w:cs="Times New Roman"/>
          <w:sz w:val="20"/>
          <w:szCs w:val="20"/>
        </w:rPr>
        <w:t>s</w:t>
      </w:r>
      <w:r>
        <w:rPr>
          <w:rFonts w:ascii="Times New Roman" w:hAnsi="Times New Roman" w:cs="Times New Roman"/>
          <w:sz w:val="20"/>
          <w:szCs w:val="20"/>
        </w:rPr>
        <w:t xml:space="preserve"> count, (</w:t>
      </w:r>
      <w:r>
        <w:rPr>
          <w:rFonts w:hint="eastAsia" w:ascii="Times New Roman" w:hAnsi="Times New Roman" w:cs="Times New Roman"/>
          <w:b/>
          <w:bCs/>
          <w:sz w:val="20"/>
          <w:szCs w:val="20"/>
          <w:lang w:val="en-US" w:eastAsia="zh-CN"/>
        </w:rPr>
        <w:t>l</w:t>
      </w:r>
      <w:r>
        <w:rPr>
          <w:rFonts w:ascii="Times New Roman" w:hAnsi="Times New Roman" w:cs="Times New Roman"/>
          <w:sz w:val="20"/>
          <w:szCs w:val="20"/>
        </w:rPr>
        <w:t>) neutrophils, (</w:t>
      </w:r>
      <w:r>
        <w:rPr>
          <w:rFonts w:hint="eastAsia" w:ascii="Times New Roman" w:hAnsi="Times New Roman" w:cs="Times New Roman"/>
          <w:b/>
          <w:bCs/>
          <w:sz w:val="20"/>
          <w:szCs w:val="20"/>
          <w:lang w:val="en-US" w:eastAsia="zh-CN"/>
        </w:rPr>
        <w:t>m</w:t>
      </w:r>
      <w:r>
        <w:rPr>
          <w:rFonts w:ascii="Times New Roman" w:hAnsi="Times New Roman" w:cs="Times New Roman"/>
          <w:sz w:val="20"/>
          <w:szCs w:val="20"/>
        </w:rPr>
        <w:t>) lymphocytes, (</w:t>
      </w:r>
      <w:r>
        <w:rPr>
          <w:rFonts w:hint="eastAsia" w:ascii="Times New Roman" w:hAnsi="Times New Roman" w:cs="Times New Roman"/>
          <w:b/>
          <w:bCs/>
          <w:sz w:val="20"/>
          <w:szCs w:val="20"/>
          <w:lang w:val="en-US" w:eastAsia="zh-CN"/>
        </w:rPr>
        <w:t>n</w:t>
      </w:r>
      <w:r>
        <w:rPr>
          <w:rFonts w:ascii="Times New Roman" w:hAnsi="Times New Roman" w:cs="Times New Roman"/>
          <w:sz w:val="20"/>
          <w:szCs w:val="20"/>
        </w:rPr>
        <w:t>) monocytes, (</w:t>
      </w:r>
      <w:r>
        <w:rPr>
          <w:rFonts w:hint="eastAsia" w:ascii="Times New Roman" w:hAnsi="Times New Roman" w:cs="Times New Roman"/>
          <w:b/>
          <w:bCs/>
          <w:sz w:val="20"/>
          <w:szCs w:val="20"/>
          <w:lang w:val="en-US" w:eastAsia="zh-CN"/>
        </w:rPr>
        <w:t>o</w:t>
      </w:r>
      <w:r>
        <w:rPr>
          <w:rFonts w:ascii="Times New Roman" w:hAnsi="Times New Roman" w:cs="Times New Roman"/>
          <w:sz w:val="20"/>
          <w:szCs w:val="20"/>
        </w:rPr>
        <w:t>) mean corpuscular volume, (</w:t>
      </w:r>
      <w:r>
        <w:rPr>
          <w:rFonts w:hint="eastAsia" w:ascii="Times New Roman" w:hAnsi="Times New Roman" w:cs="Times New Roman"/>
          <w:b/>
          <w:bCs/>
          <w:sz w:val="20"/>
          <w:szCs w:val="20"/>
          <w:lang w:val="en-US" w:eastAsia="zh-CN"/>
        </w:rPr>
        <w:t>p</w:t>
      </w:r>
      <w:r>
        <w:rPr>
          <w:rFonts w:ascii="Times New Roman" w:hAnsi="Times New Roman" w:cs="Times New Roman"/>
          <w:sz w:val="20"/>
          <w:szCs w:val="20"/>
        </w:rPr>
        <w:t>) mean corpuscular hemoglobin, (</w:t>
      </w:r>
      <w:r>
        <w:rPr>
          <w:rFonts w:hint="eastAsia" w:ascii="Times New Roman" w:hAnsi="Times New Roman" w:cs="Times New Roman"/>
          <w:b/>
          <w:bCs/>
          <w:sz w:val="20"/>
          <w:szCs w:val="20"/>
          <w:lang w:val="en-US" w:eastAsia="zh-CN"/>
        </w:rPr>
        <w:t>q</w:t>
      </w:r>
      <w:r>
        <w:rPr>
          <w:rFonts w:ascii="Times New Roman" w:hAnsi="Times New Roman" w:cs="Times New Roman"/>
          <w:sz w:val="20"/>
          <w:szCs w:val="20"/>
        </w:rPr>
        <w:t>) erythrocyte</w:t>
      </w:r>
      <w:r>
        <w:rPr>
          <w:rFonts w:hint="eastAsia" w:ascii="Times New Roman" w:hAnsi="Times New Roman" w:cs="Times New Roman"/>
          <w:sz w:val="20"/>
          <w:szCs w:val="20"/>
        </w:rPr>
        <w:t>s</w:t>
      </w:r>
      <w:r>
        <w:rPr>
          <w:rFonts w:ascii="Times New Roman" w:hAnsi="Times New Roman" w:cs="Times New Roman"/>
          <w:sz w:val="20"/>
          <w:szCs w:val="20"/>
        </w:rPr>
        <w:t xml:space="preserve"> count, (</w:t>
      </w:r>
      <w:r>
        <w:rPr>
          <w:rFonts w:hint="eastAsia" w:ascii="Times New Roman" w:hAnsi="Times New Roman" w:cs="Times New Roman"/>
          <w:b/>
          <w:bCs/>
          <w:sz w:val="20"/>
          <w:szCs w:val="20"/>
          <w:lang w:val="en-US" w:eastAsia="zh-CN"/>
        </w:rPr>
        <w:t>r</w:t>
      </w:r>
      <w:r>
        <w:rPr>
          <w:rFonts w:ascii="Times New Roman" w:hAnsi="Times New Roman" w:cs="Times New Roman"/>
          <w:sz w:val="20"/>
          <w:szCs w:val="20"/>
        </w:rPr>
        <w:t>) hemoglobin levels, (</w:t>
      </w:r>
      <w:r>
        <w:rPr>
          <w:rFonts w:hint="eastAsia" w:ascii="Times New Roman" w:hAnsi="Times New Roman" w:cs="Times New Roman"/>
          <w:b/>
          <w:bCs/>
          <w:sz w:val="20"/>
          <w:szCs w:val="20"/>
          <w:lang w:val="en-US" w:eastAsia="zh-CN"/>
        </w:rPr>
        <w:t>s</w:t>
      </w:r>
      <w:r>
        <w:rPr>
          <w:rFonts w:ascii="Times New Roman" w:hAnsi="Times New Roman" w:cs="Times New Roman"/>
          <w:sz w:val="20"/>
          <w:szCs w:val="20"/>
        </w:rPr>
        <w:t>) platelet count, and (</w:t>
      </w:r>
      <w:r>
        <w:rPr>
          <w:rFonts w:hint="eastAsia" w:ascii="Times New Roman" w:hAnsi="Times New Roman" w:cs="Times New Roman"/>
          <w:b/>
          <w:bCs/>
          <w:sz w:val="20"/>
          <w:szCs w:val="20"/>
          <w:lang w:val="en-US" w:eastAsia="zh-CN"/>
        </w:rPr>
        <w:t>t</w:t>
      </w:r>
      <w:r>
        <w:rPr>
          <w:rFonts w:ascii="Times New Roman" w:hAnsi="Times New Roman" w:cs="Times New Roman"/>
          <w:sz w:val="20"/>
          <w:szCs w:val="20"/>
        </w:rPr>
        <w:t>) mean platelet volume. Data are presented as mean ± SEM (</w:t>
      </w:r>
      <w:r>
        <w:rPr>
          <w:rFonts w:hint="eastAsia" w:ascii="Times New Roman" w:hAnsi="Times New Roman" w:cs="Times New Roman"/>
          <w:sz w:val="20"/>
          <w:szCs w:val="20"/>
        </w:rPr>
        <w:t>n</w:t>
      </w:r>
      <w:r>
        <w:rPr>
          <w:rFonts w:ascii="Times New Roman" w:hAnsi="Times New Roman" w:cs="Times New Roman"/>
          <w:sz w:val="20"/>
          <w:szCs w:val="20"/>
        </w:rPr>
        <w:t xml:space="preserve"> = 8-10). </w:t>
      </w:r>
      <w:r>
        <w:rPr>
          <w:rFonts w:hint="eastAsia" w:ascii="Times New Roman" w:hAnsi="Times New Roman" w:cs="Times New Roman"/>
          <w:sz w:val="20"/>
          <w:szCs w:val="20"/>
        </w:rPr>
        <w:t>T</w:t>
      </w:r>
      <w:r>
        <w:rPr>
          <w:rFonts w:ascii="Times New Roman" w:hAnsi="Times New Roman" w:cs="Times New Roman"/>
          <w:sz w:val="20"/>
          <w:szCs w:val="20"/>
        </w:rPr>
        <w:t>wo-way (</w:t>
      </w:r>
      <w:r>
        <w:rPr>
          <w:rFonts w:hint="eastAsia" w:ascii="Times New Roman" w:hAnsi="Times New Roman" w:cs="Times New Roman"/>
          <w:sz w:val="20"/>
          <w:szCs w:val="20"/>
        </w:rPr>
        <w:t>A</w:t>
      </w:r>
      <w:r>
        <w:rPr>
          <w:rFonts w:ascii="Times New Roman" w:hAnsi="Times New Roman" w:cs="Times New Roman"/>
          <w:sz w:val="20"/>
          <w:szCs w:val="20"/>
        </w:rPr>
        <w:t>) or one-way (</w:t>
      </w:r>
      <w:r>
        <w:rPr>
          <w:rFonts w:hint="eastAsia" w:ascii="Times New Roman" w:hAnsi="Times New Roman" w:cs="Times New Roman"/>
          <w:sz w:val="20"/>
          <w:szCs w:val="20"/>
        </w:rPr>
        <w:t>B, E-T</w:t>
      </w:r>
      <w:r>
        <w:rPr>
          <w:rFonts w:ascii="Times New Roman" w:hAnsi="Times New Roman" w:cs="Times New Roman"/>
          <w:sz w:val="20"/>
          <w:szCs w:val="20"/>
        </w:rPr>
        <w:t>) ANOVA, followed by Tukey’s multiple comparisons test.</w:t>
      </w:r>
      <w:r>
        <w:rPr>
          <w:rFonts w:hint="eastAsia" w:ascii="Times New Roman" w:hAnsi="Times New Roman" w:cs="Times New Roman"/>
          <w:sz w:val="20"/>
          <w:szCs w:val="20"/>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CAFB5">
    <w:pPr>
      <w:pStyle w:val="11"/>
      <w:ind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D7847C">
                          <w:pPr>
                            <w:pStyle w:val="1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14:paraId="57D7847C">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9EC27">
    <w:pPr>
      <w:pStyle w:val="11"/>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3C0EA">
    <w:pPr>
      <w:pStyle w:val="11"/>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00313">
    <w:pPr>
      <w:pStyle w:val="12"/>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5699E">
    <w:pPr>
      <w:pStyle w:val="12"/>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AC27D">
    <w:pPr>
      <w:pStyle w:val="12"/>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hdrShapeDefaults>
    <o:shapelayout v:ext="edit">
      <o:idmap v:ext="edit" data="3"/>
    </o:shapelayout>
  </w:hdrShapeDefault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6C3"/>
    <w:rsid w:val="00000C1F"/>
    <w:rsid w:val="00042517"/>
    <w:rsid w:val="00047EB1"/>
    <w:rsid w:val="00090F60"/>
    <w:rsid w:val="00092EAF"/>
    <w:rsid w:val="000B4E01"/>
    <w:rsid w:val="000B78B4"/>
    <w:rsid w:val="000E64BE"/>
    <w:rsid w:val="00106EB8"/>
    <w:rsid w:val="00127970"/>
    <w:rsid w:val="00195364"/>
    <w:rsid w:val="00197E17"/>
    <w:rsid w:val="001C3352"/>
    <w:rsid w:val="001D7961"/>
    <w:rsid w:val="00244956"/>
    <w:rsid w:val="002E2D90"/>
    <w:rsid w:val="003241EF"/>
    <w:rsid w:val="003A3DD1"/>
    <w:rsid w:val="004228EF"/>
    <w:rsid w:val="004410CA"/>
    <w:rsid w:val="004A64D3"/>
    <w:rsid w:val="0054334D"/>
    <w:rsid w:val="005706C3"/>
    <w:rsid w:val="00595FF9"/>
    <w:rsid w:val="00596B55"/>
    <w:rsid w:val="005C3451"/>
    <w:rsid w:val="005F5DD4"/>
    <w:rsid w:val="006731A7"/>
    <w:rsid w:val="006C1815"/>
    <w:rsid w:val="006D003E"/>
    <w:rsid w:val="007032E6"/>
    <w:rsid w:val="0072113A"/>
    <w:rsid w:val="00741C3A"/>
    <w:rsid w:val="007513CD"/>
    <w:rsid w:val="00760E2E"/>
    <w:rsid w:val="00775933"/>
    <w:rsid w:val="007B35BF"/>
    <w:rsid w:val="007F5B73"/>
    <w:rsid w:val="0084027E"/>
    <w:rsid w:val="00851786"/>
    <w:rsid w:val="00854BC2"/>
    <w:rsid w:val="00965E81"/>
    <w:rsid w:val="009F07D9"/>
    <w:rsid w:val="00A6445F"/>
    <w:rsid w:val="00A67F2D"/>
    <w:rsid w:val="00AF2EDE"/>
    <w:rsid w:val="00B72B62"/>
    <w:rsid w:val="00C54F55"/>
    <w:rsid w:val="00CA66E6"/>
    <w:rsid w:val="00CD753C"/>
    <w:rsid w:val="00D1131E"/>
    <w:rsid w:val="00D20634"/>
    <w:rsid w:val="00D21100"/>
    <w:rsid w:val="00D46F55"/>
    <w:rsid w:val="00DF19BA"/>
    <w:rsid w:val="00E947D9"/>
    <w:rsid w:val="00EA2781"/>
    <w:rsid w:val="00F551A8"/>
    <w:rsid w:val="00F55C7B"/>
    <w:rsid w:val="00F65DCD"/>
    <w:rsid w:val="343E0342"/>
    <w:rsid w:val="376E2676"/>
    <w:rsid w:val="3B574AE0"/>
    <w:rsid w:val="41C74795"/>
    <w:rsid w:val="4BA53B29"/>
    <w:rsid w:val="56FD3B56"/>
    <w:rsid w:val="5A406D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14:ligatures w14:val="standardContextual"/>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eastAsiaTheme="minorEastAsia" w:cstheme="majorBidi"/>
      <w:color w:val="2F5597"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eastAsiaTheme="minorEastAsia" w:cstheme="majorBidi"/>
      <w:color w:val="2F5597" w:themeColor="accent1" w:themeShade="BF"/>
      <w:szCs w:val="24"/>
    </w:rPr>
  </w:style>
  <w:style w:type="paragraph" w:styleId="7">
    <w:name w:val="heading 6"/>
    <w:basedOn w:val="1"/>
    <w:next w:val="1"/>
    <w:link w:val="24"/>
    <w:semiHidden/>
    <w:unhideWhenUsed/>
    <w:qFormat/>
    <w:uiPriority w:val="9"/>
    <w:pPr>
      <w:keepNext/>
      <w:keepLines/>
      <w:spacing w:before="40"/>
      <w:outlineLvl w:val="5"/>
    </w:pPr>
    <w:rPr>
      <w:rFonts w:eastAsiaTheme="minorEastAsia" w:cstheme="majorBidi"/>
      <w:b/>
      <w:bCs/>
      <w:color w:val="2F5597" w:themeColor="accent1" w:themeShade="BF"/>
    </w:rPr>
  </w:style>
  <w:style w:type="paragraph" w:styleId="8">
    <w:name w:val="heading 7"/>
    <w:basedOn w:val="1"/>
    <w:next w:val="1"/>
    <w:link w:val="25"/>
    <w:semiHidden/>
    <w:unhideWhenUsed/>
    <w:qFormat/>
    <w:uiPriority w:val="9"/>
    <w:pPr>
      <w:keepNext/>
      <w:keepLines/>
      <w:spacing w:before="40"/>
      <w:outlineLvl w:val="6"/>
    </w:pPr>
    <w:rPr>
      <w:rFonts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9"/>
    <w:unhideWhenUsed/>
    <w:qFormat/>
    <w:uiPriority w:val="99"/>
    <w:pPr>
      <w:tabs>
        <w:tab w:val="center" w:pos="4153"/>
        <w:tab w:val="right" w:pos="8306"/>
      </w:tabs>
      <w:snapToGrid w:val="0"/>
      <w:spacing w:line="240" w:lineRule="auto"/>
      <w:jc w:val="left"/>
    </w:pPr>
    <w:rPr>
      <w:sz w:val="18"/>
      <w:szCs w:val="18"/>
    </w:rPr>
  </w:style>
  <w:style w:type="paragraph" w:styleId="12">
    <w:name w:val="header"/>
    <w:basedOn w:val="1"/>
    <w:link w:val="38"/>
    <w:unhideWhenUsed/>
    <w:qFormat/>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9"/>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8"/>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customStyle="1" w:styleId="17">
    <w:name w:val="样式1"/>
    <w:basedOn w:val="1"/>
    <w:link w:val="18"/>
    <w:qFormat/>
    <w:uiPriority w:val="0"/>
  </w:style>
  <w:style w:type="character" w:customStyle="1" w:styleId="18">
    <w:name w:val="样式1 字符"/>
    <w:basedOn w:val="16"/>
    <w:link w:val="17"/>
    <w:qFormat/>
    <w:uiPriority w:val="0"/>
    <w:rPr>
      <w:rFonts w:eastAsia="宋体"/>
      <w:sz w:val="24"/>
    </w:rPr>
  </w:style>
  <w:style w:type="character" w:customStyle="1" w:styleId="19">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20">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1">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2">
    <w:name w:val="标题 4 字符"/>
    <w:basedOn w:val="16"/>
    <w:link w:val="5"/>
    <w:semiHidden/>
    <w:qFormat/>
    <w:uiPriority w:val="9"/>
    <w:rPr>
      <w:rFonts w:cstheme="majorBidi"/>
      <w:color w:val="2F5597" w:themeColor="accent1" w:themeShade="BF"/>
      <w:sz w:val="28"/>
      <w:szCs w:val="28"/>
    </w:rPr>
  </w:style>
  <w:style w:type="character" w:customStyle="1" w:styleId="23">
    <w:name w:val="标题 5 字符"/>
    <w:basedOn w:val="16"/>
    <w:link w:val="6"/>
    <w:semiHidden/>
    <w:qFormat/>
    <w:uiPriority w:val="9"/>
    <w:rPr>
      <w:rFonts w:cstheme="majorBidi"/>
      <w:color w:val="2F5597" w:themeColor="accent1" w:themeShade="BF"/>
      <w:sz w:val="24"/>
      <w:szCs w:val="24"/>
    </w:rPr>
  </w:style>
  <w:style w:type="character" w:customStyle="1" w:styleId="24">
    <w:name w:val="标题 6 字符"/>
    <w:basedOn w:val="16"/>
    <w:link w:val="7"/>
    <w:semiHidden/>
    <w:qFormat/>
    <w:uiPriority w:val="9"/>
    <w:rPr>
      <w:rFonts w:cstheme="majorBidi"/>
      <w:b/>
      <w:bCs/>
      <w:color w:val="2F5597" w:themeColor="accent1" w:themeShade="BF"/>
      <w:sz w:val="24"/>
    </w:rPr>
  </w:style>
  <w:style w:type="character" w:customStyle="1" w:styleId="25">
    <w:name w:val="标题 7 字符"/>
    <w:basedOn w:val="16"/>
    <w:link w:val="8"/>
    <w:semiHidden/>
    <w:qFormat/>
    <w:uiPriority w:val="9"/>
    <w:rPr>
      <w:rFonts w:cstheme="majorBidi"/>
      <w:b/>
      <w:bCs/>
      <w:color w:val="595959" w:themeColor="text1" w:themeTint="A6"/>
      <w:sz w:val="24"/>
      <w14:textFill>
        <w14:solidFill>
          <w14:schemeClr w14:val="tx1">
            <w14:lumMod w14:val="65000"/>
            <w14:lumOff w14:val="35000"/>
          </w14:schemeClr>
        </w14:solidFill>
      </w14:textFill>
    </w:rPr>
  </w:style>
  <w:style w:type="character" w:customStyle="1" w:styleId="26">
    <w:name w:val="标题 8 字符"/>
    <w:basedOn w:val="16"/>
    <w:link w:val="9"/>
    <w:semiHidden/>
    <w:qFormat/>
    <w:uiPriority w:val="9"/>
    <w:rPr>
      <w:rFonts w:cstheme="majorBidi"/>
      <w:color w:val="595959" w:themeColor="text1" w:themeTint="A6"/>
      <w:sz w:val="24"/>
      <w14:textFill>
        <w14:solidFill>
          <w14:schemeClr w14:val="tx1">
            <w14:lumMod w14:val="65000"/>
            <w14:lumOff w14:val="35000"/>
          </w14:schemeClr>
        </w14:solidFill>
      </w14:textFill>
    </w:rPr>
  </w:style>
  <w:style w:type="character" w:customStyle="1" w:styleId="27">
    <w:name w:val="标题 9 字符"/>
    <w:basedOn w:val="16"/>
    <w:link w:val="10"/>
    <w:semiHidden/>
    <w:qFormat/>
    <w:uiPriority w:val="9"/>
    <w:rPr>
      <w:rFonts w:eastAsiaTheme="majorEastAsia" w:cstheme="majorBidi"/>
      <w:color w:val="595959" w:themeColor="text1" w:themeTint="A6"/>
      <w:sz w:val="24"/>
      <w14:textFill>
        <w14:solidFill>
          <w14:schemeClr w14:val="tx1">
            <w14:lumMod w14:val="65000"/>
            <w14:lumOff w14:val="35000"/>
          </w14:schemeClr>
        </w14:solidFill>
      </w14:textFill>
    </w:rPr>
  </w:style>
  <w:style w:type="character" w:customStyle="1" w:styleId="28">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6"/>
    <w:link w:val="30"/>
    <w:qFormat/>
    <w:uiPriority w:val="29"/>
    <w:rPr>
      <w:rFonts w:eastAsia="宋体"/>
      <w:i/>
      <w:iCs/>
      <w:color w:val="404040" w:themeColor="text1" w:themeTint="BF"/>
      <w:sz w:val="24"/>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明显强调1"/>
    <w:basedOn w:val="16"/>
    <w:qFormat/>
    <w:uiPriority w:val="21"/>
    <w:rPr>
      <w:i/>
      <w:iCs/>
      <w:color w:val="2F5597" w:themeColor="accent1" w:themeShade="BF"/>
    </w:rPr>
  </w:style>
  <w:style w:type="paragraph" w:styleId="34">
    <w:name w:val="Intense Quote"/>
    <w:basedOn w:val="1"/>
    <w:next w:val="1"/>
    <w:link w:val="35"/>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5">
    <w:name w:val="明显引用 字符"/>
    <w:basedOn w:val="16"/>
    <w:link w:val="34"/>
    <w:qFormat/>
    <w:uiPriority w:val="30"/>
    <w:rPr>
      <w:rFonts w:eastAsia="宋体"/>
      <w:i/>
      <w:iCs/>
      <w:color w:val="2F5597" w:themeColor="accent1" w:themeShade="BF"/>
      <w:sz w:val="24"/>
    </w:rPr>
  </w:style>
  <w:style w:type="character" w:customStyle="1" w:styleId="36">
    <w:name w:val="明显参考1"/>
    <w:basedOn w:val="16"/>
    <w:qFormat/>
    <w:uiPriority w:val="32"/>
    <w:rPr>
      <w:b/>
      <w:bCs/>
      <w:smallCaps/>
      <w:color w:val="2F5597" w:themeColor="accent1" w:themeShade="BF"/>
      <w:spacing w:val="5"/>
    </w:rPr>
  </w:style>
  <w:style w:type="paragraph" w:customStyle="1" w:styleId="37">
    <w:name w:val="Head"/>
    <w:basedOn w:val="1"/>
    <w:qFormat/>
    <w:uiPriority w:val="0"/>
    <w:pPr>
      <w:keepNext/>
      <w:widowControl/>
      <w:spacing w:before="120" w:after="120" w:line="240" w:lineRule="auto"/>
      <w:ind w:firstLine="0" w:firstLineChars="0"/>
      <w:jc w:val="center"/>
      <w:outlineLvl w:val="0"/>
    </w:pPr>
    <w:rPr>
      <w:rFonts w:ascii="Times New Roman" w:hAnsi="Times New Roman" w:eastAsia="Times New Roman" w:cs="Times New Roman"/>
      <w:b/>
      <w:bCs/>
      <w:kern w:val="28"/>
      <w:sz w:val="28"/>
      <w:szCs w:val="28"/>
      <w:lang w:eastAsia="en-US"/>
    </w:rPr>
  </w:style>
  <w:style w:type="character" w:customStyle="1" w:styleId="38">
    <w:name w:val="页眉 字符"/>
    <w:basedOn w:val="16"/>
    <w:link w:val="12"/>
    <w:qFormat/>
    <w:uiPriority w:val="99"/>
    <w:rPr>
      <w:rFonts w:eastAsia="宋体"/>
      <w:sz w:val="18"/>
      <w:szCs w:val="18"/>
    </w:rPr>
  </w:style>
  <w:style w:type="character" w:customStyle="1" w:styleId="39">
    <w:name w:val="页脚 字符"/>
    <w:basedOn w:val="16"/>
    <w:link w:val="11"/>
    <w:qFormat/>
    <w:uiPriority w:val="99"/>
    <w:rPr>
      <w:rFonts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890</Words>
  <Characters>4873</Characters>
  <Lines>40</Lines>
  <Paragraphs>11</Paragraphs>
  <TotalTime>25</TotalTime>
  <ScaleCrop>false</ScaleCrop>
  <LinksUpToDate>false</LinksUpToDate>
  <CharactersWithSpaces>5749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2025-02-23T13:41:00Z</dcterms:created>
  <dc:creator>cailv wei</dc:creator>
  <cp:lastModifiedBy>Cathy 大白兔</cp:lastModifiedBy>
  <dcterms:modified xsi:type="dcterms:W3CDTF">2025-04-10T15:30:34Z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eyJoZGlkIjoiNGU4ZDNlM2JmODhkMDJlNDdiZDlmNjBlODA1ZDc2MmYiLCJ1c2VySWQiOiI2MjY2MzMwNDgifQ==</vt:lpwstr>
  </property>
  <property fmtid="{D5CDD505-2E9C-101B-9397-08002B2CF9AE}" pid="3" name="KSOProductBuildVer">
    <vt:lpwstr>2052-12.1.0.20305</vt:lpwstr>
  </property>
  <property fmtid="{D5CDD505-2E9C-101B-9397-08002B2CF9AE}" pid="4" name="ICV">
    <vt:lpwstr>89DF39CA3E6E486ABD553C9C5656A91C_13</vt:lpwstr>
  </property>
</Properties>
</file>