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834DD" w14:textId="77777777" w:rsidR="00BE2742" w:rsidRPr="00B62AED" w:rsidRDefault="00BE2742" w:rsidP="00BE2742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B62AED">
        <w:rPr>
          <w:rFonts w:ascii="Times New Roman" w:hAnsi="Times New Roman"/>
          <w:sz w:val="24"/>
          <w:szCs w:val="24"/>
        </w:rPr>
        <w:t>Supplementary material for</w:t>
      </w:r>
    </w:p>
    <w:p w14:paraId="088DC688" w14:textId="77777777" w:rsidR="00C260D2" w:rsidRPr="00B62AED" w:rsidRDefault="00C260D2" w:rsidP="00BE2742">
      <w:pPr>
        <w:pStyle w:val="p1"/>
        <w:jc w:val="center"/>
        <w:rPr>
          <w:rFonts w:ascii="Times New Roman" w:hAnsi="Times New Roman"/>
          <w:sz w:val="24"/>
          <w:szCs w:val="24"/>
        </w:rPr>
      </w:pPr>
    </w:p>
    <w:p w14:paraId="7A8888AF" w14:textId="77777777" w:rsidR="00FE2C5A" w:rsidRPr="00FE2C5A" w:rsidRDefault="00FE2C5A" w:rsidP="00FE2C5A">
      <w:pPr>
        <w:spacing w:line="360" w:lineRule="auto"/>
        <w:jc w:val="center"/>
        <w:rPr>
          <w:b/>
        </w:rPr>
      </w:pPr>
      <w:bookmarkStart w:id="0" w:name="_Hlk193886109"/>
      <w:bookmarkEnd w:id="0"/>
      <w:r w:rsidRPr="00FE2C5A">
        <w:rPr>
          <w:b/>
        </w:rPr>
        <w:t>The application of Schweizer's reagent with FTIR imaging spectroscopic solutions for microplastics advanced analysis of feces samples</w:t>
      </w:r>
    </w:p>
    <w:p w14:paraId="35BA2FD2" w14:textId="77777777" w:rsidR="00C260D2" w:rsidRDefault="00C260D2" w:rsidP="00C260D2">
      <w:pPr>
        <w:spacing w:line="360" w:lineRule="auto"/>
        <w:jc w:val="center"/>
        <w:rPr>
          <w:b/>
        </w:rPr>
      </w:pPr>
    </w:p>
    <w:p w14:paraId="42C9692D" w14:textId="77777777" w:rsidR="00C260D2" w:rsidRPr="006B6D0E" w:rsidRDefault="00C260D2" w:rsidP="00C260D2">
      <w:pPr>
        <w:spacing w:line="360" w:lineRule="auto"/>
        <w:jc w:val="center"/>
        <w:rPr>
          <w:b/>
        </w:rPr>
      </w:pPr>
    </w:p>
    <w:p w14:paraId="49069E48" w14:textId="791711D1" w:rsidR="00E01FC5" w:rsidRPr="002C39FF" w:rsidRDefault="00E01FC5" w:rsidP="00E01FC5">
      <w:pPr>
        <w:spacing w:line="360" w:lineRule="auto"/>
      </w:pPr>
      <w:r w:rsidRPr="002C39FF">
        <w:t>Miloš Ilić</w:t>
      </w:r>
      <w:r w:rsidRPr="002C39FF">
        <w:rPr>
          <w:vertAlign w:val="superscript"/>
        </w:rPr>
        <w:t>1</w:t>
      </w:r>
      <w:r w:rsidRPr="002C39FF">
        <w:t>, Tamara Mutić</w:t>
      </w:r>
      <w:r w:rsidRPr="002C39FF">
        <w:rPr>
          <w:vertAlign w:val="superscript"/>
        </w:rPr>
        <w:t>1</w:t>
      </w:r>
      <w:r w:rsidRPr="002C39FF">
        <w:t>, Dragana Stanić-Vučinić</w:t>
      </w:r>
      <w:r w:rsidRPr="002C39FF">
        <w:rPr>
          <w:vertAlign w:val="superscript"/>
        </w:rPr>
        <w:t>1</w:t>
      </w:r>
      <w:r w:rsidRPr="002C39FF">
        <w:t>, Mirjana Turkalj</w:t>
      </w:r>
      <w:r w:rsidRPr="002C39FF">
        <w:rPr>
          <w:vertAlign w:val="superscript"/>
        </w:rPr>
        <w:t>2</w:t>
      </w:r>
      <w:proofErr w:type="gramStart"/>
      <w:r w:rsidR="00FA1DC9">
        <w:rPr>
          <w:vertAlign w:val="superscript"/>
        </w:rPr>
        <w:t>,3,4</w:t>
      </w:r>
      <w:proofErr w:type="gramEnd"/>
      <w:r w:rsidRPr="002C39FF">
        <w:t>,</w:t>
      </w:r>
      <w:r>
        <w:t xml:space="preserve"> Ivana Banić</w:t>
      </w:r>
      <w:r>
        <w:rPr>
          <w:vertAlign w:val="superscript"/>
        </w:rPr>
        <w:t>2</w:t>
      </w:r>
      <w:r>
        <w:t>,</w:t>
      </w:r>
      <w:r w:rsidRPr="002C39FF">
        <w:t xml:space="preserve"> </w:t>
      </w:r>
      <w:proofErr w:type="spellStart"/>
      <w:r w:rsidRPr="002C39FF">
        <w:t>Jelena</w:t>
      </w:r>
      <w:proofErr w:type="spellEnd"/>
      <w:r w:rsidRPr="002C39FF">
        <w:t xml:space="preserve"> Mutić</w:t>
      </w:r>
      <w:r w:rsidRPr="002C39FF">
        <w:rPr>
          <w:vertAlign w:val="superscript"/>
        </w:rPr>
        <w:t>1</w:t>
      </w:r>
      <w:r w:rsidR="00781066">
        <w:rPr>
          <w:vertAlign w:val="superscript"/>
        </w:rPr>
        <w:t>*</w:t>
      </w:r>
      <w:bookmarkStart w:id="1" w:name="_GoBack"/>
      <w:bookmarkEnd w:id="1"/>
      <w:r w:rsidRPr="002C39FF">
        <w:t>, and Tanja Ćirković Veličković</w:t>
      </w:r>
      <w:r w:rsidRPr="002C39FF">
        <w:rPr>
          <w:vertAlign w:val="superscript"/>
        </w:rPr>
        <w:t>1,</w:t>
      </w:r>
      <w:r>
        <w:rPr>
          <w:vertAlign w:val="superscript"/>
        </w:rPr>
        <w:t>5</w:t>
      </w:r>
      <w:r w:rsidRPr="002C39FF">
        <w:rPr>
          <w:vertAlign w:val="superscript"/>
        </w:rPr>
        <w:t>*</w:t>
      </w:r>
    </w:p>
    <w:p w14:paraId="1DF316E3" w14:textId="77777777" w:rsidR="00E01FC5" w:rsidRPr="002C39FF" w:rsidRDefault="00E01FC5" w:rsidP="00E01FC5">
      <w:pPr>
        <w:spacing w:line="360" w:lineRule="auto"/>
        <w:rPr>
          <w:i/>
          <w:vertAlign w:val="superscript"/>
        </w:rPr>
      </w:pPr>
    </w:p>
    <w:p w14:paraId="11C1CE12" w14:textId="77777777" w:rsidR="00E01FC5" w:rsidRPr="002C39FF" w:rsidRDefault="00E01FC5" w:rsidP="00E01FC5">
      <w:pPr>
        <w:spacing w:line="360" w:lineRule="auto"/>
        <w:rPr>
          <w:i/>
        </w:rPr>
      </w:pPr>
      <w:r w:rsidRPr="002C39FF">
        <w:rPr>
          <w:i/>
          <w:vertAlign w:val="superscript"/>
        </w:rPr>
        <w:t xml:space="preserve">1 </w:t>
      </w:r>
      <w:r w:rsidRPr="002C39FF">
        <w:rPr>
          <w:i/>
        </w:rPr>
        <w:t xml:space="preserve">University of Belgrade - Faculty of Chemistry, </w:t>
      </w:r>
      <w:proofErr w:type="spellStart"/>
      <w:r w:rsidRPr="002C39FF">
        <w:rPr>
          <w:i/>
        </w:rPr>
        <w:t>Studentski</w:t>
      </w:r>
      <w:proofErr w:type="spellEnd"/>
      <w:r w:rsidRPr="002C39FF">
        <w:rPr>
          <w:i/>
        </w:rPr>
        <w:t xml:space="preserve"> </w:t>
      </w:r>
      <w:proofErr w:type="spellStart"/>
      <w:r w:rsidRPr="002C39FF">
        <w:rPr>
          <w:i/>
        </w:rPr>
        <w:t>trg</w:t>
      </w:r>
      <w:proofErr w:type="spellEnd"/>
      <w:r w:rsidRPr="002C39FF">
        <w:rPr>
          <w:i/>
        </w:rPr>
        <w:t xml:space="preserve"> 12-16, 11000 Belgrade, Serbia</w:t>
      </w:r>
    </w:p>
    <w:p w14:paraId="530B4694" w14:textId="77777777" w:rsidR="00E01FC5" w:rsidRDefault="00E01FC5" w:rsidP="00E01FC5">
      <w:pPr>
        <w:spacing w:line="360" w:lineRule="auto"/>
        <w:rPr>
          <w:i/>
        </w:rPr>
      </w:pPr>
      <w:r w:rsidRPr="002C39FF">
        <w:rPr>
          <w:i/>
          <w:vertAlign w:val="superscript"/>
        </w:rPr>
        <w:t>2</w:t>
      </w:r>
      <w:r w:rsidRPr="002C39FF">
        <w:rPr>
          <w:i/>
        </w:rPr>
        <w:t>Srebrenjak Children’s Hospital, Zagreb, Croatia</w:t>
      </w:r>
    </w:p>
    <w:p w14:paraId="729F84E3" w14:textId="77777777" w:rsidR="00E01FC5" w:rsidRDefault="00E01FC5" w:rsidP="00E01FC5">
      <w:pPr>
        <w:spacing w:line="360" w:lineRule="auto"/>
        <w:rPr>
          <w:i/>
        </w:rPr>
      </w:pPr>
      <w:r>
        <w:rPr>
          <w:i/>
          <w:vertAlign w:val="superscript"/>
        </w:rPr>
        <w:t>3</w:t>
      </w:r>
      <w:r>
        <w:rPr>
          <w:i/>
        </w:rPr>
        <w:t>F</w:t>
      </w:r>
      <w:r w:rsidRPr="00686116">
        <w:rPr>
          <w:i/>
        </w:rPr>
        <w:t xml:space="preserve">aculty of Medicine, Josip </w:t>
      </w:r>
      <w:proofErr w:type="spellStart"/>
      <w:r w:rsidRPr="00686116">
        <w:rPr>
          <w:i/>
        </w:rPr>
        <w:t>Juraj</w:t>
      </w:r>
      <w:proofErr w:type="spellEnd"/>
      <w:r w:rsidRPr="00686116">
        <w:rPr>
          <w:i/>
        </w:rPr>
        <w:t xml:space="preserve"> </w:t>
      </w:r>
      <w:proofErr w:type="spellStart"/>
      <w:r w:rsidRPr="00686116">
        <w:rPr>
          <w:i/>
        </w:rPr>
        <w:t>Strossmayer</w:t>
      </w:r>
      <w:proofErr w:type="spellEnd"/>
      <w:r w:rsidRPr="00686116">
        <w:rPr>
          <w:i/>
        </w:rPr>
        <w:t xml:space="preserve"> University of Osijek, HR-31000 Osijek, Croatia</w:t>
      </w:r>
    </w:p>
    <w:p w14:paraId="6CB9F298" w14:textId="77777777" w:rsidR="00E01FC5" w:rsidRPr="002C39FF" w:rsidRDefault="00E01FC5" w:rsidP="00E01FC5">
      <w:pPr>
        <w:spacing w:line="360" w:lineRule="auto"/>
        <w:rPr>
          <w:i/>
        </w:rPr>
      </w:pPr>
      <w:r>
        <w:rPr>
          <w:i/>
          <w:vertAlign w:val="superscript"/>
        </w:rPr>
        <w:t>4</w:t>
      </w:r>
      <w:r>
        <w:rPr>
          <w:i/>
        </w:rPr>
        <w:t>S</w:t>
      </w:r>
      <w:r w:rsidRPr="00884B44">
        <w:rPr>
          <w:i/>
        </w:rPr>
        <w:t>chool of Medicine, Catholic University of Croatia, HR-10000 Zagreb, Croatia</w:t>
      </w:r>
    </w:p>
    <w:p w14:paraId="349CB445" w14:textId="77777777" w:rsidR="00E01FC5" w:rsidRPr="002C39FF" w:rsidRDefault="00E01FC5" w:rsidP="00E01FC5">
      <w:pPr>
        <w:spacing w:line="360" w:lineRule="auto"/>
        <w:rPr>
          <w:i/>
        </w:rPr>
      </w:pPr>
      <w:r>
        <w:rPr>
          <w:i/>
          <w:vertAlign w:val="superscript"/>
        </w:rPr>
        <w:t>5</w:t>
      </w:r>
      <w:r w:rsidRPr="002C39FF">
        <w:rPr>
          <w:i/>
          <w:vertAlign w:val="superscript"/>
        </w:rPr>
        <w:t xml:space="preserve"> </w:t>
      </w:r>
      <w:r w:rsidRPr="0095203A">
        <w:rPr>
          <w:i/>
        </w:rPr>
        <w:t xml:space="preserve">Serbian Academy of Sciences and Arts, </w:t>
      </w:r>
      <w:proofErr w:type="spellStart"/>
      <w:r w:rsidRPr="0095203A">
        <w:rPr>
          <w:i/>
        </w:rPr>
        <w:t>Knez</w:t>
      </w:r>
      <w:proofErr w:type="spellEnd"/>
      <w:r w:rsidRPr="0095203A">
        <w:rPr>
          <w:i/>
        </w:rPr>
        <w:t xml:space="preserve"> </w:t>
      </w:r>
      <w:proofErr w:type="spellStart"/>
      <w:r w:rsidRPr="0095203A">
        <w:rPr>
          <w:i/>
        </w:rPr>
        <w:t>Mihajlova</w:t>
      </w:r>
      <w:proofErr w:type="spellEnd"/>
      <w:r w:rsidRPr="0095203A">
        <w:rPr>
          <w:i/>
        </w:rPr>
        <w:t xml:space="preserve"> 35, 11000 Belgrade, Serbia</w:t>
      </w:r>
    </w:p>
    <w:p w14:paraId="0FD75ECC" w14:textId="77777777" w:rsidR="00040CB9" w:rsidRDefault="00040CB9" w:rsidP="00040CB9">
      <w:pPr>
        <w:spacing w:after="0" w:line="240" w:lineRule="auto"/>
        <w:jc w:val="left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</w:p>
    <w:p w14:paraId="415AD5F7" w14:textId="1C12947E" w:rsidR="00040CB9" w:rsidRPr="00BF3BE2" w:rsidRDefault="00040CB9" w:rsidP="00040CB9">
      <w:pPr>
        <w:spacing w:after="0" w:line="240" w:lineRule="auto"/>
        <w:jc w:val="left"/>
        <w:rPr>
          <w:rFonts w:eastAsia="Times New Roman" w:cs="Times New Roman"/>
          <w:color w:val="000000"/>
          <w:kern w:val="0"/>
          <w14:ligatures w14:val="none"/>
        </w:rPr>
      </w:pPr>
      <w:r w:rsidRPr="00040CB9">
        <w:rPr>
          <w:rFonts w:eastAsia="Times New Roman" w:cs="Times New Roman"/>
          <w:color w:val="000000"/>
          <w:kern w:val="0"/>
          <w14:ligatures w14:val="none"/>
        </w:rPr>
        <w:t>Content of Supplementary material:</w:t>
      </w:r>
    </w:p>
    <w:p w14:paraId="79E87C08" w14:textId="77777777" w:rsidR="00040CB9" w:rsidRPr="00BF3BE2" w:rsidRDefault="00040CB9" w:rsidP="00040CB9">
      <w:pPr>
        <w:spacing w:after="0" w:line="240" w:lineRule="auto"/>
        <w:jc w:val="left"/>
        <w:rPr>
          <w:rFonts w:eastAsia="Times New Roman" w:cs="Times New Roman"/>
          <w:color w:val="000000"/>
          <w:kern w:val="0"/>
          <w14:ligatures w14:val="none"/>
        </w:rPr>
      </w:pPr>
    </w:p>
    <w:p w14:paraId="14D43CB1" w14:textId="6C55AB1D" w:rsidR="00BE2742" w:rsidRPr="00A267F7" w:rsidRDefault="00BE2742" w:rsidP="00A267F7">
      <w:pPr>
        <w:spacing w:after="0" w:line="240" w:lineRule="auto"/>
        <w:jc w:val="lef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469D9A82" w14:textId="408D2C9A" w:rsidR="00A267F7" w:rsidRDefault="00A267F7" w:rsidP="00BE2742">
      <w:pPr>
        <w:jc w:val="left"/>
        <w:rPr>
          <w:b/>
          <w:bCs/>
        </w:rPr>
      </w:pPr>
      <w:r w:rsidRPr="003C7BC3">
        <w:rPr>
          <w:b/>
          <w:bCs/>
        </w:rPr>
        <w:t>Tables</w:t>
      </w:r>
      <w:r w:rsidR="003C7BC3" w:rsidRPr="003C7BC3">
        <w:rPr>
          <w:b/>
          <w:bCs/>
        </w:rPr>
        <w:t>:</w:t>
      </w:r>
    </w:p>
    <w:p w14:paraId="0D2127B7" w14:textId="63FDF722" w:rsidR="002F447D" w:rsidRDefault="003C7BC3" w:rsidP="002F447D">
      <w:pPr>
        <w:rPr>
          <w:rFonts w:cs="Times New Roman"/>
          <w:color w:val="000000"/>
        </w:rPr>
      </w:pPr>
      <w:r>
        <w:rPr>
          <w:b/>
          <w:bCs/>
        </w:rPr>
        <w:t xml:space="preserve">Table S1. </w:t>
      </w:r>
      <w:r w:rsidR="002F447D" w:rsidRPr="002F447D">
        <w:rPr>
          <w:rFonts w:cs="Times New Roman"/>
          <w:color w:val="000000"/>
        </w:rPr>
        <w:t xml:space="preserve">Physical </w:t>
      </w:r>
      <w:r w:rsidR="002F447D">
        <w:rPr>
          <w:rFonts w:cs="Times New Roman"/>
          <w:color w:val="000000"/>
        </w:rPr>
        <w:t>p</w:t>
      </w:r>
      <w:r w:rsidR="002F447D" w:rsidRPr="002F447D">
        <w:rPr>
          <w:rFonts w:cs="Times New Roman"/>
          <w:color w:val="000000"/>
        </w:rPr>
        <w:t xml:space="preserve">roperties of </w:t>
      </w:r>
      <w:r w:rsidR="002F447D">
        <w:rPr>
          <w:rFonts w:cs="Times New Roman"/>
          <w:color w:val="000000"/>
        </w:rPr>
        <w:t>p</w:t>
      </w:r>
      <w:r w:rsidR="002F447D" w:rsidRPr="002F447D">
        <w:rPr>
          <w:rFonts w:cs="Times New Roman"/>
          <w:color w:val="000000"/>
        </w:rPr>
        <w:t xml:space="preserve">olymer </w:t>
      </w:r>
      <w:r w:rsidR="002F447D">
        <w:rPr>
          <w:rFonts w:cs="Times New Roman"/>
          <w:color w:val="000000"/>
        </w:rPr>
        <w:t>s</w:t>
      </w:r>
      <w:r w:rsidR="002F447D" w:rsidRPr="002F447D">
        <w:rPr>
          <w:rFonts w:cs="Times New Roman"/>
          <w:color w:val="000000"/>
        </w:rPr>
        <w:t xml:space="preserve">tandards: </w:t>
      </w:r>
      <w:r w:rsidR="002F447D">
        <w:rPr>
          <w:rFonts w:cs="Times New Roman"/>
          <w:color w:val="000000"/>
        </w:rPr>
        <w:t>p</w:t>
      </w:r>
      <w:r w:rsidR="002F447D" w:rsidRPr="002F447D">
        <w:rPr>
          <w:rFonts w:cs="Times New Roman"/>
          <w:color w:val="000000"/>
        </w:rPr>
        <w:t xml:space="preserve">article </w:t>
      </w:r>
      <w:r w:rsidR="002F447D">
        <w:rPr>
          <w:rFonts w:cs="Times New Roman"/>
          <w:color w:val="000000"/>
        </w:rPr>
        <w:t>s</w:t>
      </w:r>
      <w:r w:rsidR="002F447D" w:rsidRPr="002F447D">
        <w:rPr>
          <w:rFonts w:cs="Times New Roman"/>
          <w:color w:val="000000"/>
        </w:rPr>
        <w:t xml:space="preserve">ize and </w:t>
      </w:r>
      <w:r w:rsidR="002F447D">
        <w:rPr>
          <w:rFonts w:cs="Times New Roman"/>
          <w:color w:val="000000"/>
        </w:rPr>
        <w:t>d</w:t>
      </w:r>
      <w:r w:rsidR="002F447D" w:rsidRPr="002F447D">
        <w:rPr>
          <w:rFonts w:cs="Times New Roman"/>
          <w:color w:val="000000"/>
        </w:rPr>
        <w:t xml:space="preserve">ensity </w:t>
      </w:r>
      <w:r w:rsidR="002F447D">
        <w:rPr>
          <w:rFonts w:cs="Times New Roman"/>
          <w:color w:val="000000"/>
        </w:rPr>
        <w:t>r</w:t>
      </w:r>
      <w:r w:rsidR="002F447D" w:rsidRPr="002F447D">
        <w:rPr>
          <w:rFonts w:cs="Times New Roman"/>
          <w:color w:val="000000"/>
        </w:rPr>
        <w:t>ange</w:t>
      </w:r>
      <w:r w:rsidR="002F447D">
        <w:rPr>
          <w:rFonts w:cs="Times New Roman"/>
          <w:color w:val="000000"/>
        </w:rPr>
        <w:t>.</w:t>
      </w:r>
    </w:p>
    <w:p w14:paraId="11F2B8EA" w14:textId="77777777" w:rsidR="00BF3BE2" w:rsidRDefault="00BF3BE2" w:rsidP="002F447D">
      <w:pPr>
        <w:rPr>
          <w:b/>
          <w:bCs/>
        </w:rPr>
      </w:pPr>
    </w:p>
    <w:p w14:paraId="7623DA1A" w14:textId="58856EA6" w:rsidR="00A267F7" w:rsidRDefault="00A267F7" w:rsidP="002F447D">
      <w:pPr>
        <w:rPr>
          <w:b/>
          <w:bCs/>
        </w:rPr>
      </w:pPr>
      <w:r w:rsidRPr="003C7BC3">
        <w:rPr>
          <w:b/>
          <w:bCs/>
        </w:rPr>
        <w:t>Figures</w:t>
      </w:r>
      <w:r w:rsidR="003C7BC3">
        <w:rPr>
          <w:b/>
          <w:bCs/>
        </w:rPr>
        <w:t>:</w:t>
      </w:r>
    </w:p>
    <w:p w14:paraId="135F8D9F" w14:textId="77777777" w:rsidR="00AF4D50" w:rsidRDefault="00AF4D50" w:rsidP="00AF4D50">
      <w:r w:rsidRPr="00F72BDF">
        <w:rPr>
          <w:b/>
          <w:bCs/>
        </w:rPr>
        <w:t xml:space="preserve">Figure </w:t>
      </w:r>
      <w:r>
        <w:rPr>
          <w:b/>
          <w:bCs/>
        </w:rPr>
        <w:t>S1.</w:t>
      </w:r>
      <w:r>
        <w:t xml:space="preserve"> </w:t>
      </w:r>
      <w:r w:rsidRPr="00F72BDF">
        <w:t xml:space="preserve">Optical microscope image of the polystyrene standard after digestion using Protocol D. The image was captured with an Olympus Microscope BX51M Metallurgical under UV light to assess </w:t>
      </w:r>
      <w:r>
        <w:t>digestion's effect on the standard's surface</w:t>
      </w:r>
      <w:r w:rsidRPr="00F72BDF">
        <w:t>.</w:t>
      </w:r>
    </w:p>
    <w:p w14:paraId="6DEEB26F" w14:textId="77777777" w:rsidR="00AF4D50" w:rsidRDefault="00AF4D50" w:rsidP="00AF4D50">
      <w:pPr>
        <w:pStyle w:val="NoSpacing"/>
        <w:rPr>
          <w:rFonts w:ascii="-webkit-standard" w:hAnsi="-webkit-standard"/>
          <w:color w:val="000000"/>
          <w:sz w:val="27"/>
          <w:szCs w:val="27"/>
        </w:rPr>
      </w:pPr>
      <w:r w:rsidRPr="001E50E9">
        <w:rPr>
          <w:b/>
          <w:bCs/>
        </w:rPr>
        <w:t xml:space="preserve">Figure </w:t>
      </w:r>
      <w:r>
        <w:rPr>
          <w:b/>
          <w:bCs/>
        </w:rPr>
        <w:t>S2</w:t>
      </w:r>
      <w:r w:rsidRPr="001E50E9">
        <w:rPr>
          <w:b/>
          <w:bCs/>
        </w:rPr>
        <w:t>.</w:t>
      </w:r>
      <w:r>
        <w:t xml:space="preserve"> An o</w:t>
      </w:r>
      <w:r w:rsidRPr="001E50E9">
        <w:t>ptical microscope image of the polystyrene standard after digestion using Protocol D. The image was captured with an Olympus Microscope BX51M Metallurgical under visible light</w:t>
      </w:r>
      <w:r>
        <w:t xml:space="preserve"> </w:t>
      </w:r>
      <w:r w:rsidRPr="001E50E9">
        <w:t xml:space="preserve">to assess </w:t>
      </w:r>
      <w:r>
        <w:t>the effect of digestion on the standard's surface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34718E48" w14:textId="77777777" w:rsidR="00AF4D50" w:rsidRDefault="00AF4D50" w:rsidP="00AF4D50">
      <w:pPr>
        <w:pStyle w:val="NoSpacing"/>
      </w:pPr>
    </w:p>
    <w:p w14:paraId="6F3AC307" w14:textId="77777777" w:rsidR="00081A13" w:rsidRDefault="00081A13" w:rsidP="00081A13">
      <w:pPr>
        <w:spacing w:line="360" w:lineRule="auto"/>
        <w:rPr>
          <w:bCs/>
        </w:rPr>
      </w:pPr>
      <w:r w:rsidRPr="00081A13">
        <w:rPr>
          <w:b/>
        </w:rPr>
        <w:lastRenderedPageBreak/>
        <w:t xml:space="preserve">Figure S3. </w:t>
      </w:r>
      <w:r w:rsidRPr="00081A13">
        <w:t>Microscopic Analysis of a Silicone Filter Containing Digested Fecal Material.</w:t>
      </w:r>
      <w:r w:rsidRPr="00081A13">
        <w:rPr>
          <w:bCs/>
        </w:rPr>
        <w:t xml:space="preserve"> (A, B). Optical microscope images acquired under visible and UV light, respectively.</w:t>
      </w:r>
      <w:r w:rsidRPr="00081A13">
        <w:rPr>
          <w:bCs/>
        </w:rPr>
        <w:br/>
        <w:t>(C) Micro-FTIR image of the entire filter, illustrating the uniform distribution of particles.</w:t>
      </w:r>
      <w:r w:rsidRPr="00081A13">
        <w:rPr>
          <w:bCs/>
        </w:rPr>
        <w:br/>
        <w:t>(D) Chemical mapping of the filter using micro-FTIR.</w:t>
      </w:r>
    </w:p>
    <w:p w14:paraId="0E2CF639" w14:textId="77777777" w:rsidR="00AF4D50" w:rsidRDefault="00AF4D50" w:rsidP="00AF4D50"/>
    <w:p w14:paraId="0A91B87F" w14:textId="77777777" w:rsidR="00AF4D50" w:rsidRPr="003C7BC3" w:rsidRDefault="00AF4D50" w:rsidP="002F447D">
      <w:pPr>
        <w:rPr>
          <w:b/>
          <w:bCs/>
        </w:rPr>
      </w:pPr>
    </w:p>
    <w:p w14:paraId="5B30F33A" w14:textId="77777777" w:rsidR="00B62AED" w:rsidRPr="00ED648F" w:rsidRDefault="00B62AED" w:rsidP="00B62AED">
      <w:pPr>
        <w:rPr>
          <w:rFonts w:cs="Times New Roman"/>
          <w:sz w:val="22"/>
          <w:szCs w:val="22"/>
        </w:rPr>
      </w:pPr>
      <w:r w:rsidRPr="00A267F7">
        <w:rPr>
          <w:rFonts w:cs="Times New Roman"/>
          <w:b/>
          <w:bCs/>
          <w:color w:val="000000"/>
        </w:rPr>
        <w:t>Table S1.</w:t>
      </w:r>
      <w:r w:rsidRPr="00ED648F">
        <w:rPr>
          <w:rFonts w:cs="Times New Roman"/>
          <w:color w:val="000000"/>
        </w:rPr>
        <w:t xml:space="preserve"> </w:t>
      </w:r>
      <w:r w:rsidRPr="002F447D">
        <w:rPr>
          <w:rFonts w:cs="Times New Roman"/>
          <w:color w:val="000000"/>
        </w:rPr>
        <w:t xml:space="preserve">Physical </w:t>
      </w:r>
      <w:r>
        <w:rPr>
          <w:rFonts w:cs="Times New Roman"/>
          <w:color w:val="000000"/>
        </w:rPr>
        <w:t>p</w:t>
      </w:r>
      <w:r w:rsidRPr="002F447D">
        <w:rPr>
          <w:rFonts w:cs="Times New Roman"/>
          <w:color w:val="000000"/>
        </w:rPr>
        <w:t xml:space="preserve">roperties of </w:t>
      </w:r>
      <w:r>
        <w:rPr>
          <w:rFonts w:cs="Times New Roman"/>
          <w:color w:val="000000"/>
        </w:rPr>
        <w:t>p</w:t>
      </w:r>
      <w:r w:rsidRPr="002F447D">
        <w:rPr>
          <w:rFonts w:cs="Times New Roman"/>
          <w:color w:val="000000"/>
        </w:rPr>
        <w:t xml:space="preserve">olymer </w:t>
      </w:r>
      <w:r>
        <w:rPr>
          <w:rFonts w:cs="Times New Roman"/>
          <w:color w:val="000000"/>
        </w:rPr>
        <w:t>s</w:t>
      </w:r>
      <w:r w:rsidRPr="002F447D">
        <w:rPr>
          <w:rFonts w:cs="Times New Roman"/>
          <w:color w:val="000000"/>
        </w:rPr>
        <w:t xml:space="preserve">tandards: </w:t>
      </w:r>
      <w:r>
        <w:rPr>
          <w:rFonts w:cs="Times New Roman"/>
          <w:color w:val="000000"/>
        </w:rPr>
        <w:t>p</w:t>
      </w:r>
      <w:r w:rsidRPr="002F447D">
        <w:rPr>
          <w:rFonts w:cs="Times New Roman"/>
          <w:color w:val="000000"/>
        </w:rPr>
        <w:t xml:space="preserve">article </w:t>
      </w:r>
      <w:r>
        <w:rPr>
          <w:rFonts w:cs="Times New Roman"/>
          <w:color w:val="000000"/>
        </w:rPr>
        <w:t>s</w:t>
      </w:r>
      <w:r w:rsidRPr="002F447D">
        <w:rPr>
          <w:rFonts w:cs="Times New Roman"/>
          <w:color w:val="000000"/>
        </w:rPr>
        <w:t xml:space="preserve">ize and </w:t>
      </w:r>
      <w:r>
        <w:rPr>
          <w:rFonts w:cs="Times New Roman"/>
          <w:color w:val="000000"/>
        </w:rPr>
        <w:t>d</w:t>
      </w:r>
      <w:r w:rsidRPr="002F447D">
        <w:rPr>
          <w:rFonts w:cs="Times New Roman"/>
          <w:color w:val="000000"/>
        </w:rPr>
        <w:t xml:space="preserve">ensity </w:t>
      </w:r>
      <w:r>
        <w:rPr>
          <w:rFonts w:cs="Times New Roman"/>
          <w:color w:val="000000"/>
        </w:rPr>
        <w:t>r</w:t>
      </w:r>
      <w:r w:rsidRPr="002F447D">
        <w:rPr>
          <w:rFonts w:cs="Times New Roman"/>
          <w:color w:val="000000"/>
        </w:rPr>
        <w:t>ange</w:t>
      </w:r>
      <w:r>
        <w:rPr>
          <w:rFonts w:cs="Times New Roman"/>
          <w:color w:val="000000"/>
        </w:rPr>
        <w:t>.</w:t>
      </w:r>
    </w:p>
    <w:tbl>
      <w:tblPr>
        <w:tblStyle w:val="TableGrid"/>
        <w:tblW w:w="7980" w:type="dxa"/>
        <w:tblLook w:val="04A0" w:firstRow="1" w:lastRow="0" w:firstColumn="1" w:lastColumn="0" w:noHBand="0" w:noVBand="1"/>
      </w:tblPr>
      <w:tblGrid>
        <w:gridCol w:w="1300"/>
        <w:gridCol w:w="1300"/>
        <w:gridCol w:w="2680"/>
        <w:gridCol w:w="1120"/>
        <w:gridCol w:w="1580"/>
      </w:tblGrid>
      <w:tr w:rsidR="00B62AED" w:rsidRPr="00FF6852" w14:paraId="7F70310B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7FEFDA73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FF6852">
              <w:rPr>
                <w:rFonts w:eastAsia="Times New Roman" w:cs="Times New Roman"/>
                <w:b/>
                <w:bCs/>
                <w:color w:val="000000"/>
              </w:rPr>
              <w:t>No</w:t>
            </w:r>
            <w:r>
              <w:rPr>
                <w:rFonts w:eastAsia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300" w:type="dxa"/>
            <w:noWrap/>
            <w:hideMark/>
          </w:tcPr>
          <w:p w14:paraId="2F9C5A93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FF6852">
              <w:rPr>
                <w:rFonts w:eastAsia="Times New Roman" w:cs="Times New Roman"/>
                <w:b/>
                <w:bCs/>
                <w:color w:val="000000"/>
              </w:rPr>
              <w:t>Polymer</w:t>
            </w:r>
          </w:p>
        </w:tc>
        <w:tc>
          <w:tcPr>
            <w:tcW w:w="2680" w:type="dxa"/>
            <w:noWrap/>
            <w:hideMark/>
          </w:tcPr>
          <w:p w14:paraId="1C4B895A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FF6852">
              <w:rPr>
                <w:rFonts w:eastAsia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120" w:type="dxa"/>
            <w:noWrap/>
            <w:hideMark/>
          </w:tcPr>
          <w:p w14:paraId="18E11445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FF6852">
              <w:rPr>
                <w:rFonts w:eastAsia="Times New Roman" w:cs="Times New Roman"/>
                <w:b/>
                <w:bCs/>
                <w:color w:val="000000"/>
              </w:rPr>
              <w:t>Size (µm)</w:t>
            </w:r>
          </w:p>
        </w:tc>
        <w:tc>
          <w:tcPr>
            <w:tcW w:w="1580" w:type="dxa"/>
            <w:noWrap/>
            <w:hideMark/>
          </w:tcPr>
          <w:p w14:paraId="0DD354FD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FF6852">
              <w:rPr>
                <w:rFonts w:eastAsia="Times New Roman" w:cs="Times New Roman"/>
                <w:b/>
                <w:bCs/>
                <w:color w:val="000000"/>
              </w:rPr>
              <w:t>Density (g/ml)</w:t>
            </w:r>
          </w:p>
        </w:tc>
      </w:tr>
      <w:tr w:rsidR="00B62AED" w:rsidRPr="00FF6852" w14:paraId="77E77290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0E16699C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CDE4DD5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PP</w:t>
            </w:r>
          </w:p>
        </w:tc>
        <w:tc>
          <w:tcPr>
            <w:tcW w:w="2680" w:type="dxa"/>
            <w:noWrap/>
            <w:hideMark/>
          </w:tcPr>
          <w:p w14:paraId="475C94C8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Polypropylene</w:t>
            </w:r>
          </w:p>
        </w:tc>
        <w:tc>
          <w:tcPr>
            <w:tcW w:w="1120" w:type="dxa"/>
            <w:noWrap/>
            <w:hideMark/>
          </w:tcPr>
          <w:p w14:paraId="45C4A388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500</w:t>
            </w:r>
          </w:p>
        </w:tc>
        <w:tc>
          <w:tcPr>
            <w:tcW w:w="1580" w:type="dxa"/>
            <w:noWrap/>
            <w:hideMark/>
          </w:tcPr>
          <w:p w14:paraId="23C2814F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0.89-0.91</w:t>
            </w:r>
          </w:p>
        </w:tc>
      </w:tr>
      <w:tr w:rsidR="00B62AED" w:rsidRPr="00FF6852" w14:paraId="6FF3C31D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0522E75E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712A797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HDPE</w:t>
            </w:r>
          </w:p>
        </w:tc>
        <w:tc>
          <w:tcPr>
            <w:tcW w:w="2680" w:type="dxa"/>
            <w:noWrap/>
            <w:hideMark/>
          </w:tcPr>
          <w:p w14:paraId="11B4064D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High-density polyethylene</w:t>
            </w:r>
          </w:p>
        </w:tc>
        <w:tc>
          <w:tcPr>
            <w:tcW w:w="1120" w:type="dxa"/>
            <w:noWrap/>
            <w:hideMark/>
          </w:tcPr>
          <w:p w14:paraId="42628586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500</w:t>
            </w:r>
          </w:p>
        </w:tc>
        <w:tc>
          <w:tcPr>
            <w:tcW w:w="1580" w:type="dxa"/>
            <w:noWrap/>
            <w:hideMark/>
          </w:tcPr>
          <w:p w14:paraId="58A93F71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0.95-0.97</w:t>
            </w:r>
          </w:p>
        </w:tc>
      </w:tr>
      <w:tr w:rsidR="00B62AED" w:rsidRPr="00FF6852" w14:paraId="22291199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75913368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5E6E10FE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LDPE</w:t>
            </w:r>
          </w:p>
        </w:tc>
        <w:tc>
          <w:tcPr>
            <w:tcW w:w="2680" w:type="dxa"/>
            <w:noWrap/>
            <w:hideMark/>
          </w:tcPr>
          <w:p w14:paraId="3F8ED5FC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Low-density polyethylene</w:t>
            </w:r>
          </w:p>
        </w:tc>
        <w:tc>
          <w:tcPr>
            <w:tcW w:w="1120" w:type="dxa"/>
            <w:noWrap/>
            <w:hideMark/>
          </w:tcPr>
          <w:p w14:paraId="65B40C19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500</w:t>
            </w:r>
          </w:p>
        </w:tc>
        <w:tc>
          <w:tcPr>
            <w:tcW w:w="1580" w:type="dxa"/>
            <w:noWrap/>
            <w:hideMark/>
          </w:tcPr>
          <w:p w14:paraId="4740F5F8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0.91-0.94</w:t>
            </w:r>
          </w:p>
        </w:tc>
      </w:tr>
      <w:tr w:rsidR="00B62AED" w:rsidRPr="00FF6852" w14:paraId="1AB48DB1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1C94E0A4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167AC70D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PVC</w:t>
            </w:r>
          </w:p>
        </w:tc>
        <w:tc>
          <w:tcPr>
            <w:tcW w:w="2680" w:type="dxa"/>
            <w:noWrap/>
            <w:hideMark/>
          </w:tcPr>
          <w:p w14:paraId="7F32FE88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Polyvinyl chloride</w:t>
            </w:r>
          </w:p>
        </w:tc>
        <w:tc>
          <w:tcPr>
            <w:tcW w:w="1120" w:type="dxa"/>
            <w:noWrap/>
            <w:hideMark/>
          </w:tcPr>
          <w:p w14:paraId="625BAC2D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1580" w:type="dxa"/>
            <w:noWrap/>
            <w:hideMark/>
          </w:tcPr>
          <w:p w14:paraId="71E93574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1.20-1.45</w:t>
            </w:r>
          </w:p>
        </w:tc>
      </w:tr>
      <w:tr w:rsidR="00B62AED" w:rsidRPr="00FF6852" w14:paraId="16798F47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1BAC7E05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436B3A91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PS</w:t>
            </w:r>
          </w:p>
        </w:tc>
        <w:tc>
          <w:tcPr>
            <w:tcW w:w="2680" w:type="dxa"/>
            <w:noWrap/>
            <w:hideMark/>
          </w:tcPr>
          <w:p w14:paraId="03B2A1B9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Polystyrene</w:t>
            </w:r>
          </w:p>
        </w:tc>
        <w:tc>
          <w:tcPr>
            <w:tcW w:w="1120" w:type="dxa"/>
            <w:noWrap/>
            <w:hideMark/>
          </w:tcPr>
          <w:p w14:paraId="76F2EFE6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120</w:t>
            </w:r>
          </w:p>
        </w:tc>
        <w:tc>
          <w:tcPr>
            <w:tcW w:w="1580" w:type="dxa"/>
            <w:noWrap/>
            <w:hideMark/>
          </w:tcPr>
          <w:p w14:paraId="60EA4583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0.94-1.11</w:t>
            </w:r>
          </w:p>
        </w:tc>
      </w:tr>
      <w:tr w:rsidR="00B62AED" w:rsidRPr="00FF6852" w14:paraId="05781D3C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507A64B8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0276BD17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PET</w:t>
            </w:r>
          </w:p>
        </w:tc>
        <w:tc>
          <w:tcPr>
            <w:tcW w:w="2680" w:type="dxa"/>
            <w:noWrap/>
            <w:hideMark/>
          </w:tcPr>
          <w:p w14:paraId="2040D175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Polyethylene terephthalate</w:t>
            </w:r>
          </w:p>
        </w:tc>
        <w:tc>
          <w:tcPr>
            <w:tcW w:w="1120" w:type="dxa"/>
            <w:noWrap/>
            <w:hideMark/>
          </w:tcPr>
          <w:p w14:paraId="71B02E86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120</w:t>
            </w:r>
          </w:p>
        </w:tc>
        <w:tc>
          <w:tcPr>
            <w:tcW w:w="1580" w:type="dxa"/>
            <w:noWrap/>
            <w:hideMark/>
          </w:tcPr>
          <w:p w14:paraId="0EF5C44B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1.38-1.39</w:t>
            </w:r>
          </w:p>
        </w:tc>
      </w:tr>
      <w:tr w:rsidR="00B62AED" w:rsidRPr="00FF6852" w14:paraId="41B32F12" w14:textId="77777777" w:rsidTr="00581E0D">
        <w:trPr>
          <w:trHeight w:val="320"/>
        </w:trPr>
        <w:tc>
          <w:tcPr>
            <w:tcW w:w="1300" w:type="dxa"/>
            <w:noWrap/>
            <w:hideMark/>
          </w:tcPr>
          <w:p w14:paraId="6C062BCF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43CB9A10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PA6</w:t>
            </w:r>
          </w:p>
        </w:tc>
        <w:tc>
          <w:tcPr>
            <w:tcW w:w="2680" w:type="dxa"/>
            <w:noWrap/>
            <w:hideMark/>
          </w:tcPr>
          <w:p w14:paraId="74E22702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Polycaprolactam</w:t>
            </w:r>
          </w:p>
        </w:tc>
        <w:tc>
          <w:tcPr>
            <w:tcW w:w="1120" w:type="dxa"/>
            <w:noWrap/>
            <w:hideMark/>
          </w:tcPr>
          <w:p w14:paraId="22FF77B5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120</w:t>
            </w:r>
          </w:p>
        </w:tc>
        <w:tc>
          <w:tcPr>
            <w:tcW w:w="1580" w:type="dxa"/>
            <w:noWrap/>
            <w:hideMark/>
          </w:tcPr>
          <w:p w14:paraId="3DA01785" w14:textId="77777777" w:rsidR="00B62AED" w:rsidRPr="00FF6852" w:rsidRDefault="00B62AED" w:rsidP="005F37E1">
            <w:pPr>
              <w:jc w:val="left"/>
              <w:rPr>
                <w:rFonts w:eastAsia="Times New Roman" w:cs="Times New Roman"/>
                <w:color w:val="000000"/>
              </w:rPr>
            </w:pPr>
            <w:r w:rsidRPr="00FF6852">
              <w:rPr>
                <w:rFonts w:eastAsia="Times New Roman" w:cs="Times New Roman"/>
                <w:color w:val="000000"/>
              </w:rPr>
              <w:t>1.13-1.50</w:t>
            </w:r>
          </w:p>
        </w:tc>
      </w:tr>
    </w:tbl>
    <w:p w14:paraId="122192A5" w14:textId="77777777" w:rsidR="00B62AED" w:rsidRDefault="00B62AED" w:rsidP="00B62AED"/>
    <w:p w14:paraId="5979EC86" w14:textId="63D791EB" w:rsidR="00B939F1" w:rsidRDefault="00BE2742" w:rsidP="00B62AED">
      <w:pPr>
        <w:jc w:val="left"/>
      </w:pPr>
      <w:r>
        <w:br w:type="page"/>
      </w:r>
    </w:p>
    <w:p w14:paraId="2F220066" w14:textId="0C0EA542" w:rsidR="00B939F1" w:rsidRDefault="00B939F1" w:rsidP="00B939F1">
      <w:pPr>
        <w:rPr>
          <w:color w:val="000000"/>
        </w:rPr>
      </w:pPr>
    </w:p>
    <w:p w14:paraId="1A116EF6" w14:textId="51338EA9" w:rsidR="006D66B3" w:rsidRPr="00DA27E8" w:rsidRDefault="00EF6CF1" w:rsidP="00B939F1">
      <w:r>
        <w:rPr>
          <w:noProof/>
        </w:rPr>
        <w:drawing>
          <wp:inline distT="0" distB="0" distL="0" distR="0" wp14:anchorId="41F4D644" wp14:editId="3798F0FE">
            <wp:extent cx="3742944" cy="2807208"/>
            <wp:effectExtent l="0" t="0" r="3810" b="0"/>
            <wp:docPr id="1177611960" name="Picture 3" descr="A close-up of blue part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11960" name="Picture 3" descr="A close-up of blue particl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944" cy="28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300FC" w14:textId="440F4D20" w:rsidR="008A3A06" w:rsidRDefault="008A3A06" w:rsidP="008A3A06">
      <w:r w:rsidRPr="00F72BDF">
        <w:rPr>
          <w:b/>
          <w:bCs/>
        </w:rPr>
        <w:t xml:space="preserve">Figure </w:t>
      </w:r>
      <w:r w:rsidR="006B4AE6">
        <w:rPr>
          <w:b/>
          <w:bCs/>
        </w:rPr>
        <w:t>S1</w:t>
      </w:r>
      <w:r>
        <w:rPr>
          <w:b/>
          <w:bCs/>
        </w:rPr>
        <w:t>.</w:t>
      </w:r>
      <w:r>
        <w:t xml:space="preserve"> </w:t>
      </w:r>
      <w:r w:rsidRPr="00F72BDF">
        <w:t xml:space="preserve">Optical microscope image of the polystyrene standard after digestion using Protocol D. The image was captured with an Olympus Microscope BX51M Metallurgical under UV light to assess </w:t>
      </w:r>
      <w:r>
        <w:t>digestion's effect on the standard's surface</w:t>
      </w:r>
      <w:r w:rsidRPr="00F72BDF">
        <w:t>.</w:t>
      </w:r>
    </w:p>
    <w:p w14:paraId="0A03B78E" w14:textId="77777777" w:rsidR="003D3E6D" w:rsidRDefault="003D3E6D" w:rsidP="003D3E6D">
      <w:pPr>
        <w:spacing w:line="259" w:lineRule="auto"/>
        <w:rPr>
          <w:szCs w:val="22"/>
        </w:rPr>
      </w:pPr>
    </w:p>
    <w:p w14:paraId="1FDE888F" w14:textId="37298827" w:rsidR="00CE4706" w:rsidRDefault="00CE4706" w:rsidP="003D3E6D">
      <w:pPr>
        <w:spacing w:line="259" w:lineRule="auto"/>
        <w:rPr>
          <w:szCs w:val="22"/>
        </w:rPr>
      </w:pPr>
      <w:r>
        <w:rPr>
          <w:noProof/>
        </w:rPr>
        <w:drawing>
          <wp:inline distT="0" distB="0" distL="0" distR="0" wp14:anchorId="4F590E78" wp14:editId="268CE451">
            <wp:extent cx="3763998" cy="2832734"/>
            <wp:effectExtent l="0" t="0" r="0" b="0"/>
            <wp:docPr id="328590943" name="Picture 1" descr="A close-up of a micr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90943" name="Picture 1" descr="A close-up of a microscop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015414" cy="302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0B0DB" w14:textId="048F8C54" w:rsidR="00D5536D" w:rsidRDefault="00D5536D" w:rsidP="00D5536D">
      <w:pPr>
        <w:pStyle w:val="NoSpacing"/>
      </w:pPr>
      <w:r w:rsidRPr="001E50E9">
        <w:rPr>
          <w:b/>
          <w:bCs/>
        </w:rPr>
        <w:t xml:space="preserve">Figure </w:t>
      </w:r>
      <w:r w:rsidR="006B4AE6">
        <w:rPr>
          <w:b/>
          <w:bCs/>
        </w:rPr>
        <w:t>S2</w:t>
      </w:r>
      <w:r w:rsidRPr="001E50E9">
        <w:rPr>
          <w:b/>
          <w:bCs/>
        </w:rPr>
        <w:t>.</w:t>
      </w:r>
      <w:r>
        <w:t xml:space="preserve"> An o</w:t>
      </w:r>
      <w:r w:rsidRPr="001E50E9">
        <w:t>ptical microscope image of the polystyrene standard after digestion using Protocol D. The image was captured with an Olympus Microscope BX51M Metallurgical under visible light</w:t>
      </w:r>
      <w:r>
        <w:t xml:space="preserve"> </w:t>
      </w:r>
      <w:r w:rsidRPr="001E50E9">
        <w:t xml:space="preserve">to assess </w:t>
      </w:r>
      <w:r>
        <w:t>the effect of digestion on the standard's surface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1BCCC4A5" w14:textId="77777777" w:rsidR="00D5536D" w:rsidRPr="003D3E6D" w:rsidRDefault="00D5536D" w:rsidP="003D3E6D">
      <w:pPr>
        <w:spacing w:line="259" w:lineRule="auto"/>
        <w:rPr>
          <w:szCs w:val="22"/>
        </w:rPr>
      </w:pPr>
    </w:p>
    <w:p w14:paraId="4BA572C4" w14:textId="77777777" w:rsidR="003D3E6D" w:rsidRPr="003D3E6D" w:rsidRDefault="003D3E6D" w:rsidP="003D3E6D">
      <w:pPr>
        <w:spacing w:line="259" w:lineRule="auto"/>
        <w:rPr>
          <w:szCs w:val="22"/>
        </w:rPr>
      </w:pPr>
    </w:p>
    <w:p w14:paraId="25309B2D" w14:textId="77777777" w:rsidR="003D3E6D" w:rsidRPr="003D3E6D" w:rsidRDefault="003D3E6D" w:rsidP="003D3E6D">
      <w:pPr>
        <w:spacing w:line="259" w:lineRule="auto"/>
        <w:rPr>
          <w:szCs w:val="22"/>
        </w:rPr>
      </w:pPr>
    </w:p>
    <w:p w14:paraId="5B92A9A0" w14:textId="77777777" w:rsidR="00B939F1" w:rsidRDefault="00B939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9"/>
        <w:gridCol w:w="4601"/>
      </w:tblGrid>
      <w:tr w:rsidR="00396AE9" w:rsidRPr="001052AA" w14:paraId="6D9396AF" w14:textId="77777777" w:rsidTr="008700E7">
        <w:trPr>
          <w:trHeight w:val="255"/>
        </w:trPr>
        <w:tc>
          <w:tcPr>
            <w:tcW w:w="4749" w:type="dxa"/>
          </w:tcPr>
          <w:p w14:paraId="602256F9" w14:textId="77777777" w:rsidR="00396AE9" w:rsidRPr="001052AA" w:rsidRDefault="00396AE9" w:rsidP="007031A6">
            <w:pPr>
              <w:spacing w:line="360" w:lineRule="auto"/>
              <w:rPr>
                <w:noProof/>
              </w:rPr>
            </w:pPr>
            <w:r w:rsidRPr="001052AA">
              <w:rPr>
                <w:noProof/>
              </w:rPr>
              <w:t>A</w:t>
            </w:r>
            <w:r w:rsidRPr="001052AA">
              <w:rPr>
                <w:bCs/>
                <w:noProof/>
              </w:rPr>
              <w:drawing>
                <wp:inline distT="0" distB="0" distL="0" distR="0" wp14:anchorId="511EA797" wp14:editId="20103F8C">
                  <wp:extent cx="2458064" cy="1843548"/>
                  <wp:effectExtent l="0" t="0" r="6350" b="0"/>
                  <wp:docPr id="4" name="Picture 4" descr="A close-up of a blue su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37073" name="Picture 4" descr="A close-up of a blue surface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626" cy="1878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14:paraId="206F6C1F" w14:textId="77777777" w:rsidR="00396AE9" w:rsidRPr="001052AA" w:rsidRDefault="00396AE9" w:rsidP="007031A6">
            <w:pPr>
              <w:spacing w:line="360" w:lineRule="auto"/>
              <w:rPr>
                <w:noProof/>
              </w:rPr>
            </w:pPr>
            <w:r w:rsidRPr="001052AA">
              <w:rPr>
                <w:noProof/>
              </w:rPr>
              <w:t>B</w:t>
            </w:r>
            <w:r w:rsidRPr="001052AA">
              <w:rPr>
                <w:noProof/>
              </w:rPr>
              <w:drawing>
                <wp:inline distT="0" distB="0" distL="0" distR="0" wp14:anchorId="2A62A2B8" wp14:editId="406698BF">
                  <wp:extent cx="2475230" cy="1853565"/>
                  <wp:effectExtent l="0" t="0" r="1270" b="0"/>
                  <wp:docPr id="7" name="Picture 7" descr="A blue and white speckled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blue and white speckled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AE9" w:rsidRPr="001052AA" w14:paraId="0FC9F091" w14:textId="77777777" w:rsidTr="008700E7">
        <w:trPr>
          <w:trHeight w:val="3270"/>
        </w:trPr>
        <w:tc>
          <w:tcPr>
            <w:tcW w:w="4749" w:type="dxa"/>
          </w:tcPr>
          <w:p w14:paraId="5208A4F8" w14:textId="77777777" w:rsidR="00396AE9" w:rsidRPr="001052AA" w:rsidRDefault="00396AE9" w:rsidP="007031A6">
            <w:pPr>
              <w:spacing w:line="360" w:lineRule="auto"/>
              <w:rPr>
                <w:b/>
              </w:rPr>
            </w:pPr>
            <w:r w:rsidRPr="001052AA">
              <w:rPr>
                <w:noProof/>
              </w:rPr>
              <w:drawing>
                <wp:inline distT="0" distB="0" distL="0" distR="0" wp14:anchorId="6F7F1E07" wp14:editId="3AFE9B33">
                  <wp:extent cx="2910256" cy="2266950"/>
                  <wp:effectExtent l="0" t="0" r="4445" b="0"/>
                  <wp:docPr id="9" name="Picture 9" descr="A close-up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-up of a graph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402" cy="225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14:paraId="30AD9F6D" w14:textId="77777777" w:rsidR="00396AE9" w:rsidRPr="001052AA" w:rsidRDefault="00396AE9" w:rsidP="007031A6">
            <w:pPr>
              <w:spacing w:line="360" w:lineRule="auto"/>
              <w:rPr>
                <w:b/>
              </w:rPr>
            </w:pPr>
            <w:r w:rsidRPr="001052AA">
              <w:rPr>
                <w:noProof/>
              </w:rPr>
              <w:drawing>
                <wp:inline distT="0" distB="0" distL="0" distR="0" wp14:anchorId="4AC9BD84" wp14:editId="5494B5C3">
                  <wp:extent cx="2819400" cy="2330450"/>
                  <wp:effectExtent l="0" t="0" r="0" b="0"/>
                  <wp:docPr id="10" name="Picture 10" descr="A blue screen with a blu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ue screen with a blue background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997" cy="232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B42C0" w14:textId="4ABDC1D1" w:rsidR="00FF6852" w:rsidRDefault="008700E7" w:rsidP="008700E7">
      <w:pPr>
        <w:spacing w:line="360" w:lineRule="auto"/>
        <w:rPr>
          <w:bCs/>
        </w:rPr>
      </w:pPr>
      <w:r w:rsidRPr="00081A13">
        <w:rPr>
          <w:b/>
        </w:rPr>
        <w:t xml:space="preserve">Figure </w:t>
      </w:r>
      <w:r w:rsidR="006B4AE6" w:rsidRPr="00081A13">
        <w:rPr>
          <w:b/>
        </w:rPr>
        <w:t>S3</w:t>
      </w:r>
      <w:r w:rsidRPr="00081A13">
        <w:rPr>
          <w:b/>
        </w:rPr>
        <w:t xml:space="preserve">. </w:t>
      </w:r>
      <w:r w:rsidR="00707E53" w:rsidRPr="00081A13">
        <w:rPr>
          <w:b/>
          <w:bCs/>
        </w:rPr>
        <w:t>Microscopic Analysis of a Silicone Filter Containing Digested Fecal Material</w:t>
      </w:r>
      <w:r w:rsidR="00707E53" w:rsidRPr="00081A13">
        <w:rPr>
          <w:bCs/>
        </w:rPr>
        <w:t>. (A, B)</w:t>
      </w:r>
      <w:r w:rsidR="00736B99" w:rsidRPr="00081A13">
        <w:rPr>
          <w:bCs/>
        </w:rPr>
        <w:t xml:space="preserve">. </w:t>
      </w:r>
      <w:r w:rsidR="00707E53" w:rsidRPr="00081A13">
        <w:rPr>
          <w:bCs/>
        </w:rPr>
        <w:t>Optical microscope images acquired under visible and UV light, respectively.</w:t>
      </w:r>
      <w:r w:rsidR="00707E53" w:rsidRPr="00081A13">
        <w:rPr>
          <w:bCs/>
        </w:rPr>
        <w:br/>
        <w:t>(C) Micro-FTIR image of the entire filter, illustrating the uniform distribution of particles.</w:t>
      </w:r>
      <w:r w:rsidR="00707E53" w:rsidRPr="00081A13">
        <w:rPr>
          <w:bCs/>
        </w:rPr>
        <w:br/>
        <w:t xml:space="preserve">(D) </w:t>
      </w:r>
      <w:r w:rsidR="00081A13" w:rsidRPr="00081A13">
        <w:rPr>
          <w:bCs/>
        </w:rPr>
        <w:t>Chemical mapping of the filter using micro-FTIR.</w:t>
      </w:r>
    </w:p>
    <w:p w14:paraId="4C7F351B" w14:textId="77777777" w:rsidR="00FF6852" w:rsidRPr="001052AA" w:rsidRDefault="00FF6852" w:rsidP="008700E7">
      <w:pPr>
        <w:spacing w:line="360" w:lineRule="auto"/>
        <w:rPr>
          <w:bCs/>
        </w:rPr>
      </w:pPr>
    </w:p>
    <w:p w14:paraId="402E1683" w14:textId="58DBC8C1" w:rsidR="00FF6852" w:rsidRPr="001D26D2" w:rsidRDefault="00FF6852" w:rsidP="001D26D2"/>
    <w:sectPr w:rsidR="00FF6852" w:rsidRPr="001D2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04"/>
    <w:rsid w:val="00040CB9"/>
    <w:rsid w:val="00081A13"/>
    <w:rsid w:val="001905F9"/>
    <w:rsid w:val="001D26D2"/>
    <w:rsid w:val="00247742"/>
    <w:rsid w:val="002F447D"/>
    <w:rsid w:val="00300BF9"/>
    <w:rsid w:val="00396AE9"/>
    <w:rsid w:val="003A2BAD"/>
    <w:rsid w:val="003B3B4A"/>
    <w:rsid w:val="003C2A3A"/>
    <w:rsid w:val="003C7BC3"/>
    <w:rsid w:val="003D3E6D"/>
    <w:rsid w:val="00411A92"/>
    <w:rsid w:val="00465F00"/>
    <w:rsid w:val="005227E5"/>
    <w:rsid w:val="00581E0D"/>
    <w:rsid w:val="005A326C"/>
    <w:rsid w:val="00633183"/>
    <w:rsid w:val="006B4AE6"/>
    <w:rsid w:val="006D66B3"/>
    <w:rsid w:val="006E7582"/>
    <w:rsid w:val="00707E53"/>
    <w:rsid w:val="00736B99"/>
    <w:rsid w:val="00770495"/>
    <w:rsid w:val="00781066"/>
    <w:rsid w:val="007B78ED"/>
    <w:rsid w:val="008700E7"/>
    <w:rsid w:val="008A3A06"/>
    <w:rsid w:val="009C3A3B"/>
    <w:rsid w:val="00A028A7"/>
    <w:rsid w:val="00A267F7"/>
    <w:rsid w:val="00AF4D50"/>
    <w:rsid w:val="00AF5A21"/>
    <w:rsid w:val="00B62AED"/>
    <w:rsid w:val="00B939F1"/>
    <w:rsid w:val="00BE2742"/>
    <w:rsid w:val="00BF3BE2"/>
    <w:rsid w:val="00C16C08"/>
    <w:rsid w:val="00C260D2"/>
    <w:rsid w:val="00C47BE5"/>
    <w:rsid w:val="00C62010"/>
    <w:rsid w:val="00CE362B"/>
    <w:rsid w:val="00CE4706"/>
    <w:rsid w:val="00D11A30"/>
    <w:rsid w:val="00D5536D"/>
    <w:rsid w:val="00DD0491"/>
    <w:rsid w:val="00DE46C8"/>
    <w:rsid w:val="00DF42D7"/>
    <w:rsid w:val="00E01FC5"/>
    <w:rsid w:val="00E45493"/>
    <w:rsid w:val="00E50566"/>
    <w:rsid w:val="00ED648F"/>
    <w:rsid w:val="00EF6CF1"/>
    <w:rsid w:val="00F25404"/>
    <w:rsid w:val="00F76945"/>
    <w:rsid w:val="00F9170C"/>
    <w:rsid w:val="00FA1DC9"/>
    <w:rsid w:val="00FA59DA"/>
    <w:rsid w:val="00FE2C5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67C6"/>
  <w15:docId w15:val="{AEAA23D9-FE22-C84C-BDE0-59AD211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9F1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4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66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536D"/>
    <w:pPr>
      <w:spacing w:after="0" w:line="240" w:lineRule="auto"/>
      <w:jc w:val="both"/>
    </w:pPr>
    <w:rPr>
      <w:rFonts w:ascii="Times New Roman" w:hAnsi="Times New Roman"/>
      <w:szCs w:val="22"/>
      <w:lang w:val="en-GB"/>
    </w:rPr>
  </w:style>
  <w:style w:type="paragraph" w:customStyle="1" w:styleId="p1">
    <w:name w:val="p1"/>
    <w:basedOn w:val="Normal"/>
    <w:rsid w:val="00BE2742"/>
    <w:pPr>
      <w:spacing w:after="0" w:line="240" w:lineRule="auto"/>
      <w:jc w:val="left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Tanja Cirkovic Velickovic</cp:lastModifiedBy>
  <cp:revision>2</cp:revision>
  <dcterms:created xsi:type="dcterms:W3CDTF">2025-04-11T11:03:00Z</dcterms:created>
  <dcterms:modified xsi:type="dcterms:W3CDTF">2025-04-11T11:03:00Z</dcterms:modified>
</cp:coreProperties>
</file>