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B3022" w14:textId="77777777" w:rsidR="00D465F9" w:rsidRPr="00BD0222" w:rsidRDefault="00D465F9" w:rsidP="00D465F9">
      <w:pPr>
        <w:spacing w:line="480" w:lineRule="auto"/>
        <w:rPr>
          <w:rFonts w:ascii="Arial" w:hAnsi="Arial" w:cs="Arial"/>
          <w:sz w:val="24"/>
        </w:rPr>
      </w:pPr>
      <w:r w:rsidRPr="00BD0222">
        <w:rPr>
          <w:rFonts w:ascii="Arial" w:hAnsi="Arial" w:cs="Arial"/>
          <w:sz w:val="24"/>
        </w:rPr>
        <w:t>Table 1. Baseline Characteristics</w:t>
      </w:r>
    </w:p>
    <w:p w14:paraId="45425D2C" w14:textId="77777777" w:rsidR="00D465F9" w:rsidRDefault="00D465F9" w:rsidP="00D465F9">
      <w:pPr>
        <w:rPr>
          <w:rFonts w:ascii="Arial" w:hAnsi="Arial" w:cs="Arial"/>
          <w:sz w:val="24"/>
        </w:rPr>
      </w:pPr>
      <w:r w:rsidRPr="00BD0222">
        <w:rPr>
          <w:rFonts w:ascii="Arial" w:hAnsi="Arial" w:cs="Arial"/>
          <w:sz w:val="24"/>
        </w:rPr>
        <w:t>Abbreviations: ECOG PS, Eastern Cooperative Oncology Group Performance Status; TKI, tyrosine kinase inhibitor.</w:t>
      </w:r>
    </w:p>
    <w:p w14:paraId="1DFD2C24" w14:textId="77777777" w:rsidR="00D465F9" w:rsidRPr="00BD0222" w:rsidRDefault="00D465F9" w:rsidP="00D465F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*</w:t>
      </w:r>
      <w:r w:rsidRPr="00E04D60">
        <w:rPr>
          <w:rFonts w:ascii="Arial" w:hAnsi="Arial" w:cs="Arial"/>
          <w:sz w:val="24"/>
        </w:rPr>
        <w:t xml:space="preserve">Percentages are based on N = </w:t>
      </w:r>
      <w:r>
        <w:rPr>
          <w:rFonts w:ascii="Arial" w:hAnsi="Arial" w:cs="Arial"/>
          <w:sz w:val="24"/>
        </w:rPr>
        <w:t>9</w:t>
      </w:r>
      <w:r w:rsidRPr="00E04D60">
        <w:rPr>
          <w:rFonts w:ascii="Arial" w:hAnsi="Arial" w:cs="Arial"/>
          <w:sz w:val="24"/>
        </w:rPr>
        <w:t xml:space="preserve">. </w:t>
      </w:r>
      <w:r>
        <w:rPr>
          <w:rFonts w:ascii="Arial" w:hAnsi="Arial" w:cs="Arial"/>
          <w:sz w:val="24"/>
        </w:rPr>
        <w:t xml:space="preserve">** </w:t>
      </w:r>
      <w:r w:rsidRPr="00E04D60">
        <w:rPr>
          <w:rFonts w:ascii="Arial" w:hAnsi="Arial" w:cs="Arial"/>
          <w:sz w:val="24"/>
        </w:rPr>
        <w:t xml:space="preserve">Percentages are based on N = </w:t>
      </w:r>
      <w:r>
        <w:rPr>
          <w:rFonts w:ascii="Arial" w:hAnsi="Arial" w:cs="Arial"/>
          <w:sz w:val="24"/>
        </w:rPr>
        <w:t>4</w:t>
      </w:r>
      <w:r w:rsidRPr="00E04D60">
        <w:rPr>
          <w:rFonts w:ascii="Arial" w:hAnsi="Arial" w:cs="Arial"/>
          <w:sz w:val="24"/>
        </w:rPr>
        <w:t>.</w:t>
      </w:r>
    </w:p>
    <w:p w14:paraId="14931BAD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lastRenderedPageBreak/>
        <w:drawing>
          <wp:inline distT="0" distB="0" distL="0" distR="0" wp14:anchorId="3B9EF641" wp14:editId="5C59EE1C">
            <wp:extent cx="5374099" cy="7089858"/>
            <wp:effectExtent l="0" t="0" r="0" b="0"/>
            <wp:docPr id="2139154848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3445" cy="7102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970F8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</w:p>
    <w:p w14:paraId="1B8FD1FB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</w:p>
    <w:p w14:paraId="777755A2" w14:textId="77777777" w:rsidR="00D465F9" w:rsidRPr="00AD69CE" w:rsidRDefault="00D465F9" w:rsidP="00D465F9">
      <w:pPr>
        <w:spacing w:line="480" w:lineRule="auto"/>
        <w:rPr>
          <w:rFonts w:ascii="Arial" w:hAnsi="Arial" w:cs="Arial"/>
          <w:sz w:val="24"/>
        </w:rPr>
      </w:pPr>
      <w:r w:rsidRPr="00AD69CE">
        <w:rPr>
          <w:rFonts w:ascii="Arial" w:hAnsi="Arial" w:cs="Arial"/>
          <w:sz w:val="24"/>
        </w:rPr>
        <w:lastRenderedPageBreak/>
        <w:t>Table 2. Summary of Adverse Events and Treatment Outcomes</w:t>
      </w:r>
    </w:p>
    <w:p w14:paraId="381D24AF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  <w:r w:rsidRPr="00AD69CE">
        <w:rPr>
          <w:rFonts w:ascii="Arial" w:hAnsi="Arial" w:cs="Arial"/>
          <w:sz w:val="24"/>
        </w:rPr>
        <w:t>Abbreviations: AE, adverse events.</w:t>
      </w:r>
    </w:p>
    <w:p w14:paraId="511518BA" w14:textId="77777777" w:rsidR="00D465F9" w:rsidRPr="00E04D60" w:rsidRDefault="00D465F9" w:rsidP="00D465F9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*</w:t>
      </w:r>
      <w:r w:rsidRPr="00E04D60">
        <w:rPr>
          <w:rFonts w:ascii="Arial" w:hAnsi="Arial" w:cs="Arial"/>
          <w:sz w:val="24"/>
        </w:rPr>
        <w:t xml:space="preserve">Percentages are based on N = 14. </w:t>
      </w:r>
      <w:r>
        <w:rPr>
          <w:rFonts w:ascii="Arial" w:hAnsi="Arial" w:cs="Arial"/>
          <w:sz w:val="24"/>
        </w:rPr>
        <w:t>**</w:t>
      </w:r>
      <w:r w:rsidRPr="00E04D60">
        <w:rPr>
          <w:rFonts w:ascii="Arial" w:hAnsi="Arial" w:cs="Arial"/>
          <w:sz w:val="24"/>
        </w:rPr>
        <w:t xml:space="preserve"> Percentages are based on N = 5.</w:t>
      </w:r>
    </w:p>
    <w:p w14:paraId="31627887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lastRenderedPageBreak/>
        <w:drawing>
          <wp:inline distT="0" distB="0" distL="0" distR="0" wp14:anchorId="0110817E" wp14:editId="71445FAA">
            <wp:extent cx="3606754" cy="8028715"/>
            <wp:effectExtent l="0" t="0" r="0" b="0"/>
            <wp:docPr id="132435048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1929" cy="808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6AE88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  <w:r w:rsidRPr="00AD69CE">
        <w:rPr>
          <w:rFonts w:ascii="Arial" w:hAnsi="Arial" w:cs="Arial"/>
          <w:sz w:val="24"/>
        </w:rPr>
        <w:lastRenderedPageBreak/>
        <w:t>Table 3. Characteristics of Pyrexia Episodes</w:t>
      </w:r>
    </w:p>
    <w:p w14:paraId="605268ED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drawing>
          <wp:inline distT="0" distB="0" distL="0" distR="0" wp14:anchorId="6716F2FE" wp14:editId="7674F7C6">
            <wp:extent cx="4703673" cy="4136586"/>
            <wp:effectExtent l="0" t="0" r="1905" b="0"/>
            <wp:docPr id="7092316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7329" cy="414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03DEA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</w:p>
    <w:p w14:paraId="3CA4107A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</w:p>
    <w:p w14:paraId="7D18E352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</w:p>
    <w:p w14:paraId="3ED5BA2C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</w:p>
    <w:p w14:paraId="28540DB7" w14:textId="77777777" w:rsidR="00D465F9" w:rsidRDefault="00D465F9" w:rsidP="00D465F9">
      <w:pPr>
        <w:spacing w:line="480" w:lineRule="auto"/>
        <w:rPr>
          <w:rFonts w:ascii="Arial" w:hAnsi="Arial" w:cs="Arial"/>
          <w:sz w:val="24"/>
        </w:rPr>
      </w:pPr>
    </w:p>
    <w:p w14:paraId="3C6C06B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5F9"/>
    <w:rsid w:val="007278E4"/>
    <w:rsid w:val="00A16D34"/>
    <w:rsid w:val="00A3738C"/>
    <w:rsid w:val="00CB270D"/>
    <w:rsid w:val="00D465F9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41805"/>
  <w15:chartTrackingRefBased/>
  <w15:docId w15:val="{0E1DDB5C-1C93-4EAE-B3B4-8886151AA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5F9"/>
    <w:pPr>
      <w:widowControl w:val="0"/>
      <w:spacing w:line="259" w:lineRule="auto"/>
    </w:pPr>
    <w:rPr>
      <w:rFonts w:eastAsiaTheme="minorEastAsia"/>
      <w:sz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65F9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65F9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65F9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65F9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65F9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65F9"/>
    <w:pPr>
      <w:keepNext/>
      <w:keepLines/>
      <w:widowControl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65F9"/>
    <w:pPr>
      <w:keepNext/>
      <w:keepLines/>
      <w:widowControl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65F9"/>
    <w:pPr>
      <w:keepNext/>
      <w:keepLines/>
      <w:widowControl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65F9"/>
    <w:pPr>
      <w:keepNext/>
      <w:keepLines/>
      <w:widowControl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65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65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65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65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65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65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65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65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65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65F9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465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65F9"/>
    <w:pPr>
      <w:widowControl/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465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65F9"/>
    <w:pPr>
      <w:widowControl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465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65F9"/>
    <w:pPr>
      <w:widowControl/>
      <w:spacing w:line="278" w:lineRule="auto"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D465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65F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65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65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</Words>
  <Characters>370</Characters>
  <Application>Microsoft Office Word</Application>
  <DocSecurity>0</DocSecurity>
  <Lines>3</Lines>
  <Paragraphs>1</Paragraphs>
  <ScaleCrop>false</ScaleCrop>
  <Company>Springer Nature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2025-05-09T07:24:00Z</dcterms:created>
  <dcterms:modified xsi:type="dcterms:W3CDTF">2025-05-09T07:24:00Z</dcterms:modified>
</cp:coreProperties>
</file>