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E67EE6" w14:textId="76E7ED08" w:rsidR="002D2B4F" w:rsidRDefault="004A65CA" w:rsidP="003A66AC">
      <w:pPr>
        <w:spacing w:line="480" w:lineRule="auto"/>
        <w:rPr>
          <w:lang w:val="en-US"/>
        </w:rPr>
      </w:pPr>
      <w:r>
        <w:rPr>
          <w:lang w:val="en-US"/>
        </w:rPr>
        <w:t xml:space="preserve">Supplementary figure 1: </w:t>
      </w:r>
    </w:p>
    <w:p w14:paraId="2C016C5F" w14:textId="64B9ACDB" w:rsidR="004A65CA" w:rsidRDefault="005A6405" w:rsidP="003A66AC">
      <w:pPr>
        <w:spacing w:line="480" w:lineRule="auto"/>
        <w:rPr>
          <w:lang w:val="en-US"/>
        </w:rPr>
      </w:pPr>
      <w:r>
        <w:rPr>
          <w:noProof/>
          <w:lang w:val="en-US"/>
        </w:rPr>
        <w:drawing>
          <wp:inline distT="0" distB="0" distL="0" distR="0" wp14:anchorId="5B5BB8A5" wp14:editId="773698B9">
            <wp:extent cx="5756910" cy="3235325"/>
            <wp:effectExtent l="0" t="0" r="0" b="3175"/>
            <wp:docPr id="1971052196" name="Image 1" descr="Une image contenant texte, ligne, Rectangl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52196" name="Image 1" descr="Une image contenant texte, ligne, Rectangle, diagramme&#10;&#10;Description générée automatiquement"/>
                    <pic:cNvPicPr/>
                  </pic:nvPicPr>
                  <pic:blipFill>
                    <a:blip r:embed="rId6"/>
                    <a:stretch>
                      <a:fillRect/>
                    </a:stretch>
                  </pic:blipFill>
                  <pic:spPr>
                    <a:xfrm>
                      <a:off x="0" y="0"/>
                      <a:ext cx="5756910" cy="3235325"/>
                    </a:xfrm>
                    <a:prstGeom prst="rect">
                      <a:avLst/>
                    </a:prstGeom>
                  </pic:spPr>
                </pic:pic>
              </a:graphicData>
            </a:graphic>
          </wp:inline>
        </w:drawing>
      </w:r>
    </w:p>
    <w:p w14:paraId="754D8F5D" w14:textId="4E0137BA" w:rsidR="004A65CA" w:rsidRDefault="004A65CA" w:rsidP="003A66AC">
      <w:pPr>
        <w:spacing w:line="480" w:lineRule="auto"/>
        <w:rPr>
          <w:lang w:val="en-US"/>
        </w:rPr>
      </w:pPr>
      <w:r>
        <w:rPr>
          <w:lang w:val="en-US"/>
        </w:rPr>
        <w:t>Supplementary figure 2:</w:t>
      </w:r>
    </w:p>
    <w:p w14:paraId="326A5794" w14:textId="1FC3B3D0" w:rsidR="004A65CA" w:rsidRDefault="005A6405" w:rsidP="003A66AC">
      <w:pPr>
        <w:spacing w:line="480" w:lineRule="auto"/>
        <w:rPr>
          <w:lang w:val="en-US"/>
        </w:rPr>
      </w:pPr>
      <w:r>
        <w:rPr>
          <w:noProof/>
          <w:lang w:val="en-US"/>
        </w:rPr>
        <w:drawing>
          <wp:inline distT="0" distB="0" distL="0" distR="0" wp14:anchorId="2ADCE812" wp14:editId="4302712E">
            <wp:extent cx="5756910" cy="3238500"/>
            <wp:effectExtent l="0" t="0" r="0" b="0"/>
            <wp:docPr id="18444094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09460" name="Image 1844409460"/>
                    <pic:cNvPicPr/>
                  </pic:nvPicPr>
                  <pic:blipFill>
                    <a:blip r:embed="rId7"/>
                    <a:stretch>
                      <a:fillRect/>
                    </a:stretch>
                  </pic:blipFill>
                  <pic:spPr>
                    <a:xfrm>
                      <a:off x="0" y="0"/>
                      <a:ext cx="5756910" cy="3238500"/>
                    </a:xfrm>
                    <a:prstGeom prst="rect">
                      <a:avLst/>
                    </a:prstGeom>
                  </pic:spPr>
                </pic:pic>
              </a:graphicData>
            </a:graphic>
          </wp:inline>
        </w:drawing>
      </w:r>
      <w:r w:rsidR="004A65CA">
        <w:rPr>
          <w:lang w:val="en-US"/>
        </w:rPr>
        <w:br w:type="page"/>
      </w:r>
    </w:p>
    <w:p w14:paraId="59AA019F" w14:textId="77777777" w:rsidR="004A65CA" w:rsidRPr="00B552F7" w:rsidRDefault="004A65CA" w:rsidP="003A66AC">
      <w:pPr>
        <w:spacing w:line="480" w:lineRule="auto"/>
        <w:rPr>
          <w:lang w:val="en-US"/>
        </w:rPr>
      </w:pPr>
    </w:p>
    <w:tbl>
      <w:tblPr>
        <w:tblpPr w:leftFromText="141" w:rightFromText="141" w:vertAnchor="text" w:horzAnchor="margin" w:tblpY="629"/>
        <w:tblW w:w="9390" w:type="dxa"/>
        <w:tblCellMar>
          <w:left w:w="70" w:type="dxa"/>
          <w:right w:w="70" w:type="dxa"/>
        </w:tblCellMar>
        <w:tblLook w:val="04A0" w:firstRow="1" w:lastRow="0" w:firstColumn="1" w:lastColumn="0" w:noHBand="0" w:noVBand="1"/>
      </w:tblPr>
      <w:tblGrid>
        <w:gridCol w:w="3719"/>
        <w:gridCol w:w="2090"/>
        <w:gridCol w:w="2090"/>
        <w:gridCol w:w="1491"/>
      </w:tblGrid>
      <w:tr w:rsidR="002D2B4F" w:rsidRPr="00401B43" w14:paraId="4996D1C8" w14:textId="77777777" w:rsidTr="002D2B4F">
        <w:trPr>
          <w:trHeight w:val="36"/>
        </w:trPr>
        <w:tc>
          <w:tcPr>
            <w:tcW w:w="3719" w:type="dxa"/>
            <w:tcBorders>
              <w:top w:val="single" w:sz="4" w:space="0" w:color="auto"/>
            </w:tcBorders>
            <w:shd w:val="clear" w:color="auto" w:fill="D9D9D9" w:themeFill="background1" w:themeFillShade="D9"/>
            <w:noWrap/>
            <w:vAlign w:val="center"/>
            <w:hideMark/>
          </w:tcPr>
          <w:p w14:paraId="03616AF6" w14:textId="77777777" w:rsidR="002D2B4F" w:rsidRPr="00401B43" w:rsidRDefault="002D2B4F" w:rsidP="002D2B4F">
            <w:pPr>
              <w:spacing w:before="0" w:after="0"/>
              <w:jc w:val="center"/>
              <w:rPr>
                <w:rFonts w:ascii="Calibri" w:hAnsi="Calibri" w:cs="Calibri"/>
                <w:color w:val="000000"/>
                <w:sz w:val="18"/>
                <w:szCs w:val="18"/>
              </w:rPr>
            </w:pPr>
            <w:r>
              <w:rPr>
                <w:rFonts w:ascii="Calibri" w:hAnsi="Calibri" w:cs="Calibri"/>
                <w:color w:val="000000"/>
                <w:sz w:val="18"/>
                <w:szCs w:val="18"/>
              </w:rPr>
              <w:t xml:space="preserve">Patients’ </w:t>
            </w:r>
            <w:proofErr w:type="spellStart"/>
            <w:r>
              <w:rPr>
                <w:rFonts w:ascii="Calibri" w:hAnsi="Calibri" w:cs="Calibri"/>
                <w:color w:val="000000"/>
                <w:sz w:val="18"/>
                <w:szCs w:val="18"/>
              </w:rPr>
              <w:t>characteristics</w:t>
            </w:r>
            <w:proofErr w:type="spellEnd"/>
          </w:p>
        </w:tc>
        <w:tc>
          <w:tcPr>
            <w:tcW w:w="2090" w:type="dxa"/>
            <w:tcBorders>
              <w:top w:val="single" w:sz="4" w:space="0" w:color="auto"/>
              <w:bottom w:val="single" w:sz="4" w:space="0" w:color="auto"/>
            </w:tcBorders>
            <w:shd w:val="clear" w:color="auto" w:fill="D9D9D9" w:themeFill="background1" w:themeFillShade="D9"/>
            <w:vAlign w:val="bottom"/>
          </w:tcPr>
          <w:p w14:paraId="4B510FD8" w14:textId="77777777" w:rsidR="002D2B4F" w:rsidRPr="00401B43" w:rsidRDefault="002D2B4F" w:rsidP="002D2B4F">
            <w:pPr>
              <w:spacing w:before="0" w:after="0"/>
              <w:jc w:val="left"/>
              <w:rPr>
                <w:rFonts w:ascii="Calibri" w:hAnsi="Calibri" w:cs="Calibri"/>
                <w:color w:val="000000"/>
                <w:sz w:val="18"/>
                <w:szCs w:val="18"/>
              </w:rPr>
            </w:pPr>
            <w:proofErr w:type="spellStart"/>
            <w:r w:rsidRPr="004F465E">
              <w:rPr>
                <w:rFonts w:ascii="Calibri" w:hAnsi="Calibri" w:cs="Calibri"/>
                <w:color w:val="000000"/>
                <w:sz w:val="18"/>
                <w:szCs w:val="18"/>
              </w:rPr>
              <w:t>Overall</w:t>
            </w:r>
            <w:proofErr w:type="spellEnd"/>
            <w:r w:rsidRPr="004F465E">
              <w:rPr>
                <w:rFonts w:ascii="Calibri" w:hAnsi="Calibri" w:cs="Calibri"/>
                <w:color w:val="000000"/>
                <w:sz w:val="18"/>
                <w:szCs w:val="18"/>
              </w:rPr>
              <w:t xml:space="preserve"> population</w:t>
            </w:r>
          </w:p>
        </w:tc>
        <w:tc>
          <w:tcPr>
            <w:tcW w:w="2090" w:type="dxa"/>
            <w:tcBorders>
              <w:top w:val="single" w:sz="4" w:space="0" w:color="auto"/>
              <w:bottom w:val="single" w:sz="4" w:space="0" w:color="auto"/>
            </w:tcBorders>
            <w:shd w:val="clear" w:color="auto" w:fill="D9D9D9" w:themeFill="background1" w:themeFillShade="D9"/>
            <w:noWrap/>
            <w:vAlign w:val="center"/>
            <w:hideMark/>
          </w:tcPr>
          <w:p w14:paraId="7FD9BF4F" w14:textId="77777777" w:rsidR="002D2B4F" w:rsidRPr="00401B43" w:rsidRDefault="002D2B4F" w:rsidP="002D2B4F">
            <w:pPr>
              <w:spacing w:before="0" w:after="0"/>
              <w:rPr>
                <w:rFonts w:ascii="Calibri" w:hAnsi="Calibri" w:cs="Calibri"/>
                <w:color w:val="000000"/>
                <w:sz w:val="18"/>
                <w:szCs w:val="18"/>
              </w:rPr>
            </w:pPr>
            <w:proofErr w:type="spellStart"/>
            <w:r>
              <w:rPr>
                <w:rFonts w:ascii="Calibri" w:hAnsi="Calibri" w:cs="Calibri"/>
                <w:color w:val="000000"/>
                <w:sz w:val="18"/>
                <w:szCs w:val="18"/>
              </w:rPr>
              <w:t>Negative</w:t>
            </w:r>
            <w:proofErr w:type="spellEnd"/>
            <w:r>
              <w:rPr>
                <w:rFonts w:ascii="Calibri" w:hAnsi="Calibri" w:cs="Calibri"/>
                <w:color w:val="000000"/>
                <w:sz w:val="18"/>
                <w:szCs w:val="18"/>
              </w:rPr>
              <w:t xml:space="preserve"> ctDNA</w:t>
            </w:r>
          </w:p>
        </w:tc>
        <w:tc>
          <w:tcPr>
            <w:tcW w:w="1491" w:type="dxa"/>
            <w:tcBorders>
              <w:top w:val="single" w:sz="4" w:space="0" w:color="auto"/>
              <w:bottom w:val="single" w:sz="4" w:space="0" w:color="auto"/>
            </w:tcBorders>
            <w:shd w:val="clear" w:color="auto" w:fill="D9D9D9" w:themeFill="background1" w:themeFillShade="D9"/>
            <w:noWrap/>
            <w:vAlign w:val="center"/>
            <w:hideMark/>
          </w:tcPr>
          <w:p w14:paraId="5F8D44D7"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Positive</w:t>
            </w:r>
            <w:r w:rsidRPr="00401B43">
              <w:rPr>
                <w:rFonts w:ascii="Calibri" w:hAnsi="Calibri" w:cs="Calibri"/>
                <w:color w:val="000000"/>
                <w:sz w:val="18"/>
                <w:szCs w:val="18"/>
              </w:rPr>
              <w:t xml:space="preserve"> </w:t>
            </w:r>
            <w:r>
              <w:rPr>
                <w:rFonts w:ascii="Calibri" w:hAnsi="Calibri" w:cs="Calibri"/>
                <w:color w:val="000000"/>
                <w:sz w:val="18"/>
                <w:szCs w:val="18"/>
              </w:rPr>
              <w:t>ctDNA</w:t>
            </w:r>
          </w:p>
        </w:tc>
      </w:tr>
      <w:tr w:rsidR="002D2B4F" w:rsidRPr="00401B43" w14:paraId="62E83942" w14:textId="77777777" w:rsidTr="002D2B4F">
        <w:trPr>
          <w:trHeight w:val="36"/>
        </w:trPr>
        <w:tc>
          <w:tcPr>
            <w:tcW w:w="3719" w:type="dxa"/>
            <w:tcBorders>
              <w:bottom w:val="single" w:sz="4" w:space="0" w:color="auto"/>
            </w:tcBorders>
            <w:shd w:val="clear" w:color="auto" w:fill="D9D9D9" w:themeFill="background1" w:themeFillShade="D9"/>
            <w:noWrap/>
            <w:vAlign w:val="center"/>
            <w:hideMark/>
          </w:tcPr>
          <w:p w14:paraId="39FAD227" w14:textId="77777777" w:rsidR="002D2B4F" w:rsidRPr="00401B43" w:rsidRDefault="002D2B4F" w:rsidP="002D2B4F">
            <w:pPr>
              <w:spacing w:before="0" w:after="0"/>
              <w:rPr>
                <w:rFonts w:ascii="Calibri" w:hAnsi="Calibri" w:cs="Calibri"/>
                <w:color w:val="000000"/>
                <w:sz w:val="18"/>
                <w:szCs w:val="18"/>
              </w:rPr>
            </w:pPr>
            <w:proofErr w:type="gramStart"/>
            <w:r w:rsidRPr="00401B43">
              <w:rPr>
                <w:rFonts w:ascii="Calibri" w:hAnsi="Calibri" w:cs="Calibri"/>
                <w:color w:val="000000"/>
                <w:sz w:val="18"/>
                <w:szCs w:val="18"/>
              </w:rPr>
              <w:t>n</w:t>
            </w:r>
            <w:proofErr w:type="gramEnd"/>
          </w:p>
        </w:tc>
        <w:tc>
          <w:tcPr>
            <w:tcW w:w="2090" w:type="dxa"/>
            <w:tcBorders>
              <w:top w:val="single" w:sz="4" w:space="0" w:color="auto"/>
              <w:bottom w:val="single" w:sz="4" w:space="0" w:color="auto"/>
            </w:tcBorders>
            <w:shd w:val="clear" w:color="auto" w:fill="D9D9D9" w:themeFill="background1" w:themeFillShade="D9"/>
            <w:vAlign w:val="bottom"/>
          </w:tcPr>
          <w:p w14:paraId="665CFC9B"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w:t>
            </w:r>
            <w:r w:rsidRPr="00401B43">
              <w:rPr>
                <w:rFonts w:ascii="Calibri" w:hAnsi="Calibri" w:cs="Calibri"/>
                <w:color w:val="000000"/>
                <w:sz w:val="18"/>
                <w:szCs w:val="18"/>
              </w:rPr>
              <w:t>1</w:t>
            </w:r>
          </w:p>
        </w:tc>
        <w:tc>
          <w:tcPr>
            <w:tcW w:w="2090" w:type="dxa"/>
            <w:tcBorders>
              <w:top w:val="single" w:sz="4" w:space="0" w:color="auto"/>
              <w:bottom w:val="single" w:sz="4" w:space="0" w:color="auto"/>
            </w:tcBorders>
            <w:shd w:val="clear" w:color="auto" w:fill="D9D9D9" w:themeFill="background1" w:themeFillShade="D9"/>
            <w:noWrap/>
            <w:vAlign w:val="center"/>
            <w:hideMark/>
          </w:tcPr>
          <w:p w14:paraId="1853A95E"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10</w:t>
            </w:r>
          </w:p>
        </w:tc>
        <w:tc>
          <w:tcPr>
            <w:tcW w:w="1491" w:type="dxa"/>
            <w:tcBorders>
              <w:top w:val="single" w:sz="4" w:space="0" w:color="auto"/>
              <w:bottom w:val="single" w:sz="4" w:space="0" w:color="auto"/>
            </w:tcBorders>
            <w:shd w:val="clear" w:color="auto" w:fill="D9D9D9" w:themeFill="background1" w:themeFillShade="D9"/>
            <w:noWrap/>
            <w:vAlign w:val="center"/>
            <w:hideMark/>
          </w:tcPr>
          <w:p w14:paraId="5C953391"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w:t>
            </w:r>
          </w:p>
        </w:tc>
      </w:tr>
      <w:tr w:rsidR="002D2B4F" w:rsidRPr="00401B43" w14:paraId="6432985C" w14:textId="77777777" w:rsidTr="002D2B4F">
        <w:trPr>
          <w:trHeight w:val="36"/>
        </w:trPr>
        <w:tc>
          <w:tcPr>
            <w:tcW w:w="3719" w:type="dxa"/>
            <w:tcBorders>
              <w:top w:val="single" w:sz="4" w:space="0" w:color="auto"/>
            </w:tcBorders>
            <w:shd w:val="clear" w:color="auto" w:fill="FFFFFF" w:themeFill="background1"/>
            <w:noWrap/>
          </w:tcPr>
          <w:p w14:paraId="01E99549" w14:textId="77777777" w:rsidR="002D2B4F" w:rsidRPr="004F465E"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Total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(median [IQ])</w:t>
            </w:r>
          </w:p>
        </w:tc>
        <w:tc>
          <w:tcPr>
            <w:tcW w:w="2090" w:type="dxa"/>
            <w:tcBorders>
              <w:top w:val="single" w:sz="4" w:space="0" w:color="auto"/>
            </w:tcBorders>
            <w:shd w:val="clear" w:color="auto" w:fill="FFFFFF" w:themeFill="background1"/>
          </w:tcPr>
          <w:p w14:paraId="7910D21B"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44.8</w:t>
            </w:r>
            <w:r w:rsidRPr="00401B43">
              <w:rPr>
                <w:rFonts w:ascii="Calibri" w:hAnsi="Calibri" w:cs="Calibri"/>
                <w:color w:val="000000"/>
                <w:sz w:val="18"/>
                <w:szCs w:val="18"/>
              </w:rPr>
              <w:t xml:space="preserve"> [</w:t>
            </w:r>
            <w:r>
              <w:rPr>
                <w:rFonts w:ascii="Calibri" w:hAnsi="Calibri" w:cs="Calibri"/>
                <w:color w:val="000000"/>
                <w:sz w:val="18"/>
                <w:szCs w:val="18"/>
              </w:rPr>
              <w:t>27.5</w:t>
            </w:r>
            <w:r w:rsidRPr="00401B43">
              <w:rPr>
                <w:rFonts w:ascii="Calibri" w:hAnsi="Calibri" w:cs="Calibri"/>
                <w:color w:val="000000"/>
                <w:sz w:val="18"/>
                <w:szCs w:val="18"/>
              </w:rPr>
              <w:t>, 8</w:t>
            </w:r>
            <w:r>
              <w:rPr>
                <w:rFonts w:ascii="Calibri" w:hAnsi="Calibri" w:cs="Calibri"/>
                <w:color w:val="000000"/>
                <w:sz w:val="18"/>
                <w:szCs w:val="18"/>
              </w:rPr>
              <w:t>8.1</w:t>
            </w:r>
            <w:r w:rsidRPr="00401B43">
              <w:rPr>
                <w:rFonts w:ascii="Calibri" w:hAnsi="Calibri" w:cs="Calibri"/>
                <w:color w:val="000000"/>
                <w:sz w:val="18"/>
                <w:szCs w:val="18"/>
              </w:rPr>
              <w:t>]</w:t>
            </w:r>
          </w:p>
        </w:tc>
        <w:tc>
          <w:tcPr>
            <w:tcW w:w="2090" w:type="dxa"/>
            <w:tcBorders>
              <w:top w:val="single" w:sz="4" w:space="0" w:color="auto"/>
            </w:tcBorders>
            <w:shd w:val="clear" w:color="auto" w:fill="FFFFFF" w:themeFill="background1"/>
            <w:noWrap/>
          </w:tcPr>
          <w:p w14:paraId="155945AF"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40.1</w:t>
            </w:r>
            <w:r w:rsidRPr="00401B43">
              <w:rPr>
                <w:rFonts w:ascii="Calibri" w:hAnsi="Calibri" w:cs="Calibri"/>
                <w:color w:val="000000"/>
                <w:sz w:val="18"/>
                <w:szCs w:val="18"/>
              </w:rPr>
              <w:t xml:space="preserve"> [</w:t>
            </w:r>
            <w:r>
              <w:rPr>
                <w:rFonts w:ascii="Calibri" w:hAnsi="Calibri" w:cs="Calibri"/>
                <w:color w:val="000000"/>
                <w:sz w:val="18"/>
                <w:szCs w:val="18"/>
              </w:rPr>
              <w:t>27.1</w:t>
            </w:r>
            <w:r w:rsidRPr="00401B43">
              <w:rPr>
                <w:rFonts w:ascii="Calibri" w:hAnsi="Calibri" w:cs="Calibri"/>
                <w:color w:val="000000"/>
                <w:sz w:val="18"/>
                <w:szCs w:val="18"/>
              </w:rPr>
              <w:t>, 8</w:t>
            </w:r>
            <w:r>
              <w:rPr>
                <w:rFonts w:ascii="Calibri" w:hAnsi="Calibri" w:cs="Calibri"/>
                <w:color w:val="000000"/>
                <w:sz w:val="18"/>
                <w:szCs w:val="18"/>
              </w:rPr>
              <w:t>4.4</w:t>
            </w:r>
            <w:r w:rsidRPr="00401B43">
              <w:rPr>
                <w:rFonts w:ascii="Calibri" w:hAnsi="Calibri" w:cs="Calibri"/>
                <w:color w:val="000000"/>
                <w:sz w:val="18"/>
                <w:szCs w:val="18"/>
              </w:rPr>
              <w:t>]</w:t>
            </w:r>
          </w:p>
        </w:tc>
        <w:tc>
          <w:tcPr>
            <w:tcW w:w="1491" w:type="dxa"/>
            <w:tcBorders>
              <w:top w:val="single" w:sz="4" w:space="0" w:color="auto"/>
            </w:tcBorders>
            <w:shd w:val="clear" w:color="auto" w:fill="FFFFFF" w:themeFill="background1"/>
            <w:noWrap/>
          </w:tcPr>
          <w:p w14:paraId="1CD2F5F6"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252.2</w:t>
            </w:r>
          </w:p>
        </w:tc>
      </w:tr>
      <w:tr w:rsidR="002D2B4F" w:rsidRPr="00401B43" w14:paraId="56D856D5" w14:textId="77777777" w:rsidTr="002D2B4F">
        <w:trPr>
          <w:trHeight w:val="36"/>
        </w:trPr>
        <w:tc>
          <w:tcPr>
            <w:tcW w:w="3719" w:type="dxa"/>
            <w:shd w:val="clear" w:color="auto" w:fill="D9D9D9" w:themeFill="background1" w:themeFillShade="D9"/>
            <w:noWrap/>
          </w:tcPr>
          <w:p w14:paraId="040BF1E5" w14:textId="77777777" w:rsidR="002D2B4F" w:rsidRPr="004F465E"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Primary lesion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[IQR])</w:t>
            </w:r>
          </w:p>
        </w:tc>
        <w:tc>
          <w:tcPr>
            <w:tcW w:w="2090" w:type="dxa"/>
            <w:shd w:val="clear" w:color="auto" w:fill="D9D9D9" w:themeFill="background1" w:themeFillShade="D9"/>
          </w:tcPr>
          <w:p w14:paraId="594B83F4" w14:textId="77777777"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1</w:t>
            </w:r>
            <w:r>
              <w:rPr>
                <w:rFonts w:ascii="Calibri" w:hAnsi="Calibri" w:cs="Calibri"/>
                <w:color w:val="000000"/>
                <w:sz w:val="18"/>
                <w:szCs w:val="18"/>
              </w:rPr>
              <w:t>9.4</w:t>
            </w:r>
            <w:r w:rsidRPr="00401B43">
              <w:rPr>
                <w:rFonts w:ascii="Calibri" w:hAnsi="Calibri" w:cs="Calibri"/>
                <w:color w:val="000000"/>
                <w:sz w:val="18"/>
                <w:szCs w:val="18"/>
              </w:rPr>
              <w:t xml:space="preserve"> [</w:t>
            </w:r>
            <w:r>
              <w:rPr>
                <w:rFonts w:ascii="Calibri" w:hAnsi="Calibri" w:cs="Calibri"/>
                <w:color w:val="000000"/>
                <w:sz w:val="18"/>
                <w:szCs w:val="18"/>
              </w:rPr>
              <w:t>9.4</w:t>
            </w:r>
            <w:r w:rsidRPr="00401B43">
              <w:rPr>
                <w:rFonts w:ascii="Calibri" w:hAnsi="Calibri" w:cs="Calibri"/>
                <w:color w:val="000000"/>
                <w:sz w:val="18"/>
                <w:szCs w:val="18"/>
              </w:rPr>
              <w:t xml:space="preserve">, </w:t>
            </w:r>
            <w:r>
              <w:rPr>
                <w:rFonts w:ascii="Calibri" w:hAnsi="Calibri" w:cs="Calibri"/>
                <w:color w:val="000000"/>
                <w:sz w:val="18"/>
                <w:szCs w:val="18"/>
              </w:rPr>
              <w:t>69.9</w:t>
            </w:r>
            <w:r w:rsidRPr="00401B43">
              <w:rPr>
                <w:rFonts w:ascii="Calibri" w:hAnsi="Calibri" w:cs="Calibri"/>
                <w:color w:val="000000"/>
                <w:sz w:val="18"/>
                <w:szCs w:val="18"/>
              </w:rPr>
              <w:t>]</w:t>
            </w:r>
          </w:p>
        </w:tc>
        <w:tc>
          <w:tcPr>
            <w:tcW w:w="2090" w:type="dxa"/>
            <w:shd w:val="clear" w:color="auto" w:fill="D9D9D9" w:themeFill="background1" w:themeFillShade="D9"/>
            <w:noWrap/>
          </w:tcPr>
          <w:p w14:paraId="41121676" w14:textId="77777777"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18</w:t>
            </w:r>
            <w:r>
              <w:rPr>
                <w:rFonts w:ascii="Calibri" w:hAnsi="Calibri" w:cs="Calibri"/>
                <w:color w:val="000000"/>
                <w:sz w:val="18"/>
                <w:szCs w:val="18"/>
              </w:rPr>
              <w:t>.</w:t>
            </w:r>
            <w:r w:rsidRPr="00401B43">
              <w:rPr>
                <w:rFonts w:ascii="Calibri" w:hAnsi="Calibri" w:cs="Calibri"/>
                <w:color w:val="000000"/>
                <w:sz w:val="18"/>
                <w:szCs w:val="18"/>
              </w:rPr>
              <w:t>0 [</w:t>
            </w:r>
            <w:r>
              <w:rPr>
                <w:rFonts w:ascii="Calibri" w:hAnsi="Calibri" w:cs="Calibri"/>
                <w:color w:val="000000"/>
                <w:sz w:val="18"/>
                <w:szCs w:val="18"/>
              </w:rPr>
              <w:t>9.1</w:t>
            </w:r>
            <w:r w:rsidRPr="00401B43">
              <w:rPr>
                <w:rFonts w:ascii="Calibri" w:hAnsi="Calibri" w:cs="Calibri"/>
                <w:color w:val="000000"/>
                <w:sz w:val="18"/>
                <w:szCs w:val="18"/>
              </w:rPr>
              <w:t xml:space="preserve">, </w:t>
            </w:r>
            <w:r>
              <w:rPr>
                <w:rFonts w:ascii="Calibri" w:hAnsi="Calibri" w:cs="Calibri"/>
                <w:color w:val="000000"/>
                <w:sz w:val="18"/>
                <w:szCs w:val="18"/>
              </w:rPr>
              <w:t>73.0</w:t>
            </w:r>
            <w:r w:rsidRPr="00401B43">
              <w:rPr>
                <w:rFonts w:ascii="Calibri" w:hAnsi="Calibri" w:cs="Calibri"/>
                <w:color w:val="000000"/>
                <w:sz w:val="18"/>
                <w:szCs w:val="18"/>
              </w:rPr>
              <w:t>]</w:t>
            </w:r>
          </w:p>
        </w:tc>
        <w:tc>
          <w:tcPr>
            <w:tcW w:w="1491" w:type="dxa"/>
            <w:shd w:val="clear" w:color="auto" w:fill="D9D9D9" w:themeFill="background1" w:themeFillShade="D9"/>
            <w:noWrap/>
          </w:tcPr>
          <w:p w14:paraId="6DF47924"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31.1</w:t>
            </w:r>
          </w:p>
        </w:tc>
      </w:tr>
      <w:tr w:rsidR="002D2B4F" w:rsidRPr="00401B43" w14:paraId="4F253B55" w14:textId="77777777" w:rsidTr="002D2B4F">
        <w:trPr>
          <w:trHeight w:val="36"/>
        </w:trPr>
        <w:tc>
          <w:tcPr>
            <w:tcW w:w="3719" w:type="dxa"/>
            <w:shd w:val="clear" w:color="auto" w:fill="FFFFFF" w:themeFill="background1"/>
            <w:noWrap/>
          </w:tcPr>
          <w:p w14:paraId="448813DA" w14:textId="77777777" w:rsidR="002D2B4F" w:rsidRPr="004F465E"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liver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2090" w:type="dxa"/>
            <w:shd w:val="clear" w:color="auto" w:fill="FFFFFF" w:themeFill="background1"/>
          </w:tcPr>
          <w:p w14:paraId="336E704E"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c>
          <w:tcPr>
            <w:tcW w:w="2090" w:type="dxa"/>
            <w:shd w:val="clear" w:color="auto" w:fill="FFFFFF" w:themeFill="background1"/>
            <w:noWrap/>
          </w:tcPr>
          <w:p w14:paraId="2ED73F92"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c>
          <w:tcPr>
            <w:tcW w:w="1491" w:type="dxa"/>
            <w:shd w:val="clear" w:color="auto" w:fill="FFFFFF" w:themeFill="background1"/>
            <w:noWrap/>
          </w:tcPr>
          <w:p w14:paraId="12AE98B6"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r w:rsidR="002D2B4F" w:rsidRPr="00401B43" w14:paraId="04747891" w14:textId="77777777" w:rsidTr="002D2B4F">
        <w:trPr>
          <w:trHeight w:val="36"/>
        </w:trPr>
        <w:tc>
          <w:tcPr>
            <w:tcW w:w="3719" w:type="dxa"/>
            <w:shd w:val="clear" w:color="auto" w:fill="D9D9D9" w:themeFill="background1" w:themeFillShade="D9"/>
            <w:noWrap/>
          </w:tcPr>
          <w:p w14:paraId="62621514" w14:textId="77777777" w:rsidR="002D2B4F" w:rsidRPr="004F465E"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Liver</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2090" w:type="dxa"/>
            <w:shd w:val="clear" w:color="auto" w:fill="D9D9D9" w:themeFill="background1" w:themeFillShade="D9"/>
          </w:tcPr>
          <w:p w14:paraId="67CF7B00"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c>
          <w:tcPr>
            <w:tcW w:w="2090" w:type="dxa"/>
            <w:shd w:val="clear" w:color="auto" w:fill="D9D9D9" w:themeFill="background1" w:themeFillShade="D9"/>
            <w:noWrap/>
          </w:tcPr>
          <w:p w14:paraId="1DAEADEE"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c>
          <w:tcPr>
            <w:tcW w:w="1491" w:type="dxa"/>
            <w:shd w:val="clear" w:color="auto" w:fill="D9D9D9" w:themeFill="background1" w:themeFillShade="D9"/>
            <w:noWrap/>
          </w:tcPr>
          <w:p w14:paraId="515351C3"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r w:rsidR="002D2B4F" w:rsidRPr="00401B43" w14:paraId="26BD9547" w14:textId="77777777" w:rsidTr="00B552F7">
        <w:trPr>
          <w:trHeight w:val="36"/>
        </w:trPr>
        <w:tc>
          <w:tcPr>
            <w:tcW w:w="3719" w:type="dxa"/>
            <w:shd w:val="clear" w:color="auto" w:fill="auto"/>
            <w:noWrap/>
          </w:tcPr>
          <w:p w14:paraId="0341F42C" w14:textId="77777777" w:rsidR="002D2B4F"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w:t>
            </w:r>
            <w:r>
              <w:rPr>
                <w:rFonts w:ascii="Calibri" w:hAnsi="Calibri" w:cs="Calibri"/>
                <w:color w:val="000000"/>
                <w:sz w:val="18"/>
                <w:szCs w:val="18"/>
                <w:lang w:val="en-US"/>
              </w:rPr>
              <w:t>lymph node lesions</w:t>
            </w:r>
            <w:r w:rsidRPr="004F465E">
              <w:rPr>
                <w:rFonts w:ascii="Calibri" w:hAnsi="Calibri" w:cs="Calibri"/>
                <w:color w:val="000000"/>
                <w:sz w:val="18"/>
                <w:szCs w:val="18"/>
                <w:lang w:val="en-US"/>
              </w:rPr>
              <w:t xml:space="preserve">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2090" w:type="dxa"/>
            <w:shd w:val="clear" w:color="auto" w:fill="auto"/>
          </w:tcPr>
          <w:p w14:paraId="1440F6E2"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1.0</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5.5</w:t>
            </w:r>
            <w:r w:rsidRPr="00401B43">
              <w:rPr>
                <w:rFonts w:ascii="Calibri" w:hAnsi="Calibri" w:cs="Calibri"/>
                <w:color w:val="000000"/>
                <w:sz w:val="18"/>
                <w:szCs w:val="18"/>
              </w:rPr>
              <w:t>]</w:t>
            </w:r>
          </w:p>
        </w:tc>
        <w:tc>
          <w:tcPr>
            <w:tcW w:w="2090" w:type="dxa"/>
            <w:shd w:val="clear" w:color="auto" w:fill="auto"/>
            <w:noWrap/>
          </w:tcPr>
          <w:p w14:paraId="1B4BE6BE"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0.5</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1.8</w:t>
            </w:r>
            <w:r w:rsidRPr="00401B43">
              <w:rPr>
                <w:rFonts w:ascii="Calibri" w:hAnsi="Calibri" w:cs="Calibri"/>
                <w:color w:val="000000"/>
                <w:sz w:val="18"/>
                <w:szCs w:val="18"/>
              </w:rPr>
              <w:t>]</w:t>
            </w:r>
          </w:p>
        </w:tc>
        <w:tc>
          <w:tcPr>
            <w:tcW w:w="1491" w:type="dxa"/>
            <w:shd w:val="clear" w:color="auto" w:fill="auto"/>
            <w:noWrap/>
          </w:tcPr>
          <w:p w14:paraId="49DFB8B3"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19</w:t>
            </w:r>
          </w:p>
        </w:tc>
      </w:tr>
      <w:tr w:rsidR="002D2B4F" w:rsidRPr="00401B43" w14:paraId="04C51AEA" w14:textId="77777777" w:rsidTr="002D2B4F">
        <w:trPr>
          <w:trHeight w:val="36"/>
        </w:trPr>
        <w:tc>
          <w:tcPr>
            <w:tcW w:w="3719" w:type="dxa"/>
            <w:shd w:val="clear" w:color="auto" w:fill="D9D9D9" w:themeFill="background1" w:themeFillShade="D9"/>
            <w:noWrap/>
          </w:tcPr>
          <w:p w14:paraId="52148DFF" w14:textId="77777777" w:rsidR="002D2B4F"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Lymph node</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2090" w:type="dxa"/>
            <w:shd w:val="clear" w:color="auto" w:fill="D9D9D9" w:themeFill="background1" w:themeFillShade="D9"/>
          </w:tcPr>
          <w:p w14:paraId="79985B3B"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8.9</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15.3</w:t>
            </w:r>
            <w:r w:rsidRPr="00401B43">
              <w:rPr>
                <w:rFonts w:ascii="Calibri" w:hAnsi="Calibri" w:cs="Calibri"/>
                <w:color w:val="000000"/>
                <w:sz w:val="18"/>
                <w:szCs w:val="18"/>
              </w:rPr>
              <w:t>]</w:t>
            </w:r>
          </w:p>
        </w:tc>
        <w:tc>
          <w:tcPr>
            <w:tcW w:w="2090" w:type="dxa"/>
            <w:shd w:val="clear" w:color="auto" w:fill="D9D9D9" w:themeFill="background1" w:themeFillShade="D9"/>
            <w:noWrap/>
          </w:tcPr>
          <w:p w14:paraId="64F0E057"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1.3</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11.8</w:t>
            </w:r>
            <w:r w:rsidRPr="00401B43">
              <w:rPr>
                <w:rFonts w:ascii="Calibri" w:hAnsi="Calibri" w:cs="Calibri"/>
                <w:color w:val="000000"/>
                <w:sz w:val="18"/>
                <w:szCs w:val="18"/>
              </w:rPr>
              <w:t>]</w:t>
            </w:r>
          </w:p>
        </w:tc>
        <w:tc>
          <w:tcPr>
            <w:tcW w:w="1491" w:type="dxa"/>
            <w:shd w:val="clear" w:color="auto" w:fill="D9D9D9" w:themeFill="background1" w:themeFillShade="D9"/>
            <w:noWrap/>
          </w:tcPr>
          <w:p w14:paraId="07DB57D4"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221.1</w:t>
            </w:r>
          </w:p>
        </w:tc>
      </w:tr>
      <w:tr w:rsidR="002D2B4F" w:rsidRPr="00401B43" w14:paraId="3F4F6864" w14:textId="77777777" w:rsidTr="00B552F7">
        <w:trPr>
          <w:trHeight w:val="36"/>
        </w:trPr>
        <w:tc>
          <w:tcPr>
            <w:tcW w:w="3719" w:type="dxa"/>
            <w:shd w:val="clear" w:color="auto" w:fill="auto"/>
            <w:noWrap/>
          </w:tcPr>
          <w:p w14:paraId="18A62DA5" w14:textId="77777777" w:rsidR="002D2B4F"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w:t>
            </w:r>
            <w:r>
              <w:rPr>
                <w:rFonts w:ascii="Calibri" w:hAnsi="Calibri" w:cs="Calibri"/>
                <w:color w:val="000000"/>
                <w:sz w:val="18"/>
                <w:szCs w:val="18"/>
                <w:lang w:val="en-US"/>
              </w:rPr>
              <w:t>peritoneal</w:t>
            </w:r>
            <w:r w:rsidRPr="004F465E">
              <w:rPr>
                <w:rFonts w:ascii="Calibri" w:hAnsi="Calibri" w:cs="Calibri"/>
                <w:color w:val="000000"/>
                <w:sz w:val="18"/>
                <w:szCs w:val="18"/>
                <w:lang w:val="en-US"/>
              </w:rPr>
              <w:t xml:space="preserve">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2090" w:type="dxa"/>
            <w:shd w:val="clear" w:color="auto" w:fill="auto"/>
          </w:tcPr>
          <w:p w14:paraId="3A31D3FB"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5</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11.</w:t>
            </w:r>
            <w:r w:rsidRPr="00401B43">
              <w:rPr>
                <w:rFonts w:ascii="Calibri" w:hAnsi="Calibri" w:cs="Calibri"/>
                <w:color w:val="000000"/>
                <w:sz w:val="18"/>
                <w:szCs w:val="18"/>
              </w:rPr>
              <w:t>0]]</w:t>
            </w:r>
          </w:p>
        </w:tc>
        <w:tc>
          <w:tcPr>
            <w:tcW w:w="2090" w:type="dxa"/>
            <w:shd w:val="clear" w:color="auto" w:fill="auto"/>
            <w:noWrap/>
          </w:tcPr>
          <w:p w14:paraId="249E1123"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6.0</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12.</w:t>
            </w:r>
            <w:r w:rsidRPr="00401B43">
              <w:rPr>
                <w:rFonts w:ascii="Calibri" w:hAnsi="Calibri" w:cs="Calibri"/>
                <w:color w:val="000000"/>
                <w:sz w:val="18"/>
                <w:szCs w:val="18"/>
              </w:rPr>
              <w:t>0]]</w:t>
            </w:r>
          </w:p>
        </w:tc>
        <w:tc>
          <w:tcPr>
            <w:tcW w:w="1491" w:type="dxa"/>
            <w:shd w:val="clear" w:color="auto" w:fill="auto"/>
            <w:noWrap/>
          </w:tcPr>
          <w:p w14:paraId="5F043418"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r w:rsidR="002D2B4F" w:rsidRPr="00401B43" w14:paraId="30A46621" w14:textId="77777777" w:rsidTr="002D2B4F">
        <w:trPr>
          <w:trHeight w:val="36"/>
        </w:trPr>
        <w:tc>
          <w:tcPr>
            <w:tcW w:w="3719" w:type="dxa"/>
            <w:shd w:val="clear" w:color="auto" w:fill="D9D9D9" w:themeFill="background1" w:themeFillShade="D9"/>
            <w:noWrap/>
          </w:tcPr>
          <w:p w14:paraId="64649ED7" w14:textId="77777777" w:rsidR="002D2B4F"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 xml:space="preserve">Peritoneal </w:t>
            </w:r>
            <w:r w:rsidRPr="004F465E">
              <w:rPr>
                <w:rFonts w:ascii="Calibri" w:hAnsi="Calibri" w:cs="Calibri"/>
                <w:color w:val="000000"/>
                <w:sz w:val="18"/>
                <w:szCs w:val="18"/>
                <w:lang w:val="en-US"/>
              </w:rPr>
              <w:t>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2090" w:type="dxa"/>
            <w:shd w:val="clear" w:color="auto" w:fill="D9D9D9" w:themeFill="background1" w:themeFillShade="D9"/>
          </w:tcPr>
          <w:p w14:paraId="032E8822"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8.9</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15.3</w:t>
            </w:r>
            <w:r w:rsidRPr="00401B43">
              <w:rPr>
                <w:rFonts w:ascii="Calibri" w:hAnsi="Calibri" w:cs="Calibri"/>
                <w:color w:val="000000"/>
                <w:sz w:val="18"/>
                <w:szCs w:val="18"/>
              </w:rPr>
              <w:t>]</w:t>
            </w:r>
          </w:p>
        </w:tc>
        <w:tc>
          <w:tcPr>
            <w:tcW w:w="2090" w:type="dxa"/>
            <w:shd w:val="clear" w:color="auto" w:fill="D9D9D9" w:themeFill="background1" w:themeFillShade="D9"/>
            <w:noWrap/>
          </w:tcPr>
          <w:p w14:paraId="2B2934A7"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9.9</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15.3</w:t>
            </w:r>
            <w:r w:rsidRPr="00401B43">
              <w:rPr>
                <w:rFonts w:ascii="Calibri" w:hAnsi="Calibri" w:cs="Calibri"/>
                <w:color w:val="000000"/>
                <w:sz w:val="18"/>
                <w:szCs w:val="18"/>
              </w:rPr>
              <w:t>]</w:t>
            </w:r>
          </w:p>
        </w:tc>
        <w:tc>
          <w:tcPr>
            <w:tcW w:w="1491" w:type="dxa"/>
            <w:shd w:val="clear" w:color="auto" w:fill="D9D9D9" w:themeFill="background1" w:themeFillShade="D9"/>
            <w:noWrap/>
          </w:tcPr>
          <w:p w14:paraId="66D5BC44"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r w:rsidR="002D2B4F" w:rsidRPr="00401B43" w14:paraId="059E843B" w14:textId="77777777" w:rsidTr="00B552F7">
        <w:trPr>
          <w:trHeight w:val="132"/>
        </w:trPr>
        <w:tc>
          <w:tcPr>
            <w:tcW w:w="3719" w:type="dxa"/>
            <w:shd w:val="clear" w:color="auto" w:fill="auto"/>
            <w:noWrap/>
          </w:tcPr>
          <w:p w14:paraId="2DEEC945" w14:textId="77777777" w:rsidR="002D2B4F"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w:t>
            </w:r>
            <w:r>
              <w:rPr>
                <w:rFonts w:ascii="Calibri" w:hAnsi="Calibri" w:cs="Calibri"/>
                <w:color w:val="000000"/>
                <w:sz w:val="18"/>
                <w:szCs w:val="18"/>
                <w:lang w:val="en-US"/>
              </w:rPr>
              <w:t>pulmonary</w:t>
            </w:r>
            <w:r w:rsidRPr="004F465E">
              <w:rPr>
                <w:rFonts w:ascii="Calibri" w:hAnsi="Calibri" w:cs="Calibri"/>
                <w:color w:val="000000"/>
                <w:sz w:val="18"/>
                <w:szCs w:val="18"/>
                <w:lang w:val="en-US"/>
              </w:rPr>
              <w:t xml:space="preserve">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2090" w:type="dxa"/>
            <w:shd w:val="clear" w:color="auto" w:fill="auto"/>
          </w:tcPr>
          <w:p w14:paraId="3CAC2845"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3.5</w:t>
            </w:r>
            <w:r w:rsidRPr="00401B43">
              <w:rPr>
                <w:rFonts w:ascii="Calibri" w:hAnsi="Calibri" w:cs="Calibri"/>
                <w:color w:val="000000"/>
                <w:sz w:val="18"/>
                <w:szCs w:val="18"/>
              </w:rPr>
              <w:t>]</w:t>
            </w:r>
          </w:p>
        </w:tc>
        <w:tc>
          <w:tcPr>
            <w:tcW w:w="2090" w:type="dxa"/>
            <w:shd w:val="clear" w:color="auto" w:fill="auto"/>
            <w:noWrap/>
          </w:tcPr>
          <w:p w14:paraId="3391AE7E"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4.8</w:t>
            </w:r>
            <w:r w:rsidRPr="00401B43">
              <w:rPr>
                <w:rFonts w:ascii="Calibri" w:hAnsi="Calibri" w:cs="Calibri"/>
                <w:color w:val="000000"/>
                <w:sz w:val="18"/>
                <w:szCs w:val="18"/>
              </w:rPr>
              <w:t>]</w:t>
            </w:r>
          </w:p>
        </w:tc>
        <w:tc>
          <w:tcPr>
            <w:tcW w:w="1491" w:type="dxa"/>
            <w:shd w:val="clear" w:color="auto" w:fill="auto"/>
            <w:noWrap/>
          </w:tcPr>
          <w:p w14:paraId="76DFDFED"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r w:rsidR="002D2B4F" w:rsidRPr="00401B43" w14:paraId="74B2BADC" w14:textId="77777777" w:rsidTr="002D2B4F">
        <w:trPr>
          <w:trHeight w:val="36"/>
        </w:trPr>
        <w:tc>
          <w:tcPr>
            <w:tcW w:w="3719" w:type="dxa"/>
            <w:shd w:val="clear" w:color="auto" w:fill="D9D9D9" w:themeFill="background1" w:themeFillShade="D9"/>
            <w:noWrap/>
          </w:tcPr>
          <w:p w14:paraId="2D438C19" w14:textId="119DAE47" w:rsidR="002D2B4F"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Pulmonary</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2090" w:type="dxa"/>
            <w:shd w:val="clear" w:color="auto" w:fill="D9D9D9" w:themeFill="background1" w:themeFillShade="D9"/>
          </w:tcPr>
          <w:p w14:paraId="13626B8F" w14:textId="77777777"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0</w:t>
            </w:r>
            <w:r>
              <w:rPr>
                <w:rFonts w:ascii="Calibri" w:hAnsi="Calibri" w:cs="Calibri"/>
                <w:color w:val="000000"/>
                <w:sz w:val="18"/>
                <w:szCs w:val="18"/>
              </w:rPr>
              <w:t>.0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1.6</w:t>
            </w:r>
            <w:r w:rsidRPr="00401B43">
              <w:rPr>
                <w:rFonts w:ascii="Calibri" w:hAnsi="Calibri" w:cs="Calibri"/>
                <w:color w:val="000000"/>
                <w:sz w:val="18"/>
                <w:szCs w:val="18"/>
              </w:rPr>
              <w:t>]</w:t>
            </w:r>
          </w:p>
        </w:tc>
        <w:tc>
          <w:tcPr>
            <w:tcW w:w="2090" w:type="dxa"/>
            <w:shd w:val="clear" w:color="auto" w:fill="D9D9D9" w:themeFill="background1" w:themeFillShade="D9"/>
            <w:noWrap/>
          </w:tcPr>
          <w:p w14:paraId="41C50392" w14:textId="77777777"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0</w:t>
            </w:r>
            <w:r>
              <w:rPr>
                <w:rFonts w:ascii="Calibri" w:hAnsi="Calibri" w:cs="Calibri"/>
                <w:color w:val="000000"/>
                <w:sz w:val="18"/>
                <w:szCs w:val="18"/>
              </w:rPr>
              <w:t>.0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0, 2</w:t>
            </w:r>
            <w:r>
              <w:rPr>
                <w:rFonts w:ascii="Calibri" w:hAnsi="Calibri" w:cs="Calibri"/>
                <w:color w:val="000000"/>
                <w:sz w:val="18"/>
                <w:szCs w:val="18"/>
              </w:rPr>
              <w:t>.2</w:t>
            </w:r>
            <w:r w:rsidRPr="00401B43">
              <w:rPr>
                <w:rFonts w:ascii="Calibri" w:hAnsi="Calibri" w:cs="Calibri"/>
                <w:color w:val="000000"/>
                <w:sz w:val="18"/>
                <w:szCs w:val="18"/>
              </w:rPr>
              <w:t>]</w:t>
            </w:r>
          </w:p>
        </w:tc>
        <w:tc>
          <w:tcPr>
            <w:tcW w:w="1491" w:type="dxa"/>
            <w:shd w:val="clear" w:color="auto" w:fill="D9D9D9" w:themeFill="background1" w:themeFillShade="D9"/>
            <w:noWrap/>
          </w:tcPr>
          <w:p w14:paraId="3E26E1D7"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w:t>
            </w:r>
          </w:p>
        </w:tc>
      </w:tr>
    </w:tbl>
    <w:p w14:paraId="631190BD" w14:textId="06ECFA7F" w:rsidR="002D2B4F" w:rsidRDefault="002D2B4F" w:rsidP="006F5E67">
      <w:pPr>
        <w:spacing w:line="480" w:lineRule="auto"/>
        <w:rPr>
          <w:lang w:val="en-US"/>
        </w:rPr>
      </w:pPr>
      <w:r>
        <w:rPr>
          <w:lang w:val="en-US"/>
        </w:rPr>
        <w:t>Supplementary table 1: characteristic of patients without liver metastas</w:t>
      </w:r>
      <w:r w:rsidR="00BB7426">
        <w:rPr>
          <w:lang w:val="en-US"/>
        </w:rPr>
        <w:t>i</w:t>
      </w:r>
      <w:r>
        <w:rPr>
          <w:lang w:val="en-US"/>
        </w:rPr>
        <w:t>s</w:t>
      </w:r>
    </w:p>
    <w:p w14:paraId="47D373DC" w14:textId="161090D2" w:rsidR="002D2B4F" w:rsidRDefault="002D2B4F" w:rsidP="006F5E67">
      <w:pPr>
        <w:spacing w:line="480" w:lineRule="auto"/>
        <w:rPr>
          <w:lang w:val="en-US"/>
        </w:rPr>
      </w:pPr>
    </w:p>
    <w:p w14:paraId="14909039" w14:textId="11C3D0AC" w:rsidR="002D2B4F" w:rsidRDefault="002D2B4F" w:rsidP="006F5E67">
      <w:pPr>
        <w:spacing w:line="480" w:lineRule="auto"/>
        <w:rPr>
          <w:lang w:val="en-US"/>
        </w:rPr>
      </w:pPr>
    </w:p>
    <w:p w14:paraId="2029216A" w14:textId="4C219AC5" w:rsidR="002D2B4F" w:rsidRDefault="002D2B4F" w:rsidP="006F5E67">
      <w:pPr>
        <w:spacing w:line="480" w:lineRule="auto"/>
        <w:rPr>
          <w:lang w:val="en-US"/>
        </w:rPr>
      </w:pPr>
      <w:r>
        <w:rPr>
          <w:lang w:val="en-US"/>
        </w:rPr>
        <w:t>Supplementary table 2:</w:t>
      </w:r>
      <w:r w:rsidR="00F64DE8">
        <w:rPr>
          <w:lang w:val="en-US"/>
        </w:rPr>
        <w:t xml:space="preserve"> characteristic of patients with lymph node, liver our pulmonary metastasis</w:t>
      </w:r>
    </w:p>
    <w:tbl>
      <w:tblPr>
        <w:tblpPr w:leftFromText="141" w:rightFromText="141" w:vertAnchor="text" w:horzAnchor="margin" w:tblpY="107"/>
        <w:tblW w:w="9450" w:type="dxa"/>
        <w:tblCellMar>
          <w:left w:w="70" w:type="dxa"/>
          <w:right w:w="70" w:type="dxa"/>
        </w:tblCellMar>
        <w:tblLook w:val="04A0" w:firstRow="1" w:lastRow="0" w:firstColumn="1" w:lastColumn="0" w:noHBand="0" w:noVBand="1"/>
      </w:tblPr>
      <w:tblGrid>
        <w:gridCol w:w="3520"/>
        <w:gridCol w:w="1681"/>
        <w:gridCol w:w="1681"/>
        <w:gridCol w:w="1681"/>
        <w:gridCol w:w="887"/>
      </w:tblGrid>
      <w:tr w:rsidR="002D2B4F" w:rsidRPr="00401B43" w14:paraId="0AD94C5D" w14:textId="29BA1178" w:rsidTr="002D2B4F">
        <w:trPr>
          <w:trHeight w:val="110"/>
        </w:trPr>
        <w:tc>
          <w:tcPr>
            <w:tcW w:w="3520" w:type="dxa"/>
            <w:tcBorders>
              <w:top w:val="single" w:sz="4" w:space="0" w:color="auto"/>
            </w:tcBorders>
            <w:shd w:val="clear" w:color="auto" w:fill="D9D9D9" w:themeFill="background1" w:themeFillShade="D9"/>
            <w:noWrap/>
            <w:vAlign w:val="center"/>
            <w:hideMark/>
          </w:tcPr>
          <w:p w14:paraId="6B850B76" w14:textId="415F737A" w:rsidR="002D2B4F" w:rsidRPr="00401B43" w:rsidRDefault="002D2B4F" w:rsidP="002D2B4F">
            <w:pPr>
              <w:spacing w:before="0" w:after="0"/>
              <w:jc w:val="center"/>
              <w:rPr>
                <w:rFonts w:ascii="Calibri" w:hAnsi="Calibri" w:cs="Calibri"/>
                <w:color w:val="000000"/>
                <w:sz w:val="18"/>
                <w:szCs w:val="18"/>
              </w:rPr>
            </w:pPr>
            <w:r>
              <w:rPr>
                <w:rFonts w:ascii="Calibri" w:hAnsi="Calibri" w:cs="Calibri"/>
                <w:color w:val="000000"/>
                <w:sz w:val="18"/>
                <w:szCs w:val="18"/>
              </w:rPr>
              <w:t xml:space="preserve">Patients’ </w:t>
            </w:r>
            <w:proofErr w:type="spellStart"/>
            <w:r>
              <w:rPr>
                <w:rFonts w:ascii="Calibri" w:hAnsi="Calibri" w:cs="Calibri"/>
                <w:color w:val="000000"/>
                <w:sz w:val="18"/>
                <w:szCs w:val="18"/>
              </w:rPr>
              <w:t>characteristics</w:t>
            </w:r>
            <w:proofErr w:type="spellEnd"/>
          </w:p>
        </w:tc>
        <w:tc>
          <w:tcPr>
            <w:tcW w:w="1681" w:type="dxa"/>
            <w:tcBorders>
              <w:top w:val="single" w:sz="4" w:space="0" w:color="auto"/>
              <w:bottom w:val="single" w:sz="4" w:space="0" w:color="auto"/>
            </w:tcBorders>
            <w:shd w:val="clear" w:color="auto" w:fill="D9D9D9" w:themeFill="background1" w:themeFillShade="D9"/>
            <w:vAlign w:val="bottom"/>
          </w:tcPr>
          <w:p w14:paraId="6A1590B2" w14:textId="77777777" w:rsidR="002D2B4F" w:rsidRPr="00401B43" w:rsidRDefault="002D2B4F" w:rsidP="002D2B4F">
            <w:pPr>
              <w:spacing w:before="0" w:after="0"/>
              <w:jc w:val="left"/>
              <w:rPr>
                <w:rFonts w:ascii="Calibri" w:hAnsi="Calibri" w:cs="Calibri"/>
                <w:color w:val="000000"/>
                <w:sz w:val="18"/>
                <w:szCs w:val="18"/>
              </w:rPr>
            </w:pPr>
            <w:proofErr w:type="spellStart"/>
            <w:r w:rsidRPr="004F465E">
              <w:rPr>
                <w:rFonts w:ascii="Calibri" w:hAnsi="Calibri" w:cs="Calibri"/>
                <w:color w:val="000000"/>
                <w:sz w:val="18"/>
                <w:szCs w:val="18"/>
              </w:rPr>
              <w:t>Overall</w:t>
            </w:r>
            <w:proofErr w:type="spellEnd"/>
            <w:r w:rsidRPr="004F465E">
              <w:rPr>
                <w:rFonts w:ascii="Calibri" w:hAnsi="Calibri" w:cs="Calibri"/>
                <w:color w:val="000000"/>
                <w:sz w:val="18"/>
                <w:szCs w:val="18"/>
              </w:rPr>
              <w:t xml:space="preserve"> population</w:t>
            </w:r>
          </w:p>
        </w:tc>
        <w:tc>
          <w:tcPr>
            <w:tcW w:w="1681" w:type="dxa"/>
            <w:tcBorders>
              <w:top w:val="single" w:sz="4" w:space="0" w:color="auto"/>
              <w:bottom w:val="single" w:sz="4" w:space="0" w:color="auto"/>
            </w:tcBorders>
            <w:shd w:val="clear" w:color="auto" w:fill="D9D9D9" w:themeFill="background1" w:themeFillShade="D9"/>
            <w:noWrap/>
            <w:vAlign w:val="center"/>
            <w:hideMark/>
          </w:tcPr>
          <w:p w14:paraId="585CECFB" w14:textId="77777777" w:rsidR="002D2B4F" w:rsidRPr="00401B43" w:rsidRDefault="002D2B4F" w:rsidP="002D2B4F">
            <w:pPr>
              <w:spacing w:before="0" w:after="0"/>
              <w:rPr>
                <w:rFonts w:ascii="Calibri" w:hAnsi="Calibri" w:cs="Calibri"/>
                <w:color w:val="000000"/>
                <w:sz w:val="18"/>
                <w:szCs w:val="18"/>
              </w:rPr>
            </w:pPr>
            <w:proofErr w:type="spellStart"/>
            <w:r>
              <w:rPr>
                <w:rFonts w:ascii="Calibri" w:hAnsi="Calibri" w:cs="Calibri"/>
                <w:color w:val="000000"/>
                <w:sz w:val="18"/>
                <w:szCs w:val="18"/>
              </w:rPr>
              <w:t>Negative</w:t>
            </w:r>
            <w:proofErr w:type="spellEnd"/>
            <w:r>
              <w:rPr>
                <w:rFonts w:ascii="Calibri" w:hAnsi="Calibri" w:cs="Calibri"/>
                <w:color w:val="000000"/>
                <w:sz w:val="18"/>
                <w:szCs w:val="18"/>
              </w:rPr>
              <w:t xml:space="preserve"> ctDNA</w:t>
            </w:r>
          </w:p>
        </w:tc>
        <w:tc>
          <w:tcPr>
            <w:tcW w:w="1681" w:type="dxa"/>
            <w:tcBorders>
              <w:top w:val="single" w:sz="4" w:space="0" w:color="auto"/>
              <w:bottom w:val="single" w:sz="4" w:space="0" w:color="auto"/>
            </w:tcBorders>
            <w:shd w:val="clear" w:color="auto" w:fill="D9D9D9" w:themeFill="background1" w:themeFillShade="D9"/>
            <w:noWrap/>
            <w:vAlign w:val="center"/>
            <w:hideMark/>
          </w:tcPr>
          <w:p w14:paraId="7FFC3DBC"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Positive</w:t>
            </w:r>
            <w:r w:rsidRPr="00401B43">
              <w:rPr>
                <w:rFonts w:ascii="Calibri" w:hAnsi="Calibri" w:cs="Calibri"/>
                <w:color w:val="000000"/>
                <w:sz w:val="18"/>
                <w:szCs w:val="18"/>
              </w:rPr>
              <w:t xml:space="preserve"> </w:t>
            </w:r>
            <w:r>
              <w:rPr>
                <w:rFonts w:ascii="Calibri" w:hAnsi="Calibri" w:cs="Calibri"/>
                <w:color w:val="000000"/>
                <w:sz w:val="18"/>
                <w:szCs w:val="18"/>
              </w:rPr>
              <w:t>ctDNA</w:t>
            </w:r>
          </w:p>
        </w:tc>
        <w:tc>
          <w:tcPr>
            <w:tcW w:w="887" w:type="dxa"/>
            <w:vMerge w:val="restart"/>
            <w:tcBorders>
              <w:top w:val="single" w:sz="4" w:space="0" w:color="auto"/>
            </w:tcBorders>
            <w:shd w:val="clear" w:color="auto" w:fill="D9D9D9" w:themeFill="background1" w:themeFillShade="D9"/>
          </w:tcPr>
          <w:p w14:paraId="623CF3F8" w14:textId="4754C896" w:rsidR="002D2B4F" w:rsidRDefault="002D2B4F" w:rsidP="002D2B4F">
            <w:pPr>
              <w:spacing w:before="0" w:after="0"/>
              <w:rPr>
                <w:rFonts w:ascii="Calibri" w:hAnsi="Calibri" w:cs="Calibri"/>
                <w:color w:val="000000"/>
                <w:sz w:val="18"/>
                <w:szCs w:val="18"/>
              </w:rPr>
            </w:pPr>
            <w:proofErr w:type="gramStart"/>
            <w:r>
              <w:rPr>
                <w:rFonts w:ascii="Calibri" w:hAnsi="Calibri" w:cs="Calibri"/>
                <w:color w:val="000000"/>
                <w:sz w:val="18"/>
                <w:szCs w:val="18"/>
              </w:rPr>
              <w:t>p</w:t>
            </w:r>
            <w:proofErr w:type="gramEnd"/>
          </w:p>
        </w:tc>
      </w:tr>
      <w:tr w:rsidR="002D2B4F" w:rsidRPr="00401B43" w14:paraId="263F114A" w14:textId="576866F4" w:rsidTr="002D2B4F">
        <w:trPr>
          <w:trHeight w:val="110"/>
        </w:trPr>
        <w:tc>
          <w:tcPr>
            <w:tcW w:w="3520" w:type="dxa"/>
            <w:tcBorders>
              <w:bottom w:val="single" w:sz="4" w:space="0" w:color="auto"/>
            </w:tcBorders>
            <w:shd w:val="clear" w:color="auto" w:fill="D9D9D9" w:themeFill="background1" w:themeFillShade="D9"/>
            <w:noWrap/>
            <w:vAlign w:val="center"/>
            <w:hideMark/>
          </w:tcPr>
          <w:p w14:paraId="4D533106" w14:textId="444323DE" w:rsidR="002D2B4F" w:rsidRPr="00B552F7" w:rsidRDefault="002D2B4F" w:rsidP="002D2B4F">
            <w:pPr>
              <w:spacing w:before="0" w:after="0"/>
              <w:rPr>
                <w:rFonts w:ascii="Calibri" w:hAnsi="Calibri" w:cs="Calibri"/>
                <w:color w:val="000000"/>
                <w:sz w:val="18"/>
                <w:szCs w:val="18"/>
                <w:lang w:val="en-US"/>
              </w:rPr>
            </w:pPr>
            <w:r w:rsidRPr="00B552F7">
              <w:rPr>
                <w:rFonts w:ascii="Calibri" w:hAnsi="Calibri" w:cs="Calibri"/>
                <w:color w:val="000000"/>
                <w:sz w:val="18"/>
                <w:szCs w:val="18"/>
                <w:lang w:val="en-US"/>
              </w:rPr>
              <w:t>Patient with lymph node metastas</w:t>
            </w:r>
            <w:r w:rsidR="00B552F7">
              <w:rPr>
                <w:rFonts w:ascii="Calibri" w:hAnsi="Calibri" w:cs="Calibri"/>
                <w:color w:val="000000"/>
                <w:sz w:val="18"/>
                <w:szCs w:val="18"/>
                <w:lang w:val="en-US"/>
              </w:rPr>
              <w:t>e</w:t>
            </w:r>
            <w:r w:rsidRPr="00B552F7">
              <w:rPr>
                <w:rFonts w:ascii="Calibri" w:hAnsi="Calibri" w:cs="Calibri"/>
                <w:color w:val="000000"/>
                <w:sz w:val="18"/>
                <w:szCs w:val="18"/>
                <w:lang w:val="en-US"/>
              </w:rPr>
              <w:t>s (n)</w:t>
            </w:r>
          </w:p>
        </w:tc>
        <w:tc>
          <w:tcPr>
            <w:tcW w:w="1681" w:type="dxa"/>
            <w:tcBorders>
              <w:top w:val="single" w:sz="4" w:space="0" w:color="auto"/>
              <w:bottom w:val="single" w:sz="4" w:space="0" w:color="auto"/>
            </w:tcBorders>
            <w:shd w:val="clear" w:color="auto" w:fill="D9D9D9" w:themeFill="background1" w:themeFillShade="D9"/>
            <w:vAlign w:val="bottom"/>
          </w:tcPr>
          <w:p w14:paraId="0B8C9796" w14:textId="6D6DD2E6"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27</w:t>
            </w:r>
          </w:p>
        </w:tc>
        <w:tc>
          <w:tcPr>
            <w:tcW w:w="1681" w:type="dxa"/>
            <w:tcBorders>
              <w:top w:val="single" w:sz="4" w:space="0" w:color="auto"/>
              <w:bottom w:val="single" w:sz="4" w:space="0" w:color="auto"/>
            </w:tcBorders>
            <w:shd w:val="clear" w:color="auto" w:fill="D9D9D9" w:themeFill="background1" w:themeFillShade="D9"/>
            <w:noWrap/>
            <w:vAlign w:val="center"/>
            <w:hideMark/>
          </w:tcPr>
          <w:p w14:paraId="2BA01841" w14:textId="7777777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10</w:t>
            </w:r>
          </w:p>
        </w:tc>
        <w:tc>
          <w:tcPr>
            <w:tcW w:w="1681" w:type="dxa"/>
            <w:tcBorders>
              <w:top w:val="single" w:sz="4" w:space="0" w:color="auto"/>
              <w:bottom w:val="single" w:sz="4" w:space="0" w:color="auto"/>
            </w:tcBorders>
            <w:shd w:val="clear" w:color="auto" w:fill="D9D9D9" w:themeFill="background1" w:themeFillShade="D9"/>
            <w:noWrap/>
            <w:vAlign w:val="center"/>
            <w:hideMark/>
          </w:tcPr>
          <w:p w14:paraId="37CF4962" w14:textId="38D6C642"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17</w:t>
            </w:r>
          </w:p>
        </w:tc>
        <w:tc>
          <w:tcPr>
            <w:tcW w:w="887" w:type="dxa"/>
            <w:vMerge/>
            <w:tcBorders>
              <w:bottom w:val="single" w:sz="4" w:space="0" w:color="auto"/>
            </w:tcBorders>
            <w:shd w:val="clear" w:color="auto" w:fill="D9D9D9" w:themeFill="background1" w:themeFillShade="D9"/>
          </w:tcPr>
          <w:p w14:paraId="5B429420" w14:textId="77777777" w:rsidR="002D2B4F" w:rsidRDefault="002D2B4F" w:rsidP="002D2B4F">
            <w:pPr>
              <w:spacing w:before="0" w:after="0"/>
              <w:rPr>
                <w:rFonts w:ascii="Calibri" w:hAnsi="Calibri" w:cs="Calibri"/>
                <w:color w:val="000000"/>
                <w:sz w:val="18"/>
                <w:szCs w:val="18"/>
              </w:rPr>
            </w:pPr>
          </w:p>
        </w:tc>
      </w:tr>
      <w:tr w:rsidR="002D2B4F" w:rsidRPr="00401B43" w14:paraId="55533E10" w14:textId="243988A3" w:rsidTr="00B552F7">
        <w:trPr>
          <w:trHeight w:val="110"/>
        </w:trPr>
        <w:tc>
          <w:tcPr>
            <w:tcW w:w="3520" w:type="dxa"/>
            <w:tcBorders>
              <w:top w:val="single" w:sz="4" w:space="0" w:color="auto"/>
            </w:tcBorders>
            <w:shd w:val="clear" w:color="auto" w:fill="FFFFFF" w:themeFill="background1"/>
            <w:noWrap/>
          </w:tcPr>
          <w:p w14:paraId="5C8711CF" w14:textId="34742E5A" w:rsidR="002D2B4F" w:rsidRPr="004F465E"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liver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1681" w:type="dxa"/>
            <w:tcBorders>
              <w:top w:val="single" w:sz="4" w:space="0" w:color="auto"/>
            </w:tcBorders>
            <w:shd w:val="clear" w:color="auto" w:fill="FFFFFF" w:themeFill="background1"/>
          </w:tcPr>
          <w:p w14:paraId="44C30871" w14:textId="0230BB8D"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7.0</w:t>
            </w:r>
            <w:r w:rsidRPr="00401B43">
              <w:rPr>
                <w:rFonts w:ascii="Calibri" w:hAnsi="Calibri" w:cs="Calibri"/>
                <w:color w:val="000000"/>
                <w:sz w:val="18"/>
                <w:szCs w:val="18"/>
              </w:rPr>
              <w:t xml:space="preserve"> [</w:t>
            </w:r>
            <w:r>
              <w:rPr>
                <w:rFonts w:ascii="Calibri" w:hAnsi="Calibri" w:cs="Calibri"/>
                <w:color w:val="000000"/>
                <w:sz w:val="18"/>
                <w:szCs w:val="18"/>
              </w:rPr>
              <w:t>1.5</w:t>
            </w:r>
            <w:r w:rsidRPr="00401B43">
              <w:rPr>
                <w:rFonts w:ascii="Calibri" w:hAnsi="Calibri" w:cs="Calibri"/>
                <w:color w:val="000000"/>
                <w:sz w:val="18"/>
                <w:szCs w:val="18"/>
              </w:rPr>
              <w:t xml:space="preserve">, </w:t>
            </w:r>
            <w:r>
              <w:rPr>
                <w:rFonts w:ascii="Calibri" w:hAnsi="Calibri" w:cs="Calibri"/>
                <w:color w:val="000000"/>
                <w:sz w:val="18"/>
                <w:szCs w:val="18"/>
              </w:rPr>
              <w:t>40.0</w:t>
            </w:r>
            <w:r w:rsidRPr="00401B43">
              <w:rPr>
                <w:rFonts w:ascii="Calibri" w:hAnsi="Calibri" w:cs="Calibri"/>
                <w:color w:val="000000"/>
                <w:sz w:val="18"/>
                <w:szCs w:val="18"/>
              </w:rPr>
              <w:t>]</w:t>
            </w:r>
          </w:p>
        </w:tc>
        <w:tc>
          <w:tcPr>
            <w:tcW w:w="1681" w:type="dxa"/>
            <w:tcBorders>
              <w:top w:val="single" w:sz="4" w:space="0" w:color="auto"/>
            </w:tcBorders>
            <w:shd w:val="clear" w:color="auto" w:fill="FFFFFF" w:themeFill="background1"/>
            <w:noWrap/>
          </w:tcPr>
          <w:p w14:paraId="0927B384" w14:textId="0452CF5C"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0.5</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5.0</w:t>
            </w:r>
            <w:r w:rsidRPr="00401B43">
              <w:rPr>
                <w:rFonts w:ascii="Calibri" w:hAnsi="Calibri" w:cs="Calibri"/>
                <w:color w:val="000000"/>
                <w:sz w:val="18"/>
                <w:szCs w:val="18"/>
              </w:rPr>
              <w:t>]</w:t>
            </w:r>
          </w:p>
        </w:tc>
        <w:tc>
          <w:tcPr>
            <w:tcW w:w="1681" w:type="dxa"/>
            <w:tcBorders>
              <w:top w:val="single" w:sz="4" w:space="0" w:color="auto"/>
            </w:tcBorders>
            <w:shd w:val="clear" w:color="auto" w:fill="FFFFFF" w:themeFill="background1"/>
            <w:noWrap/>
          </w:tcPr>
          <w:p w14:paraId="531E87F9" w14:textId="49BBE896"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22.0</w:t>
            </w:r>
            <w:r w:rsidRPr="00401B43">
              <w:rPr>
                <w:rFonts w:ascii="Calibri" w:hAnsi="Calibri" w:cs="Calibri"/>
                <w:color w:val="000000"/>
                <w:sz w:val="18"/>
                <w:szCs w:val="18"/>
              </w:rPr>
              <w:t xml:space="preserve"> [</w:t>
            </w:r>
            <w:r>
              <w:rPr>
                <w:rFonts w:ascii="Calibri" w:hAnsi="Calibri" w:cs="Calibri"/>
                <w:color w:val="000000"/>
                <w:sz w:val="18"/>
                <w:szCs w:val="18"/>
              </w:rPr>
              <w:t>7.0</w:t>
            </w:r>
            <w:r w:rsidRPr="00401B43">
              <w:rPr>
                <w:rFonts w:ascii="Calibri" w:hAnsi="Calibri" w:cs="Calibri"/>
                <w:color w:val="000000"/>
                <w:sz w:val="18"/>
                <w:szCs w:val="18"/>
              </w:rPr>
              <w:t xml:space="preserve">, </w:t>
            </w:r>
            <w:r>
              <w:rPr>
                <w:rFonts w:ascii="Calibri" w:hAnsi="Calibri" w:cs="Calibri"/>
                <w:color w:val="000000"/>
                <w:sz w:val="18"/>
                <w:szCs w:val="18"/>
              </w:rPr>
              <w:t>52.0</w:t>
            </w:r>
            <w:r w:rsidRPr="00401B43">
              <w:rPr>
                <w:rFonts w:ascii="Calibri" w:hAnsi="Calibri" w:cs="Calibri"/>
                <w:color w:val="000000"/>
                <w:sz w:val="18"/>
                <w:szCs w:val="18"/>
              </w:rPr>
              <w:t>]</w:t>
            </w:r>
          </w:p>
        </w:tc>
        <w:tc>
          <w:tcPr>
            <w:tcW w:w="887" w:type="dxa"/>
            <w:tcBorders>
              <w:top w:val="single" w:sz="4" w:space="0" w:color="auto"/>
            </w:tcBorders>
            <w:shd w:val="clear" w:color="auto" w:fill="FFFFFF" w:themeFill="background1"/>
          </w:tcPr>
          <w:p w14:paraId="4E3B961A" w14:textId="7C7F462F"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0.003</w:t>
            </w:r>
          </w:p>
        </w:tc>
      </w:tr>
      <w:tr w:rsidR="002D2B4F" w:rsidRPr="00401B43" w14:paraId="6F798433" w14:textId="5EFA48D2" w:rsidTr="00B552F7">
        <w:trPr>
          <w:trHeight w:val="110"/>
        </w:trPr>
        <w:tc>
          <w:tcPr>
            <w:tcW w:w="3520" w:type="dxa"/>
            <w:shd w:val="clear" w:color="auto" w:fill="D9D9D9" w:themeFill="background1" w:themeFillShade="D9"/>
            <w:noWrap/>
          </w:tcPr>
          <w:p w14:paraId="7580C726" w14:textId="12B04B33" w:rsidR="002D2B4F" w:rsidRPr="004F465E"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Liver</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1681" w:type="dxa"/>
            <w:tcBorders>
              <w:bottom w:val="single" w:sz="4" w:space="0" w:color="auto"/>
            </w:tcBorders>
            <w:shd w:val="clear" w:color="auto" w:fill="D9D9D9" w:themeFill="background1" w:themeFillShade="D9"/>
          </w:tcPr>
          <w:p w14:paraId="6864E6C0" w14:textId="78539061"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11.1</w:t>
            </w:r>
            <w:r w:rsidRPr="00401B43">
              <w:rPr>
                <w:rFonts w:ascii="Calibri" w:hAnsi="Calibri" w:cs="Calibri"/>
                <w:color w:val="000000"/>
                <w:sz w:val="18"/>
                <w:szCs w:val="18"/>
              </w:rPr>
              <w:t xml:space="preserve"> [</w:t>
            </w:r>
            <w:r>
              <w:rPr>
                <w:rFonts w:ascii="Calibri" w:hAnsi="Calibri" w:cs="Calibri"/>
                <w:color w:val="000000"/>
                <w:sz w:val="18"/>
                <w:szCs w:val="18"/>
              </w:rPr>
              <w:t>0.7</w:t>
            </w:r>
            <w:r w:rsidRPr="00401B43">
              <w:rPr>
                <w:rFonts w:ascii="Calibri" w:hAnsi="Calibri" w:cs="Calibri"/>
                <w:color w:val="000000"/>
                <w:sz w:val="18"/>
                <w:szCs w:val="18"/>
              </w:rPr>
              <w:t xml:space="preserve">, </w:t>
            </w:r>
            <w:r>
              <w:rPr>
                <w:rFonts w:ascii="Calibri" w:hAnsi="Calibri" w:cs="Calibri"/>
                <w:color w:val="000000"/>
                <w:sz w:val="18"/>
                <w:szCs w:val="18"/>
              </w:rPr>
              <w:t>98.1</w:t>
            </w:r>
            <w:r w:rsidRPr="00401B43">
              <w:rPr>
                <w:rFonts w:ascii="Calibri" w:hAnsi="Calibri" w:cs="Calibri"/>
                <w:color w:val="000000"/>
                <w:sz w:val="18"/>
                <w:szCs w:val="18"/>
              </w:rPr>
              <w:t>]</w:t>
            </w:r>
          </w:p>
        </w:tc>
        <w:tc>
          <w:tcPr>
            <w:tcW w:w="1681" w:type="dxa"/>
            <w:tcBorders>
              <w:bottom w:val="single" w:sz="4" w:space="0" w:color="auto"/>
            </w:tcBorders>
            <w:shd w:val="clear" w:color="auto" w:fill="D9D9D9" w:themeFill="background1" w:themeFillShade="D9"/>
            <w:noWrap/>
          </w:tcPr>
          <w:p w14:paraId="01F54DF6" w14:textId="6D24ECAA"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0.4</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1.8</w:t>
            </w:r>
            <w:r w:rsidRPr="00401B43">
              <w:rPr>
                <w:rFonts w:ascii="Calibri" w:hAnsi="Calibri" w:cs="Calibri"/>
                <w:color w:val="000000"/>
                <w:sz w:val="18"/>
                <w:szCs w:val="18"/>
              </w:rPr>
              <w:t>]</w:t>
            </w:r>
          </w:p>
        </w:tc>
        <w:tc>
          <w:tcPr>
            <w:tcW w:w="1681" w:type="dxa"/>
            <w:tcBorders>
              <w:bottom w:val="single" w:sz="4" w:space="0" w:color="auto"/>
            </w:tcBorders>
            <w:shd w:val="clear" w:color="auto" w:fill="D9D9D9" w:themeFill="background1" w:themeFillShade="D9"/>
            <w:noWrap/>
          </w:tcPr>
          <w:p w14:paraId="3ABC93A9" w14:textId="4980AEF2"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 xml:space="preserve"> </w:t>
            </w:r>
            <w:r>
              <w:rPr>
                <w:rFonts w:ascii="Calibri" w:hAnsi="Calibri" w:cs="Calibri"/>
                <w:color w:val="000000"/>
                <w:sz w:val="18"/>
                <w:szCs w:val="18"/>
              </w:rPr>
              <w:t xml:space="preserve">43.2 </w:t>
            </w:r>
            <w:r w:rsidRPr="00401B43">
              <w:rPr>
                <w:rFonts w:ascii="Calibri" w:hAnsi="Calibri" w:cs="Calibri"/>
                <w:color w:val="000000"/>
                <w:sz w:val="18"/>
                <w:szCs w:val="18"/>
              </w:rPr>
              <w:t>[</w:t>
            </w:r>
            <w:r>
              <w:rPr>
                <w:rFonts w:ascii="Calibri" w:hAnsi="Calibri" w:cs="Calibri"/>
                <w:color w:val="000000"/>
                <w:sz w:val="18"/>
                <w:szCs w:val="18"/>
              </w:rPr>
              <w:t>11.1</w:t>
            </w:r>
            <w:r w:rsidRPr="00401B43">
              <w:rPr>
                <w:rFonts w:ascii="Calibri" w:hAnsi="Calibri" w:cs="Calibri"/>
                <w:color w:val="000000"/>
                <w:sz w:val="18"/>
                <w:szCs w:val="18"/>
              </w:rPr>
              <w:t xml:space="preserve">, </w:t>
            </w:r>
            <w:r>
              <w:rPr>
                <w:rFonts w:ascii="Calibri" w:hAnsi="Calibri" w:cs="Calibri"/>
                <w:color w:val="000000"/>
                <w:sz w:val="18"/>
                <w:szCs w:val="18"/>
              </w:rPr>
              <w:t>171.4</w:t>
            </w:r>
            <w:r w:rsidRPr="00401B43">
              <w:rPr>
                <w:rFonts w:ascii="Calibri" w:hAnsi="Calibri" w:cs="Calibri"/>
                <w:color w:val="000000"/>
                <w:sz w:val="18"/>
                <w:szCs w:val="18"/>
              </w:rPr>
              <w:t>]</w:t>
            </w:r>
          </w:p>
        </w:tc>
        <w:tc>
          <w:tcPr>
            <w:tcW w:w="887" w:type="dxa"/>
            <w:tcBorders>
              <w:bottom w:val="single" w:sz="4" w:space="0" w:color="auto"/>
            </w:tcBorders>
            <w:shd w:val="clear" w:color="auto" w:fill="D9D9D9" w:themeFill="background1" w:themeFillShade="D9"/>
          </w:tcPr>
          <w:p w14:paraId="42C89746" w14:textId="33E77417"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0.002</w:t>
            </w:r>
          </w:p>
        </w:tc>
      </w:tr>
      <w:tr w:rsidR="002D2B4F" w:rsidRPr="00401B43" w14:paraId="014302CB" w14:textId="7BAA451E" w:rsidTr="00B552F7">
        <w:trPr>
          <w:trHeight w:val="110"/>
        </w:trPr>
        <w:tc>
          <w:tcPr>
            <w:tcW w:w="3520" w:type="dxa"/>
            <w:tcBorders>
              <w:bottom w:val="single" w:sz="4" w:space="0" w:color="auto"/>
            </w:tcBorders>
            <w:shd w:val="clear" w:color="auto" w:fill="auto"/>
            <w:noWrap/>
            <w:vAlign w:val="center"/>
          </w:tcPr>
          <w:p w14:paraId="203C9492" w14:textId="17A8C7B1" w:rsidR="002D2B4F" w:rsidRPr="004F465E" w:rsidRDefault="002D2B4F" w:rsidP="002D2B4F">
            <w:pPr>
              <w:spacing w:before="0" w:after="0"/>
              <w:rPr>
                <w:rFonts w:ascii="Calibri" w:hAnsi="Calibri" w:cs="Calibri"/>
                <w:color w:val="000000"/>
                <w:sz w:val="18"/>
                <w:szCs w:val="18"/>
                <w:lang w:val="en-US"/>
              </w:rPr>
            </w:pPr>
            <w:r w:rsidRPr="00B552F7">
              <w:rPr>
                <w:rFonts w:ascii="Calibri" w:hAnsi="Calibri" w:cs="Calibri"/>
                <w:color w:val="000000"/>
                <w:sz w:val="18"/>
                <w:szCs w:val="18"/>
                <w:lang w:val="en-US"/>
              </w:rPr>
              <w:t>Patient with peritoneal metastas</w:t>
            </w:r>
            <w:r w:rsidR="00B552F7">
              <w:rPr>
                <w:rFonts w:ascii="Calibri" w:hAnsi="Calibri" w:cs="Calibri"/>
                <w:color w:val="000000"/>
                <w:sz w:val="18"/>
                <w:szCs w:val="18"/>
                <w:lang w:val="en-US"/>
              </w:rPr>
              <w:t>e</w:t>
            </w:r>
            <w:r w:rsidRPr="00B552F7">
              <w:rPr>
                <w:rFonts w:ascii="Calibri" w:hAnsi="Calibri" w:cs="Calibri"/>
                <w:color w:val="000000"/>
                <w:sz w:val="18"/>
                <w:szCs w:val="18"/>
                <w:lang w:val="en-US"/>
              </w:rPr>
              <w:t>s (n)</w:t>
            </w:r>
          </w:p>
        </w:tc>
        <w:tc>
          <w:tcPr>
            <w:tcW w:w="1681" w:type="dxa"/>
            <w:tcBorders>
              <w:top w:val="single" w:sz="4" w:space="0" w:color="auto"/>
              <w:bottom w:val="single" w:sz="4" w:space="0" w:color="auto"/>
            </w:tcBorders>
            <w:shd w:val="clear" w:color="auto" w:fill="auto"/>
            <w:vAlign w:val="bottom"/>
          </w:tcPr>
          <w:p w14:paraId="4F1C6900" w14:textId="03A26023"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16</w:t>
            </w:r>
          </w:p>
        </w:tc>
        <w:tc>
          <w:tcPr>
            <w:tcW w:w="1681" w:type="dxa"/>
            <w:tcBorders>
              <w:top w:val="single" w:sz="4" w:space="0" w:color="auto"/>
              <w:bottom w:val="single" w:sz="4" w:space="0" w:color="auto"/>
            </w:tcBorders>
            <w:shd w:val="clear" w:color="auto" w:fill="auto"/>
            <w:noWrap/>
            <w:vAlign w:val="center"/>
          </w:tcPr>
          <w:p w14:paraId="0FF4F52D" w14:textId="3B33DECF"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w:t>
            </w:r>
          </w:p>
        </w:tc>
        <w:tc>
          <w:tcPr>
            <w:tcW w:w="1681" w:type="dxa"/>
            <w:tcBorders>
              <w:top w:val="single" w:sz="4" w:space="0" w:color="auto"/>
              <w:bottom w:val="single" w:sz="4" w:space="0" w:color="auto"/>
            </w:tcBorders>
            <w:shd w:val="clear" w:color="auto" w:fill="auto"/>
            <w:noWrap/>
            <w:vAlign w:val="center"/>
          </w:tcPr>
          <w:p w14:paraId="436E8076" w14:textId="70BE5788"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w:t>
            </w:r>
          </w:p>
        </w:tc>
        <w:tc>
          <w:tcPr>
            <w:tcW w:w="887" w:type="dxa"/>
            <w:tcBorders>
              <w:top w:val="single" w:sz="4" w:space="0" w:color="auto"/>
              <w:bottom w:val="single" w:sz="4" w:space="0" w:color="auto"/>
            </w:tcBorders>
            <w:shd w:val="clear" w:color="auto" w:fill="auto"/>
          </w:tcPr>
          <w:p w14:paraId="4E2A8D2E" w14:textId="77777777" w:rsidR="002D2B4F" w:rsidRDefault="002D2B4F" w:rsidP="002D2B4F">
            <w:pPr>
              <w:spacing w:before="0" w:after="0"/>
              <w:rPr>
                <w:rFonts w:ascii="Calibri" w:hAnsi="Calibri" w:cs="Calibri"/>
                <w:color w:val="000000"/>
                <w:sz w:val="18"/>
                <w:szCs w:val="18"/>
              </w:rPr>
            </w:pPr>
          </w:p>
        </w:tc>
      </w:tr>
      <w:tr w:rsidR="002D2B4F" w:rsidRPr="00401B43" w14:paraId="670EC0D1" w14:textId="5176EC29" w:rsidTr="00B552F7">
        <w:trPr>
          <w:trHeight w:val="110"/>
        </w:trPr>
        <w:tc>
          <w:tcPr>
            <w:tcW w:w="3520" w:type="dxa"/>
            <w:tcBorders>
              <w:top w:val="single" w:sz="4" w:space="0" w:color="auto"/>
            </w:tcBorders>
            <w:shd w:val="clear" w:color="auto" w:fill="D9D9D9" w:themeFill="background1" w:themeFillShade="D9"/>
            <w:noWrap/>
          </w:tcPr>
          <w:p w14:paraId="02CEC3A6" w14:textId="53766184" w:rsidR="002D2B4F"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liver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1681" w:type="dxa"/>
            <w:tcBorders>
              <w:top w:val="single" w:sz="4" w:space="0" w:color="auto"/>
            </w:tcBorders>
            <w:shd w:val="clear" w:color="auto" w:fill="D9D9D9" w:themeFill="background1" w:themeFillShade="D9"/>
          </w:tcPr>
          <w:p w14:paraId="513456A0" w14:textId="50338929"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5.5</w:t>
            </w:r>
            <w:r w:rsidRPr="00401B43">
              <w:rPr>
                <w:rFonts w:ascii="Calibri" w:hAnsi="Calibri" w:cs="Calibri"/>
                <w:color w:val="000000"/>
                <w:sz w:val="18"/>
                <w:szCs w:val="18"/>
              </w:rPr>
              <w:t xml:space="preserve"> [</w:t>
            </w:r>
            <w:r>
              <w:rPr>
                <w:rFonts w:ascii="Calibri" w:hAnsi="Calibri" w:cs="Calibri"/>
                <w:color w:val="000000"/>
                <w:sz w:val="18"/>
                <w:szCs w:val="18"/>
              </w:rPr>
              <w:t>0.0</w:t>
            </w:r>
            <w:r w:rsidRPr="00401B43">
              <w:rPr>
                <w:rFonts w:ascii="Calibri" w:hAnsi="Calibri" w:cs="Calibri"/>
                <w:color w:val="000000"/>
                <w:sz w:val="18"/>
                <w:szCs w:val="18"/>
              </w:rPr>
              <w:t xml:space="preserve">, </w:t>
            </w:r>
            <w:r>
              <w:rPr>
                <w:rFonts w:ascii="Calibri" w:hAnsi="Calibri" w:cs="Calibri"/>
                <w:color w:val="000000"/>
                <w:sz w:val="18"/>
                <w:szCs w:val="18"/>
              </w:rPr>
              <w:t>11.5</w:t>
            </w:r>
            <w:r w:rsidRPr="00401B43">
              <w:rPr>
                <w:rFonts w:ascii="Calibri" w:hAnsi="Calibri" w:cs="Calibri"/>
                <w:color w:val="000000"/>
                <w:sz w:val="18"/>
                <w:szCs w:val="18"/>
              </w:rPr>
              <w:t>]</w:t>
            </w:r>
          </w:p>
        </w:tc>
        <w:tc>
          <w:tcPr>
            <w:tcW w:w="1681" w:type="dxa"/>
            <w:tcBorders>
              <w:top w:val="single" w:sz="4" w:space="0" w:color="auto"/>
            </w:tcBorders>
            <w:shd w:val="clear" w:color="auto" w:fill="D9D9D9" w:themeFill="background1" w:themeFillShade="D9"/>
            <w:noWrap/>
          </w:tcPr>
          <w:p w14:paraId="5FEC1A9D" w14:textId="49C26EC3"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1.3</w:t>
            </w:r>
            <w:r w:rsidRPr="00401B43">
              <w:rPr>
                <w:rFonts w:ascii="Calibri" w:hAnsi="Calibri" w:cs="Calibri"/>
                <w:color w:val="000000"/>
                <w:sz w:val="18"/>
                <w:szCs w:val="18"/>
              </w:rPr>
              <w:t>]</w:t>
            </w:r>
          </w:p>
        </w:tc>
        <w:tc>
          <w:tcPr>
            <w:tcW w:w="1681" w:type="dxa"/>
            <w:tcBorders>
              <w:top w:val="single" w:sz="4" w:space="0" w:color="auto"/>
            </w:tcBorders>
            <w:shd w:val="clear" w:color="auto" w:fill="D9D9D9" w:themeFill="background1" w:themeFillShade="D9"/>
            <w:noWrap/>
          </w:tcPr>
          <w:p w14:paraId="7FC5EC7F" w14:textId="5D20B005"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12.0</w:t>
            </w:r>
            <w:r w:rsidRPr="00401B43">
              <w:rPr>
                <w:rFonts w:ascii="Calibri" w:hAnsi="Calibri" w:cs="Calibri"/>
                <w:color w:val="000000"/>
                <w:sz w:val="18"/>
                <w:szCs w:val="18"/>
              </w:rPr>
              <w:t xml:space="preserve"> [</w:t>
            </w:r>
            <w:r>
              <w:rPr>
                <w:rFonts w:ascii="Calibri" w:hAnsi="Calibri" w:cs="Calibri"/>
                <w:color w:val="000000"/>
                <w:sz w:val="18"/>
                <w:szCs w:val="18"/>
              </w:rPr>
              <w:t>9.0</w:t>
            </w:r>
            <w:r w:rsidRPr="00401B43">
              <w:rPr>
                <w:rFonts w:ascii="Calibri" w:hAnsi="Calibri" w:cs="Calibri"/>
                <w:color w:val="000000"/>
                <w:sz w:val="18"/>
                <w:szCs w:val="18"/>
              </w:rPr>
              <w:t xml:space="preserve">, </w:t>
            </w:r>
            <w:r>
              <w:rPr>
                <w:rFonts w:ascii="Calibri" w:hAnsi="Calibri" w:cs="Calibri"/>
                <w:color w:val="000000"/>
                <w:sz w:val="18"/>
                <w:szCs w:val="18"/>
              </w:rPr>
              <w:t>21.5</w:t>
            </w:r>
            <w:r w:rsidRPr="00401B43">
              <w:rPr>
                <w:rFonts w:ascii="Calibri" w:hAnsi="Calibri" w:cs="Calibri"/>
                <w:color w:val="000000"/>
                <w:sz w:val="18"/>
                <w:szCs w:val="18"/>
              </w:rPr>
              <w:t>]</w:t>
            </w:r>
          </w:p>
        </w:tc>
        <w:tc>
          <w:tcPr>
            <w:tcW w:w="887" w:type="dxa"/>
            <w:tcBorders>
              <w:top w:val="single" w:sz="4" w:space="0" w:color="auto"/>
            </w:tcBorders>
            <w:shd w:val="clear" w:color="auto" w:fill="D9D9D9" w:themeFill="background1" w:themeFillShade="D9"/>
          </w:tcPr>
          <w:p w14:paraId="5A4EC18D" w14:textId="6657D6EE"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0.002</w:t>
            </w:r>
          </w:p>
        </w:tc>
      </w:tr>
      <w:tr w:rsidR="002D2B4F" w:rsidRPr="00401B43" w14:paraId="5D9354F2" w14:textId="1A642434" w:rsidTr="00B552F7">
        <w:trPr>
          <w:trHeight w:val="110"/>
        </w:trPr>
        <w:tc>
          <w:tcPr>
            <w:tcW w:w="3520" w:type="dxa"/>
            <w:shd w:val="clear" w:color="auto" w:fill="auto"/>
            <w:noWrap/>
          </w:tcPr>
          <w:p w14:paraId="3C07F55B" w14:textId="586B8272" w:rsidR="002D2B4F"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Liver</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1681" w:type="dxa"/>
            <w:tcBorders>
              <w:bottom w:val="single" w:sz="4" w:space="0" w:color="auto"/>
            </w:tcBorders>
            <w:shd w:val="clear" w:color="auto" w:fill="auto"/>
          </w:tcPr>
          <w:p w14:paraId="185C7F53" w14:textId="35BB243C"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8.6</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15.2</w:t>
            </w:r>
            <w:r w:rsidRPr="00401B43">
              <w:rPr>
                <w:rFonts w:ascii="Calibri" w:hAnsi="Calibri" w:cs="Calibri"/>
                <w:color w:val="000000"/>
                <w:sz w:val="18"/>
                <w:szCs w:val="18"/>
              </w:rPr>
              <w:t>]</w:t>
            </w:r>
          </w:p>
        </w:tc>
        <w:tc>
          <w:tcPr>
            <w:tcW w:w="1681" w:type="dxa"/>
            <w:tcBorders>
              <w:bottom w:val="single" w:sz="4" w:space="0" w:color="auto"/>
            </w:tcBorders>
            <w:shd w:val="clear" w:color="auto" w:fill="auto"/>
            <w:noWrap/>
          </w:tcPr>
          <w:p w14:paraId="2F8D4FC5" w14:textId="7D38235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1.5</w:t>
            </w:r>
            <w:r w:rsidRPr="00401B43">
              <w:rPr>
                <w:rFonts w:ascii="Calibri" w:hAnsi="Calibri" w:cs="Calibri"/>
                <w:color w:val="000000"/>
                <w:sz w:val="18"/>
                <w:szCs w:val="18"/>
              </w:rPr>
              <w:t>]</w:t>
            </w:r>
          </w:p>
        </w:tc>
        <w:tc>
          <w:tcPr>
            <w:tcW w:w="1681" w:type="dxa"/>
            <w:tcBorders>
              <w:bottom w:val="single" w:sz="4" w:space="0" w:color="auto"/>
            </w:tcBorders>
            <w:shd w:val="clear" w:color="auto" w:fill="auto"/>
            <w:noWrap/>
          </w:tcPr>
          <w:p w14:paraId="5B3A1062" w14:textId="29E97424"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 xml:space="preserve">16.0 </w:t>
            </w:r>
            <w:r w:rsidRPr="00401B43">
              <w:rPr>
                <w:rFonts w:ascii="Calibri" w:hAnsi="Calibri" w:cs="Calibri"/>
                <w:color w:val="000000"/>
                <w:sz w:val="18"/>
                <w:szCs w:val="18"/>
              </w:rPr>
              <w:t>[</w:t>
            </w:r>
            <w:r>
              <w:rPr>
                <w:rFonts w:ascii="Calibri" w:hAnsi="Calibri" w:cs="Calibri"/>
                <w:color w:val="000000"/>
                <w:sz w:val="18"/>
                <w:szCs w:val="18"/>
              </w:rPr>
              <w:t>13.1</w:t>
            </w:r>
            <w:r w:rsidRPr="00401B43">
              <w:rPr>
                <w:rFonts w:ascii="Calibri" w:hAnsi="Calibri" w:cs="Calibri"/>
                <w:color w:val="000000"/>
                <w:sz w:val="18"/>
                <w:szCs w:val="18"/>
              </w:rPr>
              <w:t xml:space="preserve">, </w:t>
            </w:r>
            <w:r>
              <w:rPr>
                <w:rFonts w:ascii="Calibri" w:hAnsi="Calibri" w:cs="Calibri"/>
                <w:color w:val="000000"/>
                <w:sz w:val="18"/>
                <w:szCs w:val="18"/>
              </w:rPr>
              <w:t>110.8</w:t>
            </w:r>
            <w:r w:rsidRPr="00401B43">
              <w:rPr>
                <w:rFonts w:ascii="Calibri" w:hAnsi="Calibri" w:cs="Calibri"/>
                <w:color w:val="000000"/>
                <w:sz w:val="18"/>
                <w:szCs w:val="18"/>
              </w:rPr>
              <w:t>]</w:t>
            </w:r>
          </w:p>
        </w:tc>
        <w:tc>
          <w:tcPr>
            <w:tcW w:w="887" w:type="dxa"/>
            <w:tcBorders>
              <w:bottom w:val="single" w:sz="4" w:space="0" w:color="auto"/>
            </w:tcBorders>
            <w:shd w:val="clear" w:color="auto" w:fill="auto"/>
          </w:tcPr>
          <w:p w14:paraId="0ECD9A89" w14:textId="05AD4573"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0.001</w:t>
            </w:r>
          </w:p>
        </w:tc>
      </w:tr>
      <w:tr w:rsidR="002D2B4F" w:rsidRPr="00401B43" w14:paraId="19180DD1" w14:textId="2D82AD8A" w:rsidTr="00B552F7">
        <w:trPr>
          <w:trHeight w:val="110"/>
        </w:trPr>
        <w:tc>
          <w:tcPr>
            <w:tcW w:w="3520" w:type="dxa"/>
            <w:tcBorders>
              <w:bottom w:val="single" w:sz="4" w:space="0" w:color="auto"/>
            </w:tcBorders>
            <w:shd w:val="clear" w:color="auto" w:fill="D9D9D9" w:themeFill="background1" w:themeFillShade="D9"/>
            <w:noWrap/>
            <w:vAlign w:val="center"/>
          </w:tcPr>
          <w:p w14:paraId="3606DB38" w14:textId="73CB06E4" w:rsidR="002D2B4F" w:rsidRDefault="002D2B4F" w:rsidP="002D2B4F">
            <w:pPr>
              <w:spacing w:before="0" w:after="0"/>
              <w:rPr>
                <w:rFonts w:ascii="Calibri" w:hAnsi="Calibri" w:cs="Calibri"/>
                <w:color w:val="000000"/>
                <w:sz w:val="18"/>
                <w:szCs w:val="18"/>
                <w:lang w:val="en-US"/>
              </w:rPr>
            </w:pPr>
            <w:r w:rsidRPr="00B552F7">
              <w:rPr>
                <w:rFonts w:ascii="Calibri" w:hAnsi="Calibri" w:cs="Calibri"/>
                <w:color w:val="000000"/>
                <w:sz w:val="18"/>
                <w:szCs w:val="18"/>
                <w:lang w:val="en-US"/>
              </w:rPr>
              <w:t>Patient with pulmonary metastas</w:t>
            </w:r>
            <w:r w:rsidR="00B552F7">
              <w:rPr>
                <w:rFonts w:ascii="Calibri" w:hAnsi="Calibri" w:cs="Calibri"/>
                <w:color w:val="000000"/>
                <w:sz w:val="18"/>
                <w:szCs w:val="18"/>
                <w:lang w:val="en-US"/>
              </w:rPr>
              <w:t>e</w:t>
            </w:r>
            <w:r w:rsidRPr="00B552F7">
              <w:rPr>
                <w:rFonts w:ascii="Calibri" w:hAnsi="Calibri" w:cs="Calibri"/>
                <w:color w:val="000000"/>
                <w:sz w:val="18"/>
                <w:szCs w:val="18"/>
                <w:lang w:val="en-US"/>
              </w:rPr>
              <w:t>s (n)</w:t>
            </w:r>
          </w:p>
        </w:tc>
        <w:tc>
          <w:tcPr>
            <w:tcW w:w="1681" w:type="dxa"/>
            <w:tcBorders>
              <w:top w:val="single" w:sz="4" w:space="0" w:color="auto"/>
              <w:bottom w:val="single" w:sz="4" w:space="0" w:color="auto"/>
            </w:tcBorders>
            <w:shd w:val="clear" w:color="auto" w:fill="D9D9D9" w:themeFill="background1" w:themeFillShade="D9"/>
            <w:vAlign w:val="bottom"/>
          </w:tcPr>
          <w:p w14:paraId="4014B2A9" w14:textId="0BA2D8DE"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14</w:t>
            </w:r>
          </w:p>
        </w:tc>
        <w:tc>
          <w:tcPr>
            <w:tcW w:w="1681" w:type="dxa"/>
            <w:tcBorders>
              <w:top w:val="single" w:sz="4" w:space="0" w:color="auto"/>
              <w:bottom w:val="single" w:sz="4" w:space="0" w:color="auto"/>
            </w:tcBorders>
            <w:shd w:val="clear" w:color="auto" w:fill="D9D9D9" w:themeFill="background1" w:themeFillShade="D9"/>
            <w:noWrap/>
            <w:vAlign w:val="center"/>
          </w:tcPr>
          <w:p w14:paraId="7516C386" w14:textId="7913631E"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6</w:t>
            </w:r>
          </w:p>
        </w:tc>
        <w:tc>
          <w:tcPr>
            <w:tcW w:w="1681" w:type="dxa"/>
            <w:tcBorders>
              <w:top w:val="single" w:sz="4" w:space="0" w:color="auto"/>
              <w:bottom w:val="single" w:sz="4" w:space="0" w:color="auto"/>
            </w:tcBorders>
            <w:shd w:val="clear" w:color="auto" w:fill="D9D9D9" w:themeFill="background1" w:themeFillShade="D9"/>
            <w:noWrap/>
            <w:vAlign w:val="center"/>
          </w:tcPr>
          <w:p w14:paraId="0557EC7C" w14:textId="1477765A"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8</w:t>
            </w:r>
          </w:p>
        </w:tc>
        <w:tc>
          <w:tcPr>
            <w:tcW w:w="887" w:type="dxa"/>
            <w:tcBorders>
              <w:top w:val="single" w:sz="4" w:space="0" w:color="auto"/>
              <w:bottom w:val="single" w:sz="4" w:space="0" w:color="auto"/>
            </w:tcBorders>
            <w:shd w:val="clear" w:color="auto" w:fill="D9D9D9" w:themeFill="background1" w:themeFillShade="D9"/>
          </w:tcPr>
          <w:p w14:paraId="09485E21" w14:textId="77777777" w:rsidR="002D2B4F" w:rsidRDefault="002D2B4F" w:rsidP="002D2B4F">
            <w:pPr>
              <w:spacing w:before="0" w:after="0"/>
              <w:rPr>
                <w:rFonts w:ascii="Calibri" w:hAnsi="Calibri" w:cs="Calibri"/>
                <w:color w:val="000000"/>
                <w:sz w:val="18"/>
                <w:szCs w:val="18"/>
              </w:rPr>
            </w:pPr>
          </w:p>
        </w:tc>
      </w:tr>
      <w:tr w:rsidR="002D2B4F" w:rsidRPr="00401B43" w14:paraId="6686F575" w14:textId="384FC70B" w:rsidTr="00B552F7">
        <w:trPr>
          <w:trHeight w:val="418"/>
        </w:trPr>
        <w:tc>
          <w:tcPr>
            <w:tcW w:w="3520" w:type="dxa"/>
            <w:tcBorders>
              <w:top w:val="single" w:sz="4" w:space="0" w:color="auto"/>
            </w:tcBorders>
            <w:shd w:val="clear" w:color="auto" w:fill="auto"/>
            <w:noWrap/>
          </w:tcPr>
          <w:p w14:paraId="4AD6CA51" w14:textId="2ECBBE49" w:rsidR="002D2B4F" w:rsidRDefault="002D2B4F" w:rsidP="002D2B4F">
            <w:pPr>
              <w:spacing w:before="0" w:after="0"/>
              <w:rPr>
                <w:rFonts w:ascii="Calibri" w:hAnsi="Calibri" w:cs="Calibri"/>
                <w:color w:val="000000"/>
                <w:sz w:val="18"/>
                <w:szCs w:val="18"/>
                <w:lang w:val="en-US"/>
              </w:rPr>
            </w:pPr>
            <w:r w:rsidRPr="004F465E">
              <w:rPr>
                <w:rFonts w:ascii="Calibri" w:hAnsi="Calibri" w:cs="Calibri"/>
                <w:color w:val="000000"/>
                <w:sz w:val="18"/>
                <w:szCs w:val="18"/>
                <w:lang w:val="en-US"/>
              </w:rPr>
              <w:t xml:space="preserve">Number of liver lesions </w:t>
            </w:r>
            <w:r>
              <w:rPr>
                <w:rFonts w:ascii="Calibri" w:hAnsi="Calibri" w:cs="Calibri"/>
                <w:color w:val="000000"/>
                <w:sz w:val="18"/>
                <w:szCs w:val="18"/>
                <w:lang w:val="en-US"/>
              </w:rPr>
              <w:t>(</w:t>
            </w:r>
            <w:r w:rsidRPr="004F465E">
              <w:rPr>
                <w:rFonts w:ascii="Calibri" w:hAnsi="Calibri" w:cs="Calibri"/>
                <w:color w:val="000000"/>
                <w:sz w:val="18"/>
                <w:szCs w:val="18"/>
                <w:lang w:val="en-US"/>
              </w:rPr>
              <w:t>median [IQ])</w:t>
            </w:r>
          </w:p>
        </w:tc>
        <w:tc>
          <w:tcPr>
            <w:tcW w:w="1681" w:type="dxa"/>
            <w:tcBorders>
              <w:top w:val="single" w:sz="4" w:space="0" w:color="auto"/>
            </w:tcBorders>
            <w:shd w:val="clear" w:color="auto" w:fill="auto"/>
          </w:tcPr>
          <w:p w14:paraId="2D1C5287" w14:textId="5EBA8561"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7.0</w:t>
            </w:r>
            <w:r w:rsidRPr="00401B43">
              <w:rPr>
                <w:rFonts w:ascii="Calibri" w:hAnsi="Calibri" w:cs="Calibri"/>
                <w:color w:val="000000"/>
                <w:sz w:val="18"/>
                <w:szCs w:val="18"/>
              </w:rPr>
              <w:t xml:space="preserve"> [0</w:t>
            </w:r>
            <w:r>
              <w:rPr>
                <w:rFonts w:ascii="Calibri" w:hAnsi="Calibri" w:cs="Calibri"/>
                <w:color w:val="000000"/>
                <w:sz w:val="18"/>
                <w:szCs w:val="18"/>
              </w:rPr>
              <w:t>.3</w:t>
            </w:r>
            <w:r w:rsidRPr="00401B43">
              <w:rPr>
                <w:rFonts w:ascii="Calibri" w:hAnsi="Calibri" w:cs="Calibri"/>
                <w:color w:val="000000"/>
                <w:sz w:val="18"/>
                <w:szCs w:val="18"/>
              </w:rPr>
              <w:t xml:space="preserve">, </w:t>
            </w:r>
            <w:r>
              <w:rPr>
                <w:rFonts w:ascii="Calibri" w:hAnsi="Calibri" w:cs="Calibri"/>
                <w:color w:val="000000"/>
                <w:sz w:val="18"/>
                <w:szCs w:val="18"/>
              </w:rPr>
              <w:t>17.5</w:t>
            </w:r>
            <w:r w:rsidRPr="00401B43">
              <w:rPr>
                <w:rFonts w:ascii="Calibri" w:hAnsi="Calibri" w:cs="Calibri"/>
                <w:color w:val="000000"/>
                <w:sz w:val="18"/>
                <w:szCs w:val="18"/>
              </w:rPr>
              <w:t>]</w:t>
            </w:r>
          </w:p>
        </w:tc>
        <w:tc>
          <w:tcPr>
            <w:tcW w:w="1681" w:type="dxa"/>
            <w:tcBorders>
              <w:top w:val="single" w:sz="4" w:space="0" w:color="auto"/>
            </w:tcBorders>
            <w:shd w:val="clear" w:color="auto" w:fill="auto"/>
            <w:noWrap/>
          </w:tcPr>
          <w:p w14:paraId="3296DB5D" w14:textId="0AFC0343"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0.0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0.8</w:t>
            </w:r>
            <w:r w:rsidRPr="00401B43">
              <w:rPr>
                <w:rFonts w:ascii="Calibri" w:hAnsi="Calibri" w:cs="Calibri"/>
                <w:color w:val="000000"/>
                <w:sz w:val="18"/>
                <w:szCs w:val="18"/>
              </w:rPr>
              <w:t>]</w:t>
            </w:r>
          </w:p>
        </w:tc>
        <w:tc>
          <w:tcPr>
            <w:tcW w:w="1681" w:type="dxa"/>
            <w:tcBorders>
              <w:top w:val="single" w:sz="4" w:space="0" w:color="auto"/>
            </w:tcBorders>
            <w:shd w:val="clear" w:color="auto" w:fill="auto"/>
            <w:noWrap/>
          </w:tcPr>
          <w:p w14:paraId="606A3BDA" w14:textId="6FCB52F7"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17.0</w:t>
            </w:r>
            <w:r w:rsidRPr="00401B43">
              <w:rPr>
                <w:rFonts w:ascii="Calibri" w:hAnsi="Calibri" w:cs="Calibri"/>
                <w:color w:val="000000"/>
                <w:sz w:val="18"/>
                <w:szCs w:val="18"/>
              </w:rPr>
              <w:t xml:space="preserve"> [</w:t>
            </w:r>
            <w:r>
              <w:rPr>
                <w:rFonts w:ascii="Calibri" w:hAnsi="Calibri" w:cs="Calibri"/>
                <w:color w:val="000000"/>
                <w:sz w:val="18"/>
                <w:szCs w:val="18"/>
              </w:rPr>
              <w:t>11.5</w:t>
            </w:r>
            <w:r w:rsidRPr="00401B43">
              <w:rPr>
                <w:rFonts w:ascii="Calibri" w:hAnsi="Calibri" w:cs="Calibri"/>
                <w:color w:val="000000"/>
                <w:sz w:val="18"/>
                <w:szCs w:val="18"/>
              </w:rPr>
              <w:t xml:space="preserve">, </w:t>
            </w:r>
            <w:r>
              <w:rPr>
                <w:rFonts w:ascii="Calibri" w:hAnsi="Calibri" w:cs="Calibri"/>
                <w:color w:val="000000"/>
                <w:sz w:val="18"/>
                <w:szCs w:val="18"/>
              </w:rPr>
              <w:t>48.8</w:t>
            </w:r>
            <w:r w:rsidRPr="00401B43">
              <w:rPr>
                <w:rFonts w:ascii="Calibri" w:hAnsi="Calibri" w:cs="Calibri"/>
                <w:color w:val="000000"/>
                <w:sz w:val="18"/>
                <w:szCs w:val="18"/>
              </w:rPr>
              <w:t>]</w:t>
            </w:r>
          </w:p>
        </w:tc>
        <w:tc>
          <w:tcPr>
            <w:tcW w:w="887" w:type="dxa"/>
            <w:tcBorders>
              <w:top w:val="single" w:sz="4" w:space="0" w:color="auto"/>
            </w:tcBorders>
            <w:shd w:val="clear" w:color="auto" w:fill="auto"/>
          </w:tcPr>
          <w:p w14:paraId="6793CD88" w14:textId="03E1826A"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0.002</w:t>
            </w:r>
          </w:p>
        </w:tc>
      </w:tr>
      <w:tr w:rsidR="002D2B4F" w:rsidRPr="00401B43" w14:paraId="6A37748F" w14:textId="2C40C0C3" w:rsidTr="00B552F7">
        <w:trPr>
          <w:trHeight w:val="110"/>
        </w:trPr>
        <w:tc>
          <w:tcPr>
            <w:tcW w:w="3520" w:type="dxa"/>
            <w:shd w:val="clear" w:color="auto" w:fill="D9D9D9" w:themeFill="background1" w:themeFillShade="D9"/>
            <w:noWrap/>
          </w:tcPr>
          <w:p w14:paraId="62836C7B" w14:textId="070279C7" w:rsidR="002D2B4F" w:rsidRDefault="002D2B4F" w:rsidP="002D2B4F">
            <w:pPr>
              <w:spacing w:before="0" w:after="0"/>
              <w:rPr>
                <w:rFonts w:ascii="Calibri" w:hAnsi="Calibri" w:cs="Calibri"/>
                <w:color w:val="000000"/>
                <w:sz w:val="18"/>
                <w:szCs w:val="18"/>
                <w:lang w:val="en-US"/>
              </w:rPr>
            </w:pPr>
            <w:r>
              <w:rPr>
                <w:rFonts w:ascii="Calibri" w:hAnsi="Calibri" w:cs="Calibri"/>
                <w:color w:val="000000"/>
                <w:sz w:val="18"/>
                <w:szCs w:val="18"/>
                <w:lang w:val="en-US"/>
              </w:rPr>
              <w:t>Liver</w:t>
            </w:r>
            <w:r w:rsidRPr="004F465E">
              <w:rPr>
                <w:rFonts w:ascii="Calibri" w:hAnsi="Calibri" w:cs="Calibri"/>
                <w:color w:val="000000"/>
                <w:sz w:val="18"/>
                <w:szCs w:val="18"/>
                <w:lang w:val="en-US"/>
              </w:rPr>
              <w:t xml:space="preserve"> tumor volum</w:t>
            </w:r>
            <w:r>
              <w:rPr>
                <w:rFonts w:ascii="Calibri" w:hAnsi="Calibri" w:cs="Calibri"/>
                <w:color w:val="000000"/>
                <w:sz w:val="18"/>
                <w:szCs w:val="18"/>
                <w:lang w:val="en-US"/>
              </w:rPr>
              <w:t>e</w:t>
            </w:r>
            <w:r w:rsidRPr="004F465E">
              <w:rPr>
                <w:rFonts w:ascii="Calibri" w:hAnsi="Calibri" w:cs="Calibri"/>
                <w:color w:val="000000"/>
                <w:sz w:val="18"/>
                <w:szCs w:val="18"/>
                <w:lang w:val="en-US"/>
              </w:rPr>
              <w:t xml:space="preserve"> (mL) (median [IQ])</w:t>
            </w:r>
          </w:p>
        </w:tc>
        <w:tc>
          <w:tcPr>
            <w:tcW w:w="1681" w:type="dxa"/>
            <w:shd w:val="clear" w:color="auto" w:fill="D9D9D9" w:themeFill="background1" w:themeFillShade="D9"/>
          </w:tcPr>
          <w:p w14:paraId="66E5A8DC" w14:textId="1C83DAE2"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12.8</w:t>
            </w:r>
            <w:r w:rsidRPr="00401B43">
              <w:rPr>
                <w:rFonts w:ascii="Calibri" w:hAnsi="Calibri" w:cs="Calibri"/>
                <w:color w:val="000000"/>
                <w:sz w:val="18"/>
                <w:szCs w:val="18"/>
              </w:rPr>
              <w:t xml:space="preserve"> [0</w:t>
            </w:r>
            <w:r>
              <w:rPr>
                <w:rFonts w:ascii="Calibri" w:hAnsi="Calibri" w:cs="Calibri"/>
                <w:color w:val="000000"/>
                <w:sz w:val="18"/>
                <w:szCs w:val="18"/>
              </w:rPr>
              <w:t>.1</w:t>
            </w:r>
            <w:r w:rsidRPr="00401B43">
              <w:rPr>
                <w:rFonts w:ascii="Calibri" w:hAnsi="Calibri" w:cs="Calibri"/>
                <w:color w:val="000000"/>
                <w:sz w:val="18"/>
                <w:szCs w:val="18"/>
              </w:rPr>
              <w:t xml:space="preserve">, </w:t>
            </w:r>
            <w:r>
              <w:rPr>
                <w:rFonts w:ascii="Calibri" w:hAnsi="Calibri" w:cs="Calibri"/>
                <w:color w:val="000000"/>
                <w:sz w:val="18"/>
                <w:szCs w:val="18"/>
              </w:rPr>
              <w:t>109.7</w:t>
            </w:r>
            <w:r w:rsidRPr="00401B43">
              <w:rPr>
                <w:rFonts w:ascii="Calibri" w:hAnsi="Calibri" w:cs="Calibri"/>
                <w:color w:val="000000"/>
                <w:sz w:val="18"/>
                <w:szCs w:val="18"/>
              </w:rPr>
              <w:t>]</w:t>
            </w:r>
          </w:p>
        </w:tc>
        <w:tc>
          <w:tcPr>
            <w:tcW w:w="1681" w:type="dxa"/>
            <w:shd w:val="clear" w:color="auto" w:fill="D9D9D9" w:themeFill="background1" w:themeFillShade="D9"/>
            <w:noWrap/>
          </w:tcPr>
          <w:p w14:paraId="138BFBA2" w14:textId="68527759" w:rsidR="002D2B4F" w:rsidRPr="00401B43" w:rsidRDefault="002D2B4F" w:rsidP="002D2B4F">
            <w:pPr>
              <w:spacing w:before="0" w:after="0"/>
              <w:rPr>
                <w:rFonts w:ascii="Calibri" w:hAnsi="Calibri" w:cs="Calibri"/>
                <w:color w:val="000000"/>
                <w:sz w:val="18"/>
                <w:szCs w:val="18"/>
              </w:rPr>
            </w:pPr>
            <w:r w:rsidRPr="00401B43">
              <w:rPr>
                <w:rFonts w:ascii="Calibri" w:hAnsi="Calibri" w:cs="Calibri"/>
                <w:color w:val="000000"/>
                <w:sz w:val="18"/>
                <w:szCs w:val="18"/>
              </w:rPr>
              <w:t>0</w:t>
            </w:r>
            <w:r>
              <w:rPr>
                <w:rFonts w:ascii="Calibri" w:hAnsi="Calibri" w:cs="Calibri"/>
                <w:color w:val="000000"/>
                <w:sz w:val="18"/>
                <w:szCs w:val="18"/>
              </w:rPr>
              <w:t>.0</w:t>
            </w:r>
            <w:r w:rsidRPr="00401B43">
              <w:rPr>
                <w:rFonts w:ascii="Calibri" w:hAnsi="Calibri" w:cs="Calibri"/>
                <w:color w:val="000000"/>
                <w:sz w:val="18"/>
                <w:szCs w:val="18"/>
              </w:rPr>
              <w:t xml:space="preserve"> [0</w:t>
            </w:r>
            <w:r>
              <w:rPr>
                <w:rFonts w:ascii="Calibri" w:hAnsi="Calibri" w:cs="Calibri"/>
                <w:color w:val="000000"/>
                <w:sz w:val="18"/>
                <w:szCs w:val="18"/>
              </w:rPr>
              <w:t>.</w:t>
            </w:r>
            <w:r w:rsidRPr="00401B43">
              <w:rPr>
                <w:rFonts w:ascii="Calibri" w:hAnsi="Calibri" w:cs="Calibri"/>
                <w:color w:val="000000"/>
                <w:sz w:val="18"/>
                <w:szCs w:val="18"/>
              </w:rPr>
              <w:t xml:space="preserve">0, </w:t>
            </w:r>
            <w:r>
              <w:rPr>
                <w:rFonts w:ascii="Calibri" w:hAnsi="Calibri" w:cs="Calibri"/>
                <w:color w:val="000000"/>
                <w:sz w:val="18"/>
                <w:szCs w:val="18"/>
              </w:rPr>
              <w:t>0.3</w:t>
            </w:r>
            <w:r w:rsidRPr="00401B43">
              <w:rPr>
                <w:rFonts w:ascii="Calibri" w:hAnsi="Calibri" w:cs="Calibri"/>
                <w:color w:val="000000"/>
                <w:sz w:val="18"/>
                <w:szCs w:val="18"/>
              </w:rPr>
              <w:t>]</w:t>
            </w:r>
          </w:p>
        </w:tc>
        <w:tc>
          <w:tcPr>
            <w:tcW w:w="1681" w:type="dxa"/>
            <w:shd w:val="clear" w:color="auto" w:fill="D9D9D9" w:themeFill="background1" w:themeFillShade="D9"/>
            <w:noWrap/>
          </w:tcPr>
          <w:p w14:paraId="7C41250E" w14:textId="4FE9F5E8" w:rsidR="002D2B4F" w:rsidRPr="00401B43" w:rsidRDefault="002D2B4F" w:rsidP="002D2B4F">
            <w:pPr>
              <w:spacing w:before="0" w:after="0"/>
              <w:rPr>
                <w:rFonts w:ascii="Calibri" w:hAnsi="Calibri" w:cs="Calibri"/>
                <w:color w:val="000000"/>
                <w:sz w:val="18"/>
                <w:szCs w:val="18"/>
              </w:rPr>
            </w:pPr>
            <w:r>
              <w:rPr>
                <w:rFonts w:ascii="Calibri" w:hAnsi="Calibri" w:cs="Calibri"/>
                <w:color w:val="000000"/>
                <w:sz w:val="18"/>
                <w:szCs w:val="18"/>
              </w:rPr>
              <w:t xml:space="preserve">100.9 </w:t>
            </w:r>
            <w:r w:rsidRPr="00401B43">
              <w:rPr>
                <w:rFonts w:ascii="Calibri" w:hAnsi="Calibri" w:cs="Calibri"/>
                <w:color w:val="000000"/>
                <w:sz w:val="18"/>
                <w:szCs w:val="18"/>
              </w:rPr>
              <w:t>[</w:t>
            </w:r>
            <w:r>
              <w:rPr>
                <w:rFonts w:ascii="Calibri" w:hAnsi="Calibri" w:cs="Calibri"/>
                <w:color w:val="000000"/>
                <w:sz w:val="18"/>
                <w:szCs w:val="18"/>
              </w:rPr>
              <w:t>25.1</w:t>
            </w:r>
            <w:r w:rsidRPr="00401B43">
              <w:rPr>
                <w:rFonts w:ascii="Calibri" w:hAnsi="Calibri" w:cs="Calibri"/>
                <w:color w:val="000000"/>
                <w:sz w:val="18"/>
                <w:szCs w:val="18"/>
              </w:rPr>
              <w:t xml:space="preserve">, </w:t>
            </w:r>
            <w:r>
              <w:rPr>
                <w:rFonts w:ascii="Calibri" w:hAnsi="Calibri" w:cs="Calibri"/>
                <w:color w:val="000000"/>
                <w:sz w:val="18"/>
                <w:szCs w:val="18"/>
              </w:rPr>
              <w:t>151.3</w:t>
            </w:r>
            <w:r w:rsidRPr="00401B43">
              <w:rPr>
                <w:rFonts w:ascii="Calibri" w:hAnsi="Calibri" w:cs="Calibri"/>
                <w:color w:val="000000"/>
                <w:sz w:val="18"/>
                <w:szCs w:val="18"/>
              </w:rPr>
              <w:t>]</w:t>
            </w:r>
          </w:p>
        </w:tc>
        <w:tc>
          <w:tcPr>
            <w:tcW w:w="887" w:type="dxa"/>
            <w:shd w:val="clear" w:color="auto" w:fill="D9D9D9" w:themeFill="background1" w:themeFillShade="D9"/>
          </w:tcPr>
          <w:p w14:paraId="4B2FB0F6" w14:textId="4A5CCEAC" w:rsidR="002D2B4F" w:rsidRDefault="002D2B4F" w:rsidP="002D2B4F">
            <w:pPr>
              <w:spacing w:before="0" w:after="0"/>
              <w:rPr>
                <w:rFonts w:ascii="Calibri" w:hAnsi="Calibri" w:cs="Calibri"/>
                <w:color w:val="000000"/>
                <w:sz w:val="18"/>
                <w:szCs w:val="18"/>
              </w:rPr>
            </w:pPr>
            <w:r>
              <w:rPr>
                <w:rFonts w:ascii="Calibri" w:hAnsi="Calibri" w:cs="Calibri"/>
                <w:color w:val="000000"/>
                <w:sz w:val="18"/>
                <w:szCs w:val="18"/>
              </w:rPr>
              <w:t>0.002</w:t>
            </w:r>
          </w:p>
        </w:tc>
      </w:tr>
    </w:tbl>
    <w:p w14:paraId="05DDF36E" w14:textId="2ED069DA" w:rsidR="002D2B4F" w:rsidRDefault="002D2B4F" w:rsidP="006F5E67">
      <w:pPr>
        <w:spacing w:line="480" w:lineRule="auto"/>
        <w:rPr>
          <w:lang w:val="en-US"/>
        </w:rPr>
      </w:pPr>
    </w:p>
    <w:p w14:paraId="0C798E17" w14:textId="6E0751DD" w:rsidR="00FB7721" w:rsidRDefault="00FB7721">
      <w:pPr>
        <w:spacing w:before="0" w:after="0" w:line="240" w:lineRule="auto"/>
        <w:jc w:val="left"/>
        <w:rPr>
          <w:lang w:val="en-US"/>
        </w:rPr>
      </w:pPr>
      <w:r>
        <w:rPr>
          <w:lang w:val="en-US"/>
        </w:rPr>
        <w:br w:type="page"/>
      </w:r>
    </w:p>
    <w:p w14:paraId="351DCA9A" w14:textId="4B098347" w:rsidR="003A66AC" w:rsidRDefault="003A66AC" w:rsidP="003A66AC">
      <w:pPr>
        <w:spacing w:line="480" w:lineRule="auto"/>
        <w:rPr>
          <w:lang w:val="en-US"/>
        </w:rPr>
      </w:pPr>
      <w:r>
        <w:rPr>
          <w:lang w:val="en-US"/>
        </w:rPr>
        <w:lastRenderedPageBreak/>
        <w:t>Supplementary File: detailed method</w:t>
      </w:r>
    </w:p>
    <w:p w14:paraId="1C2DFF3E" w14:textId="70AFA63D" w:rsidR="00835E6E" w:rsidRPr="00656EF8" w:rsidRDefault="00835E6E" w:rsidP="00835E6E">
      <w:pPr>
        <w:spacing w:line="480" w:lineRule="auto"/>
        <w:rPr>
          <w:b/>
          <w:bCs/>
          <w:u w:val="single"/>
          <w:lang w:val="en-US"/>
        </w:rPr>
      </w:pPr>
      <w:r w:rsidRPr="00656EF8">
        <w:rPr>
          <w:b/>
          <w:bCs/>
          <w:u w:val="single"/>
          <w:lang w:val="en-US"/>
        </w:rPr>
        <w:t>Methylation marker development and validation</w:t>
      </w:r>
    </w:p>
    <w:p w14:paraId="46FE130F" w14:textId="15228FC5" w:rsidR="00835E6E" w:rsidRPr="00835E6E" w:rsidRDefault="00835E6E" w:rsidP="003A66AC">
      <w:pPr>
        <w:spacing w:line="480" w:lineRule="auto"/>
        <w:rPr>
          <w:rFonts w:cstheme="minorHAnsi"/>
          <w:lang w:val="en-US"/>
        </w:rPr>
      </w:pPr>
      <w:r w:rsidRPr="00656EF8">
        <w:rPr>
          <w:rFonts w:cstheme="minorHAnsi"/>
          <w:lang w:val="en-US"/>
        </w:rPr>
        <w:t xml:space="preserve">HOXD8 and POU4F1 methylation markers were selected from The Cancer Genome Atlas (TCGA) (http://cancergenome.nih.gov/). The selected region contained </w:t>
      </w:r>
      <w:proofErr w:type="spellStart"/>
      <w:r w:rsidRPr="00656EF8">
        <w:rPr>
          <w:rFonts w:cstheme="minorHAnsi"/>
          <w:lang w:val="en-US"/>
        </w:rPr>
        <w:t>CpGs</w:t>
      </w:r>
      <w:proofErr w:type="spellEnd"/>
      <w:r w:rsidRPr="00656EF8">
        <w:rPr>
          <w:rFonts w:cstheme="minorHAnsi"/>
          <w:lang w:val="en-US"/>
        </w:rPr>
        <w:t xml:space="preserve"> that were significantly differentially methylated between </w:t>
      </w:r>
      <w:proofErr w:type="spellStart"/>
      <w:r w:rsidRPr="00656EF8">
        <w:rPr>
          <w:rFonts w:cstheme="minorHAnsi"/>
          <w:lang w:val="en-US"/>
        </w:rPr>
        <w:t>tumour</w:t>
      </w:r>
      <w:proofErr w:type="spellEnd"/>
      <w:r w:rsidRPr="00656EF8">
        <w:rPr>
          <w:rFonts w:cstheme="minorHAnsi"/>
          <w:lang w:val="en-US"/>
        </w:rPr>
        <w:t xml:space="preserve"> and healthy pancreas tissues. The </w:t>
      </w:r>
      <w:proofErr w:type="spellStart"/>
      <w:r w:rsidRPr="00656EF8">
        <w:rPr>
          <w:rFonts w:cstheme="minorHAnsi"/>
          <w:lang w:val="en-US"/>
        </w:rPr>
        <w:t>CpGs</w:t>
      </w:r>
      <w:proofErr w:type="spellEnd"/>
      <w:r w:rsidRPr="00656EF8">
        <w:rPr>
          <w:rFonts w:cstheme="minorHAnsi"/>
          <w:lang w:val="en-US"/>
        </w:rPr>
        <w:t xml:space="preserve"> containing region was selected from a list of 485,577 </w:t>
      </w:r>
      <w:proofErr w:type="spellStart"/>
      <w:r w:rsidRPr="00656EF8">
        <w:rPr>
          <w:rFonts w:cstheme="minorHAnsi"/>
          <w:lang w:val="en-US"/>
        </w:rPr>
        <w:t>CpGs</w:t>
      </w:r>
      <w:proofErr w:type="spellEnd"/>
      <w:r w:rsidRPr="00656EF8">
        <w:rPr>
          <w:rFonts w:cstheme="minorHAnsi"/>
          <w:lang w:val="en-US"/>
        </w:rPr>
        <w:t xml:space="preserve"> annotated with genes, including their methylation level in healthy and </w:t>
      </w:r>
      <w:proofErr w:type="spellStart"/>
      <w:r w:rsidRPr="00656EF8">
        <w:rPr>
          <w:rFonts w:cstheme="minorHAnsi"/>
          <w:lang w:val="en-US"/>
        </w:rPr>
        <w:t>tumour</w:t>
      </w:r>
      <w:proofErr w:type="spellEnd"/>
      <w:r w:rsidRPr="00656EF8">
        <w:rPr>
          <w:rFonts w:cstheme="minorHAnsi"/>
          <w:lang w:val="en-US"/>
        </w:rPr>
        <w:t xml:space="preserve"> tissue, the difference in methylation level between healthy and </w:t>
      </w:r>
      <w:proofErr w:type="spellStart"/>
      <w:r w:rsidRPr="00656EF8">
        <w:rPr>
          <w:rFonts w:cstheme="minorHAnsi"/>
          <w:lang w:val="en-US"/>
        </w:rPr>
        <w:t>tumour</w:t>
      </w:r>
      <w:proofErr w:type="spellEnd"/>
      <w:r w:rsidRPr="00656EF8">
        <w:rPr>
          <w:rFonts w:cstheme="minorHAnsi"/>
          <w:lang w:val="en-US"/>
        </w:rPr>
        <w:t xml:space="preserve"> tissue (the fold change), correlated with the </w:t>
      </w:r>
      <w:proofErr w:type="spellStart"/>
      <w:r w:rsidRPr="00656EF8">
        <w:rPr>
          <w:rFonts w:cstheme="minorHAnsi"/>
          <w:lang w:val="en-US"/>
        </w:rPr>
        <w:t>tumour</w:t>
      </w:r>
      <w:proofErr w:type="spellEnd"/>
      <w:r w:rsidRPr="00656EF8">
        <w:rPr>
          <w:rFonts w:cstheme="minorHAnsi"/>
          <w:lang w:val="en-US"/>
        </w:rPr>
        <w:t xml:space="preserve"> and normal cells count in cancer patients. Analysis of DNA methylation of HOXD8 and POU4F1 in </w:t>
      </w:r>
      <w:proofErr w:type="spellStart"/>
      <w:r w:rsidRPr="00656EF8">
        <w:rPr>
          <w:rFonts w:cstheme="minorHAnsi"/>
          <w:lang w:val="en-US"/>
        </w:rPr>
        <w:t>tumour</w:t>
      </w:r>
      <w:proofErr w:type="spellEnd"/>
      <w:r w:rsidRPr="00656EF8">
        <w:rPr>
          <w:rFonts w:cstheme="minorHAnsi"/>
          <w:lang w:val="en-US"/>
        </w:rPr>
        <w:t xml:space="preserve"> and non-</w:t>
      </w:r>
      <w:proofErr w:type="spellStart"/>
      <w:r w:rsidRPr="00656EF8">
        <w:rPr>
          <w:rFonts w:cstheme="minorHAnsi"/>
          <w:lang w:val="en-US"/>
        </w:rPr>
        <w:t>tumour</w:t>
      </w:r>
      <w:proofErr w:type="spellEnd"/>
      <w:r w:rsidRPr="00656EF8">
        <w:rPr>
          <w:rFonts w:cstheme="minorHAnsi"/>
          <w:lang w:val="en-US"/>
        </w:rPr>
        <w:t xml:space="preserve"> tissue (matched adjacent non-</w:t>
      </w:r>
      <w:proofErr w:type="spellStart"/>
      <w:r w:rsidRPr="00656EF8">
        <w:rPr>
          <w:rFonts w:cstheme="minorHAnsi"/>
          <w:lang w:val="en-US"/>
        </w:rPr>
        <w:t>tumour</w:t>
      </w:r>
      <w:proofErr w:type="spellEnd"/>
      <w:r w:rsidRPr="00656EF8">
        <w:rPr>
          <w:rFonts w:cstheme="minorHAnsi"/>
          <w:lang w:val="en-US"/>
        </w:rPr>
        <w:t xml:space="preserve"> tissue) from pancreatic cancer patients was validated by </w:t>
      </w:r>
      <w:proofErr w:type="spellStart"/>
      <w:r w:rsidRPr="00656EF8">
        <w:rPr>
          <w:rFonts w:cstheme="minorHAnsi"/>
          <w:lang w:val="en-US"/>
        </w:rPr>
        <w:t>ddPCR</w:t>
      </w:r>
      <w:proofErr w:type="spellEnd"/>
      <w:r w:rsidRPr="00656EF8">
        <w:rPr>
          <w:rFonts w:cstheme="minorHAnsi"/>
          <w:lang w:val="en-US"/>
        </w:rPr>
        <w:t xml:space="preserve"> (n = 19 </w:t>
      </w:r>
      <w:proofErr w:type="spellStart"/>
      <w:r w:rsidRPr="00656EF8">
        <w:rPr>
          <w:rFonts w:cstheme="minorHAnsi"/>
          <w:lang w:val="en-US"/>
        </w:rPr>
        <w:t>tumour</w:t>
      </w:r>
      <w:proofErr w:type="spellEnd"/>
      <w:r w:rsidRPr="00656EF8">
        <w:rPr>
          <w:rFonts w:cstheme="minorHAnsi"/>
          <w:lang w:val="en-US"/>
        </w:rPr>
        <w:t xml:space="preserve"> tissues and n = 17 matched adjacent non-</w:t>
      </w:r>
      <w:proofErr w:type="spellStart"/>
      <w:r w:rsidRPr="00656EF8">
        <w:rPr>
          <w:rFonts w:cstheme="minorHAnsi"/>
          <w:lang w:val="en-US"/>
        </w:rPr>
        <w:t>tumour</w:t>
      </w:r>
      <w:proofErr w:type="spellEnd"/>
      <w:r w:rsidRPr="00656EF8">
        <w:rPr>
          <w:rFonts w:cstheme="minorHAnsi"/>
          <w:lang w:val="en-US"/>
        </w:rPr>
        <w:t xml:space="preserve"> tissue). Samples were selected with at least one detectable mutation in KRAS, TP53 or SMAD4 (mutated allelic frequency from 2.9 to 71.3</w:t>
      </w:r>
      <w:r w:rsidR="004118FB">
        <w:rPr>
          <w:rFonts w:cstheme="minorHAnsi"/>
          <w:lang w:val="en-US"/>
        </w:rPr>
        <w:t xml:space="preserve"> </w:t>
      </w:r>
      <w:r w:rsidRPr="00656EF8">
        <w:rPr>
          <w:rFonts w:cstheme="minorHAnsi"/>
          <w:lang w:val="en-US"/>
        </w:rPr>
        <w:t>%) when sequenced by NGS using colon lung panel v2 (Thermo Fisher). One adjacent non-</w:t>
      </w:r>
      <w:proofErr w:type="spellStart"/>
      <w:r w:rsidRPr="00656EF8">
        <w:rPr>
          <w:rFonts w:cstheme="minorHAnsi"/>
          <w:lang w:val="en-US"/>
        </w:rPr>
        <w:t>tumour</w:t>
      </w:r>
      <w:proofErr w:type="spellEnd"/>
      <w:r w:rsidRPr="00656EF8">
        <w:rPr>
          <w:rFonts w:cstheme="minorHAnsi"/>
          <w:lang w:val="en-US"/>
        </w:rPr>
        <w:t xml:space="preserve"> tissue appeared mutated in TP53 (4.3</w:t>
      </w:r>
      <w:r w:rsidR="004118FB">
        <w:rPr>
          <w:rFonts w:cstheme="minorHAnsi"/>
          <w:lang w:val="en-US"/>
        </w:rPr>
        <w:t xml:space="preserve"> </w:t>
      </w:r>
      <w:r w:rsidRPr="00656EF8">
        <w:rPr>
          <w:rFonts w:cstheme="minorHAnsi"/>
          <w:lang w:val="en-US"/>
        </w:rPr>
        <w:t>%, 83.1</w:t>
      </w:r>
      <w:r w:rsidR="004118FB">
        <w:rPr>
          <w:rFonts w:cstheme="minorHAnsi"/>
          <w:lang w:val="en-US"/>
        </w:rPr>
        <w:t xml:space="preserve"> </w:t>
      </w:r>
      <w:r w:rsidRPr="00656EF8">
        <w:rPr>
          <w:rFonts w:cstheme="minorHAnsi"/>
          <w:lang w:val="en-US"/>
        </w:rPr>
        <w:t xml:space="preserve">% for the matched </w:t>
      </w:r>
      <w:proofErr w:type="spellStart"/>
      <w:r w:rsidRPr="00656EF8">
        <w:rPr>
          <w:rFonts w:cstheme="minorHAnsi"/>
          <w:lang w:val="en-US"/>
        </w:rPr>
        <w:t>tumour</w:t>
      </w:r>
      <w:proofErr w:type="spellEnd"/>
      <w:r w:rsidRPr="00656EF8">
        <w:rPr>
          <w:rFonts w:cstheme="minorHAnsi"/>
          <w:lang w:val="en-US"/>
        </w:rPr>
        <w:t xml:space="preserve"> tissue) and was thus excluded from further analyses. Compared to non-</w:t>
      </w:r>
      <w:proofErr w:type="spellStart"/>
      <w:r w:rsidRPr="00656EF8">
        <w:rPr>
          <w:rFonts w:cstheme="minorHAnsi"/>
          <w:lang w:val="en-US"/>
        </w:rPr>
        <w:t>tumour</w:t>
      </w:r>
      <w:proofErr w:type="spellEnd"/>
      <w:r w:rsidRPr="00656EF8">
        <w:rPr>
          <w:rFonts w:cstheme="minorHAnsi"/>
          <w:lang w:val="en-US"/>
        </w:rPr>
        <w:t xml:space="preserve"> tissue, DNA methylation in </w:t>
      </w:r>
      <w:proofErr w:type="spellStart"/>
      <w:r w:rsidRPr="00656EF8">
        <w:rPr>
          <w:rFonts w:cstheme="minorHAnsi"/>
          <w:lang w:val="en-US"/>
        </w:rPr>
        <w:t>tumour</w:t>
      </w:r>
      <w:proofErr w:type="spellEnd"/>
      <w:r w:rsidRPr="00656EF8">
        <w:rPr>
          <w:rFonts w:cstheme="minorHAnsi"/>
          <w:lang w:val="en-US"/>
        </w:rPr>
        <w:t xml:space="preserve"> tissue was significantly increased (p = 0.0005 for POU4F1 and p = 0.0001 for HOXD8, Wilcoxon paired test, n = 17). The sensitivity was 79</w:t>
      </w:r>
      <w:r w:rsidR="004118FB">
        <w:rPr>
          <w:rFonts w:cstheme="minorHAnsi"/>
          <w:lang w:val="en-US"/>
        </w:rPr>
        <w:t xml:space="preserve"> </w:t>
      </w:r>
      <w:r w:rsidRPr="00656EF8">
        <w:rPr>
          <w:rFonts w:cstheme="minorHAnsi"/>
          <w:lang w:val="en-US"/>
        </w:rPr>
        <w:t>%, and the specificity of 100</w:t>
      </w:r>
      <w:r w:rsidR="004118FB">
        <w:rPr>
          <w:rFonts w:cstheme="minorHAnsi"/>
          <w:lang w:val="en-US"/>
        </w:rPr>
        <w:t xml:space="preserve"> </w:t>
      </w:r>
      <w:r w:rsidRPr="00656EF8">
        <w:rPr>
          <w:rFonts w:cstheme="minorHAnsi"/>
          <w:lang w:val="en-US"/>
        </w:rPr>
        <w:t xml:space="preserve">% when considering both markers simultaneously. When analyzing plasma ccfDNA from healthy individuals (n = 12) by </w:t>
      </w:r>
      <w:proofErr w:type="spellStart"/>
      <w:r w:rsidRPr="00656EF8">
        <w:rPr>
          <w:rFonts w:cstheme="minorHAnsi"/>
          <w:lang w:val="en-US"/>
        </w:rPr>
        <w:t>ddPCR</w:t>
      </w:r>
      <w:proofErr w:type="spellEnd"/>
      <w:r w:rsidRPr="00656EF8">
        <w:rPr>
          <w:rFonts w:cstheme="minorHAnsi"/>
          <w:lang w:val="en-US"/>
        </w:rPr>
        <w:t xml:space="preserve"> for the presence of the two methylated markers, none were detected as positive for both markers and one sample presented low positivity with one maker (HOXD8, three positive droplets [lower than LOD] corresponding to 0.4</w:t>
      </w:r>
      <w:r w:rsidR="004118FB">
        <w:rPr>
          <w:rFonts w:cstheme="minorHAnsi"/>
          <w:lang w:val="en-US"/>
        </w:rPr>
        <w:t xml:space="preserve"> </w:t>
      </w:r>
      <w:r w:rsidRPr="00656EF8">
        <w:rPr>
          <w:rFonts w:cstheme="minorHAnsi"/>
          <w:lang w:val="en-US"/>
        </w:rPr>
        <w:t>% of methylated DNA).</w:t>
      </w:r>
    </w:p>
    <w:p w14:paraId="3C97E11D" w14:textId="77777777" w:rsidR="00FB7721" w:rsidRPr="00656EF8" w:rsidRDefault="00FB7721" w:rsidP="003A66AC">
      <w:pPr>
        <w:spacing w:line="480" w:lineRule="auto"/>
        <w:rPr>
          <w:b/>
          <w:bCs/>
          <w:u w:val="single"/>
          <w:lang w:val="en-US"/>
        </w:rPr>
      </w:pPr>
      <w:r w:rsidRPr="00656EF8">
        <w:rPr>
          <w:b/>
          <w:bCs/>
          <w:u w:val="single"/>
          <w:lang w:val="en-US"/>
        </w:rPr>
        <w:t>Plasma sample preparation, storage, DNA extraction and quantification</w:t>
      </w:r>
    </w:p>
    <w:p w14:paraId="29A3E64F" w14:textId="77777777" w:rsidR="00FB7721" w:rsidRPr="003A66AC" w:rsidRDefault="00FB7721" w:rsidP="003A66AC">
      <w:pPr>
        <w:spacing w:line="480" w:lineRule="auto"/>
        <w:rPr>
          <w:lang w:val="en-US"/>
        </w:rPr>
      </w:pPr>
      <w:r w:rsidRPr="003A66AC">
        <w:rPr>
          <w:lang w:val="en-US"/>
        </w:rPr>
        <w:lastRenderedPageBreak/>
        <w:t>9 mL of blood samples were collected in EDTA tubes.  The collected samples were centrifuged at 3,500 rpm for 15 min at 4°C within 3 hours of blood draw. Plasma was stored at -80°C until further use.</w:t>
      </w:r>
    </w:p>
    <w:p w14:paraId="0FC73733" w14:textId="77777777" w:rsidR="00FB7721" w:rsidRPr="003A66AC" w:rsidRDefault="00FB7721" w:rsidP="003A66AC">
      <w:pPr>
        <w:spacing w:line="480" w:lineRule="auto"/>
        <w:rPr>
          <w:lang w:val="en-US"/>
        </w:rPr>
      </w:pPr>
      <w:r w:rsidRPr="003A66AC">
        <w:rPr>
          <w:lang w:val="en-US"/>
        </w:rPr>
        <w:t xml:space="preserve">Before extraction, plasma samples were centrifuged for15 min at 5000 rpm. </w:t>
      </w:r>
    </w:p>
    <w:p w14:paraId="689D527A" w14:textId="77777777" w:rsidR="00FB7721" w:rsidRPr="003A66AC" w:rsidRDefault="00FB7721" w:rsidP="003A66AC">
      <w:pPr>
        <w:spacing w:line="480" w:lineRule="auto"/>
        <w:rPr>
          <w:lang w:val="en-US"/>
        </w:rPr>
      </w:pPr>
      <w:r w:rsidRPr="003A66AC">
        <w:rPr>
          <w:lang w:val="en-US"/>
        </w:rPr>
        <w:t xml:space="preserve">Initially (from 2011 to June 2015) DNA was extracted from plasma with </w:t>
      </w:r>
      <w:proofErr w:type="spellStart"/>
      <w:r w:rsidRPr="003A66AC">
        <w:rPr>
          <w:lang w:val="en-US"/>
        </w:rPr>
        <w:t>QIAamp</w:t>
      </w:r>
      <w:proofErr w:type="spellEnd"/>
      <w:r w:rsidRPr="003A66AC">
        <w:rPr>
          <w:lang w:val="en-US"/>
        </w:rPr>
        <w:t xml:space="preserve">® Circulating Nucleic Acid kit (Qiagen, Cat No. 55114) according to the manufacturer’s instructions with an elution volume of 50µL. Incubation with proteinase K was performed for 30 min at 68°C. Extracted DNA from 2mL of plasma was eluted with 50μL buffer AVE and stored at -80°C. </w:t>
      </w:r>
    </w:p>
    <w:p w14:paraId="7671FFF0" w14:textId="77777777" w:rsidR="00FB7721" w:rsidRPr="003A66AC" w:rsidRDefault="00FB7721" w:rsidP="003A66AC">
      <w:pPr>
        <w:spacing w:line="480" w:lineRule="auto"/>
        <w:rPr>
          <w:lang w:val="en-US"/>
        </w:rPr>
      </w:pPr>
      <w:r w:rsidRPr="003A66AC">
        <w:rPr>
          <w:lang w:val="en-US"/>
        </w:rPr>
        <w:t xml:space="preserve">From June 2015, DNA was extracted, according to the manufacturer’s instructions, from 1mL of plasma using the circulating cell-free DNA (ccfDNA) Plasma kit by RSC Maxwell® automated extraction (Promega, Cat No. AS4500). Extracted DNA from plasma was eluted with 60μL buffer AVE and stored at -80°C. </w:t>
      </w:r>
    </w:p>
    <w:p w14:paraId="40A8AC20" w14:textId="13A15F1C" w:rsidR="00835E6E" w:rsidRDefault="00FB7721" w:rsidP="003A66AC">
      <w:pPr>
        <w:spacing w:line="480" w:lineRule="auto"/>
        <w:rPr>
          <w:lang w:val="en-US"/>
        </w:rPr>
      </w:pPr>
      <w:r w:rsidRPr="003A66AC">
        <w:rPr>
          <w:lang w:val="en-US"/>
        </w:rPr>
        <w:t>DNA concentration was assessed, from 2µL of eluted DNA, by Qubit 2.0 fluorometer (Invitrogen, Life Technologies) using the Qubit™ dsDNA HS (High Sensitivity) Assay kit (</w:t>
      </w:r>
      <w:proofErr w:type="spellStart"/>
      <w:r w:rsidRPr="003A66AC">
        <w:rPr>
          <w:lang w:val="en-US"/>
        </w:rPr>
        <w:t>ThermoFisher</w:t>
      </w:r>
      <w:proofErr w:type="spellEnd"/>
      <w:r w:rsidRPr="003A66AC">
        <w:rPr>
          <w:lang w:val="en-US"/>
        </w:rPr>
        <w:t xml:space="preserve"> Scientific). </w:t>
      </w:r>
    </w:p>
    <w:p w14:paraId="28D5715A" w14:textId="7B4C7EC8" w:rsidR="00FB7721" w:rsidRPr="003A66AC" w:rsidRDefault="00FB7721" w:rsidP="003A66AC">
      <w:pPr>
        <w:spacing w:line="480" w:lineRule="auto"/>
        <w:rPr>
          <w:lang w:val="en-US"/>
        </w:rPr>
      </w:pPr>
      <w:r w:rsidRPr="003A66AC">
        <w:rPr>
          <w:lang w:val="en-US"/>
        </w:rPr>
        <w:t>Extracted DNA samples were stored frozen at -80°C before testing. Storage times were at maximum 1 month.</w:t>
      </w:r>
    </w:p>
    <w:p w14:paraId="1F6A55AD" w14:textId="77777777" w:rsidR="00FB7721" w:rsidRPr="003A66AC" w:rsidRDefault="00FB7721" w:rsidP="003A66AC">
      <w:pPr>
        <w:spacing w:line="480" w:lineRule="auto"/>
        <w:rPr>
          <w:b/>
          <w:bCs/>
          <w:u w:val="single"/>
          <w:lang w:val="en-US"/>
        </w:rPr>
      </w:pPr>
      <w:r w:rsidRPr="003A66AC">
        <w:rPr>
          <w:b/>
          <w:bCs/>
          <w:u w:val="single"/>
          <w:lang w:val="en-US"/>
        </w:rPr>
        <w:t>Assessment of circulating tumor DNA</w:t>
      </w:r>
    </w:p>
    <w:p w14:paraId="4D65885E" w14:textId="77777777" w:rsidR="00FB7721" w:rsidRPr="003A66AC" w:rsidRDefault="00FB7721" w:rsidP="003A66AC">
      <w:pPr>
        <w:spacing w:line="480" w:lineRule="auto"/>
        <w:rPr>
          <w:lang w:val="en-US"/>
        </w:rPr>
      </w:pPr>
      <w:r w:rsidRPr="003A66AC">
        <w:rPr>
          <w:lang w:val="en-US"/>
        </w:rPr>
        <w:t>All plasma samples were screened for the presence of methylation in the selected genes (HOXD8 and POU4F1) by droplet-based digital PCR (Met-</w:t>
      </w:r>
      <w:proofErr w:type="spellStart"/>
      <w:r w:rsidRPr="003A66AC">
        <w:rPr>
          <w:lang w:val="en-US"/>
        </w:rPr>
        <w:t>ddPCR</w:t>
      </w:r>
      <w:proofErr w:type="spellEnd"/>
      <w:r w:rsidRPr="003A66AC">
        <w:rPr>
          <w:lang w:val="en-US"/>
        </w:rPr>
        <w:t xml:space="preserve">) using the QX-200 platform (BIO-RAD Technologies). This assay allowed for the simultaneous detection of HOXD8 and POU4F1 gene hypermethylation and uses an albumin un-methylated sequence as a reference for measuring amplifiable DNA within each </w:t>
      </w:r>
      <w:r w:rsidRPr="003A66AC">
        <w:rPr>
          <w:lang w:val="en-US"/>
        </w:rPr>
        <w:lastRenderedPageBreak/>
        <w:t xml:space="preserve">sample. Bisulfite conversion was performed on 20 µL of eluted DNA. In brief, bisulfite reaction was carried out in a thermocycler at 98 °C for 12 min and 64 °C for 2h35 min. The cleanup of bisulfite-converted DNA followed the recommendations of the manufacturer (EZ DNA Methylation-Gold, ref. cat. D5006, </w:t>
      </w:r>
      <w:proofErr w:type="spellStart"/>
      <w:r w:rsidRPr="003A66AC">
        <w:rPr>
          <w:lang w:val="en-US"/>
        </w:rPr>
        <w:t>Zymo</w:t>
      </w:r>
      <w:proofErr w:type="spellEnd"/>
      <w:r w:rsidRPr="003A66AC">
        <w:rPr>
          <w:lang w:val="en-US"/>
        </w:rPr>
        <w:t xml:space="preserve"> Research) and converted DNA was eluted in 10 µl of M-Elution Buffer and stored at -20 °C. Ten microliters of this bisulfite-converted DNA </w:t>
      </w:r>
      <w:proofErr w:type="gramStart"/>
      <w:r w:rsidRPr="003A66AC">
        <w:rPr>
          <w:lang w:val="en-US"/>
        </w:rPr>
        <w:t>was</w:t>
      </w:r>
      <w:proofErr w:type="gramEnd"/>
      <w:r w:rsidRPr="003A66AC">
        <w:rPr>
          <w:lang w:val="en-US"/>
        </w:rPr>
        <w:t xml:space="preserve"> used for PCR reaction. Twenty-two µL of PCR reagent mix was prepared following manufacturer’s recommendations in a pre-PCR environment. BIO-RAD </w:t>
      </w:r>
      <w:proofErr w:type="spellStart"/>
      <w:r w:rsidRPr="003A66AC">
        <w:rPr>
          <w:lang w:val="en-US"/>
        </w:rPr>
        <w:t>ddPCR</w:t>
      </w:r>
      <w:proofErr w:type="spellEnd"/>
      <w:r w:rsidRPr="003A66AC">
        <w:rPr>
          <w:lang w:val="en-US"/>
        </w:rPr>
        <w:t xml:space="preserve"> Super Mix for probes 20x (no </w:t>
      </w:r>
      <w:proofErr w:type="spellStart"/>
      <w:r w:rsidRPr="003A66AC">
        <w:rPr>
          <w:lang w:val="en-US"/>
        </w:rPr>
        <w:t>dUTP</w:t>
      </w:r>
      <w:proofErr w:type="spellEnd"/>
      <w:r w:rsidRPr="003A66AC">
        <w:rPr>
          <w:lang w:val="en-US"/>
        </w:rPr>
        <w:t xml:space="preserve">) was used (cat. Ref. 1863024). Final concentrations in reaction mix of forward and reverse primers were 600nM and 400nM for albumin and methylated sequences respectively (primers ordered from Eurofins). 200nM of VIC </w:t>
      </w:r>
      <w:proofErr w:type="spellStart"/>
      <w:r w:rsidRPr="003A66AC">
        <w:rPr>
          <w:lang w:val="en-US"/>
        </w:rPr>
        <w:t>Taqman</w:t>
      </w:r>
      <w:proofErr w:type="spellEnd"/>
      <w:r w:rsidRPr="003A66AC">
        <w:rPr>
          <w:lang w:val="en-US"/>
        </w:rPr>
        <w:t xml:space="preserve">® labeled-probes was used to detect albumin unmethylated sequences, 200nM of FAM </w:t>
      </w:r>
      <w:proofErr w:type="spellStart"/>
      <w:r w:rsidRPr="003A66AC">
        <w:rPr>
          <w:lang w:val="en-US"/>
        </w:rPr>
        <w:t>Taqman</w:t>
      </w:r>
      <w:proofErr w:type="spellEnd"/>
      <w:r w:rsidRPr="003A66AC">
        <w:rPr>
          <w:lang w:val="en-US"/>
        </w:rPr>
        <w:t xml:space="preserve">® labeled-probes was used to detect POU4F1 methylated sequences and 100nM of both FAM and VIC </w:t>
      </w:r>
      <w:proofErr w:type="spellStart"/>
      <w:r w:rsidRPr="003A66AC">
        <w:rPr>
          <w:lang w:val="en-US"/>
        </w:rPr>
        <w:t>Taqman</w:t>
      </w:r>
      <w:proofErr w:type="spellEnd"/>
      <w:r w:rsidRPr="003A66AC">
        <w:rPr>
          <w:lang w:val="en-US"/>
        </w:rPr>
        <w:t xml:space="preserve">® labeled-probes were used to detect HOXD8 methylated sequences (see </w:t>
      </w:r>
      <w:proofErr w:type="spellStart"/>
      <w:r w:rsidRPr="003A66AC">
        <w:rPr>
          <w:lang w:val="en-US"/>
        </w:rPr>
        <w:t>eMethod</w:t>
      </w:r>
      <w:proofErr w:type="spellEnd"/>
      <w:r w:rsidRPr="003A66AC">
        <w:rPr>
          <w:lang w:val="en-US"/>
        </w:rPr>
        <w:t xml:space="preserve"> 1 for primer and probe sequences, probes ordered from </w:t>
      </w:r>
      <w:proofErr w:type="spellStart"/>
      <w:r w:rsidRPr="003A66AC">
        <w:rPr>
          <w:lang w:val="en-US"/>
        </w:rPr>
        <w:t>Thermofisher</w:t>
      </w:r>
      <w:proofErr w:type="spellEnd"/>
      <w:r w:rsidRPr="003A66AC">
        <w:rPr>
          <w:lang w:val="en-US"/>
        </w:rPr>
        <w:t xml:space="preserve">). For each performed </w:t>
      </w:r>
      <w:proofErr w:type="spellStart"/>
      <w:r w:rsidRPr="003A66AC">
        <w:rPr>
          <w:lang w:val="en-US"/>
        </w:rPr>
        <w:t>serie</w:t>
      </w:r>
      <w:proofErr w:type="spellEnd"/>
      <w:r w:rsidRPr="003A66AC">
        <w:rPr>
          <w:lang w:val="en-US"/>
        </w:rPr>
        <w:t xml:space="preserve"> (8 to 48 samples), two different controls were included: a positive control (universal methylated human DNA standard, </w:t>
      </w:r>
      <w:proofErr w:type="spellStart"/>
      <w:r w:rsidRPr="003A66AC">
        <w:rPr>
          <w:lang w:val="en-US"/>
        </w:rPr>
        <w:t>Zymo</w:t>
      </w:r>
      <w:proofErr w:type="spellEnd"/>
      <w:r w:rsidRPr="003A66AC">
        <w:rPr>
          <w:lang w:val="en-US"/>
        </w:rPr>
        <w:t xml:space="preserve"> research, cat. ref. D-5011-1) and a negative control (human genomic DNA, Promega, cat. Ref. G304A). The PCR step for </w:t>
      </w:r>
      <w:proofErr w:type="spellStart"/>
      <w:r w:rsidRPr="003A66AC">
        <w:rPr>
          <w:lang w:val="en-US"/>
        </w:rPr>
        <w:t>ddPCR</w:t>
      </w:r>
      <w:proofErr w:type="spellEnd"/>
      <w:r w:rsidRPr="003A66AC">
        <w:rPr>
          <w:lang w:val="en-US"/>
        </w:rPr>
        <w:t xml:space="preserve"> was performed on a BIO-RAD C1000 or S1000 using the following program: 10 min at 95°C (using a 2.5°C/second ramp rate), followed by 45 cycles of: 94°C, 30 s and 58.6°C, 1 min (using a 2.5°C/second ramp rate), with an ultimate step of 10 min at 98°C. After completion, the emulsions were either stored at 4°C or processed immediately to measure the end-point fluorescence signal from each droplet. Data was collected using the </w:t>
      </w:r>
      <w:proofErr w:type="spellStart"/>
      <w:r w:rsidRPr="003A66AC">
        <w:rPr>
          <w:lang w:val="en-US"/>
        </w:rPr>
        <w:t>QuantaSoft</w:t>
      </w:r>
      <w:proofErr w:type="spellEnd"/>
      <w:r w:rsidRPr="003A66AC">
        <w:rPr>
          <w:lang w:val="en-US"/>
        </w:rPr>
        <w:t xml:space="preserve">™ BIO-RAD software (version 1.7.4.0917) as described by the manufacturer. Populations were clustered according </w:t>
      </w:r>
      <w:r w:rsidRPr="003A66AC">
        <w:rPr>
          <w:lang w:val="en-US"/>
        </w:rPr>
        <w:lastRenderedPageBreak/>
        <w:t xml:space="preserve">to fluorescence levels, allowing to precisely count both tumor and normal amplifiable DNA molecules. Data were analyzed using the </w:t>
      </w:r>
      <w:proofErr w:type="spellStart"/>
      <w:r w:rsidRPr="003A66AC">
        <w:rPr>
          <w:lang w:val="en-US"/>
        </w:rPr>
        <w:t>QuantaSoft</w:t>
      </w:r>
      <w:proofErr w:type="spellEnd"/>
      <w:r w:rsidRPr="003A66AC">
        <w:rPr>
          <w:lang w:val="en-US"/>
        </w:rPr>
        <w:t xml:space="preserve">™ Analysis Pro 1.0 BIO-RAD software. </w:t>
      </w:r>
    </w:p>
    <w:p w14:paraId="4B2D52AB" w14:textId="1FB83848" w:rsidR="00FB7721" w:rsidRDefault="00FB7721" w:rsidP="003A66AC">
      <w:pPr>
        <w:spacing w:line="480" w:lineRule="auto"/>
        <w:rPr>
          <w:lang w:val="en-US"/>
        </w:rPr>
      </w:pPr>
      <w:r w:rsidRPr="003A66AC">
        <w:rPr>
          <w:lang w:val="en-US"/>
        </w:rPr>
        <w:t>A limit of blank (LOB) has been calculated.  It is defined by the frequency of positive droplets measured in normal control DNA samples with no hypermethylated DNA present (n = 31, Human genomic DNA, Promega). The LOB was determined for each assay as a finite number of false mutant droplet events detected per analysis. Specifically, the LOBs were 5 (first integer superior number to calculated LOB) for HOXD8 (</w:t>
      </w:r>
      <w:proofErr w:type="spellStart"/>
      <w:r w:rsidRPr="003A66AC">
        <w:rPr>
          <w:lang w:val="en-US"/>
        </w:rPr>
        <w:t>λFP</w:t>
      </w:r>
      <w:proofErr w:type="spellEnd"/>
      <w:r w:rsidRPr="003A66AC">
        <w:rPr>
          <w:lang w:val="en-US"/>
        </w:rPr>
        <w:t xml:space="preserve"> =1.83)</w:t>
      </w:r>
      <w:r w:rsidRPr="00877CAB">
        <w:rPr>
          <w:b/>
          <w:bCs/>
          <w:lang w:val="en-US"/>
        </w:rPr>
        <w:t xml:space="preserve"> </w:t>
      </w:r>
      <w:r w:rsidRPr="003A66AC">
        <w:rPr>
          <w:lang w:val="en-US"/>
        </w:rPr>
        <w:t>and 2 for POU4F1 (</w:t>
      </w:r>
      <w:proofErr w:type="spellStart"/>
      <w:r w:rsidRPr="003A66AC">
        <w:rPr>
          <w:lang w:val="en-US"/>
        </w:rPr>
        <w:t>λFP</w:t>
      </w:r>
      <w:proofErr w:type="spellEnd"/>
      <w:r w:rsidRPr="003A66AC">
        <w:rPr>
          <w:lang w:val="en-US"/>
        </w:rPr>
        <w:t xml:space="preserve"> =0.06) (</w:t>
      </w:r>
      <w:proofErr w:type="spellStart"/>
      <w:r w:rsidRPr="003A66AC">
        <w:rPr>
          <w:lang w:val="en-US"/>
        </w:rPr>
        <w:t>eMethod</w:t>
      </w:r>
      <w:proofErr w:type="spellEnd"/>
      <w:r w:rsidRPr="003A66AC">
        <w:rPr>
          <w:lang w:val="en-US"/>
        </w:rPr>
        <w:t xml:space="preserve"> 2). The calculated LOB </w:t>
      </w:r>
      <w:proofErr w:type="gramStart"/>
      <w:r w:rsidRPr="003A66AC">
        <w:rPr>
          <w:lang w:val="en-US"/>
        </w:rPr>
        <w:t>were</w:t>
      </w:r>
      <w:proofErr w:type="gramEnd"/>
      <w:r w:rsidRPr="003A66AC">
        <w:rPr>
          <w:lang w:val="en-US"/>
        </w:rPr>
        <w:t xml:space="preserve"> used for data analysis. Positivity of samples with number of droplets closed to LOB or positive for only one marker was verified by BPER NGS (see below). For all samples with number of droplets below LOB, the concentration of ctDNA in plasma was considered zero. </w:t>
      </w:r>
    </w:p>
    <w:p w14:paraId="7953F7A5" w14:textId="4790BB8C" w:rsidR="00AB23F4" w:rsidRPr="00517E8C" w:rsidRDefault="00517E8C" w:rsidP="003A66AC">
      <w:pPr>
        <w:spacing w:line="480" w:lineRule="auto"/>
        <w:rPr>
          <w:b/>
          <w:bCs/>
          <w:u w:val="single"/>
          <w:lang w:val="en-US"/>
        </w:rPr>
      </w:pPr>
      <w:r w:rsidRPr="00517E8C">
        <w:rPr>
          <w:b/>
          <w:bCs/>
          <w:u w:val="single"/>
          <w:lang w:val="en-US"/>
        </w:rPr>
        <w:t xml:space="preserve">ctDNA </w:t>
      </w:r>
      <w:r w:rsidR="00355F2D">
        <w:rPr>
          <w:b/>
          <w:bCs/>
          <w:u w:val="single"/>
          <w:lang w:val="en-US"/>
        </w:rPr>
        <w:t xml:space="preserve">and ccfDNA </w:t>
      </w:r>
      <w:r w:rsidRPr="00517E8C">
        <w:rPr>
          <w:b/>
          <w:bCs/>
          <w:u w:val="single"/>
          <w:lang w:val="en-US"/>
        </w:rPr>
        <w:t xml:space="preserve">quantity </w:t>
      </w:r>
      <w:proofErr w:type="spellStart"/>
      <w:r w:rsidRPr="00517E8C">
        <w:rPr>
          <w:b/>
          <w:bCs/>
          <w:u w:val="single"/>
          <w:lang w:val="en-US"/>
        </w:rPr>
        <w:t>calcul</w:t>
      </w:r>
      <w:proofErr w:type="spellEnd"/>
    </w:p>
    <w:p w14:paraId="7BF463E8" w14:textId="77777777" w:rsidR="00AB23F4" w:rsidRDefault="00AB23F4" w:rsidP="00AB23F4">
      <w:pPr>
        <w:spacing w:line="480" w:lineRule="auto"/>
        <w:rPr>
          <w:rFonts w:cstheme="minorHAnsi"/>
          <w:lang w:val="en-US"/>
        </w:rPr>
      </w:pPr>
      <w:r>
        <w:rPr>
          <w:rFonts w:cstheme="minorHAnsi"/>
          <w:lang w:val="en-US"/>
        </w:rPr>
        <w:t>T</w:t>
      </w:r>
      <w:r w:rsidRPr="00166683">
        <w:rPr>
          <w:rFonts w:cstheme="minorHAnsi"/>
          <w:lang w:val="en-US"/>
        </w:rPr>
        <w:t xml:space="preserve">o calculate ctDNA </w:t>
      </w:r>
      <w:r>
        <w:rPr>
          <w:rFonts w:cstheme="minorHAnsi"/>
          <w:lang w:val="en-US"/>
        </w:rPr>
        <w:t xml:space="preserve">quantity </w:t>
      </w:r>
      <w:r w:rsidRPr="00166683">
        <w:rPr>
          <w:rFonts w:cstheme="minorHAnsi"/>
          <w:lang w:val="en-US"/>
        </w:rPr>
        <w:t xml:space="preserve">(ng/mL), we used the </w:t>
      </w:r>
      <w:r>
        <w:rPr>
          <w:rFonts w:cstheme="minorHAnsi"/>
          <w:lang w:val="en-US"/>
        </w:rPr>
        <w:t>methylated biomarker</w:t>
      </w:r>
      <w:r w:rsidRPr="00166683">
        <w:rPr>
          <w:rFonts w:cstheme="minorHAnsi"/>
          <w:lang w:val="en-US"/>
        </w:rPr>
        <w:t xml:space="preserve"> for which the number of drop</w:t>
      </w:r>
      <w:r>
        <w:rPr>
          <w:rFonts w:cstheme="minorHAnsi"/>
          <w:lang w:val="en-US"/>
        </w:rPr>
        <w:t>let</w:t>
      </w:r>
      <w:r w:rsidRPr="00166683">
        <w:rPr>
          <w:rFonts w:cstheme="minorHAnsi"/>
          <w:lang w:val="en-US"/>
        </w:rPr>
        <w:t>s was the highest and applied the following formula:</w:t>
      </w:r>
      <w:r>
        <w:rPr>
          <w:rFonts w:cstheme="minorHAnsi"/>
          <w:lang w:val="en-US"/>
        </w:rPr>
        <w:t xml:space="preserve"> </w:t>
      </w:r>
    </w:p>
    <w:p w14:paraId="69A9AAFF" w14:textId="77777777" w:rsidR="00AB23F4" w:rsidRPr="00BE42B3" w:rsidRDefault="00000000" w:rsidP="00AB23F4">
      <w:pPr>
        <w:spacing w:line="480" w:lineRule="auto"/>
        <w:rPr>
          <w:rFonts w:cstheme="minorHAnsi"/>
          <w:lang w:val="en-US"/>
        </w:rPr>
      </w:pPr>
      <m:oMathPara>
        <m:oMath>
          <m:f>
            <m:fPr>
              <m:ctrlPr>
                <w:rPr>
                  <w:rFonts w:ascii="Cambria Math" w:hAnsi="Cambria Math"/>
                  <w:iCs/>
                  <w:sz w:val="20"/>
                  <w:szCs w:val="20"/>
                  <w:lang w:eastAsia="fr-FR"/>
                </w:rPr>
              </m:ctrlPr>
            </m:fPr>
            <m:num>
              <m:d>
                <m:dPr>
                  <m:ctrlPr>
                    <w:rPr>
                      <w:rFonts w:ascii="Cambria Math" w:hAnsi="Cambria Math"/>
                      <w:iCs/>
                      <w:sz w:val="20"/>
                      <w:szCs w:val="20"/>
                      <w:lang w:eastAsia="fr-FR"/>
                    </w:rPr>
                  </m:ctrlPr>
                </m:dPr>
                <m:e>
                  <m:f>
                    <m:fPr>
                      <m:ctrlPr>
                        <w:rPr>
                          <w:rFonts w:ascii="Cambria Math" w:hAnsi="Cambria Math"/>
                          <w:iCs/>
                          <w:sz w:val="20"/>
                          <w:szCs w:val="20"/>
                          <w:lang w:eastAsia="fr-FR"/>
                        </w:rPr>
                      </m:ctrlPr>
                    </m:fPr>
                    <m:num>
                      <m:r>
                        <m:rPr>
                          <m:sty m:val="p"/>
                        </m:rPr>
                        <w:rPr>
                          <w:rFonts w:ascii="Cambria Math" w:hAnsi="Cambria Math" w:cstheme="minorHAnsi"/>
                          <w:sz w:val="20"/>
                          <w:szCs w:val="20"/>
                          <w:lang w:val="en-US"/>
                        </w:rPr>
                        <m:t>Droplets × 3.3</m:t>
                      </m:r>
                    </m:num>
                    <m:den>
                      <m:r>
                        <m:rPr>
                          <m:sty m:val="p"/>
                        </m:rPr>
                        <w:rPr>
                          <w:rFonts w:ascii="Cambria Math" w:hAnsi="Cambria Math" w:cstheme="minorHAnsi"/>
                          <w:sz w:val="18"/>
                          <w:szCs w:val="18"/>
                          <w:lang w:val="en-US"/>
                        </w:rPr>
                        <m:t xml:space="preserve">Volume used for PCR </m:t>
                      </m:r>
                      <m:d>
                        <m:dPr>
                          <m:ctrlPr>
                            <w:rPr>
                              <w:rFonts w:ascii="Cambria Math" w:hAnsi="Cambria Math" w:cstheme="minorHAnsi"/>
                              <w:iCs/>
                              <w:sz w:val="18"/>
                              <w:szCs w:val="18"/>
                              <w:lang w:val="en-US"/>
                            </w:rPr>
                          </m:ctrlPr>
                        </m:dPr>
                        <m:e>
                          <m:r>
                            <m:rPr>
                              <m:sty m:val="p"/>
                            </m:rPr>
                            <w:rPr>
                              <w:rFonts w:ascii="Cambria Math" w:hAnsi="Cambria Math" w:cstheme="minorHAnsi"/>
                              <w:sz w:val="18"/>
                              <w:szCs w:val="18"/>
                              <w:lang w:val="en-US"/>
                            </w:rPr>
                            <m:t>10µL</m:t>
                          </m:r>
                        </m:e>
                      </m:d>
                    </m:den>
                  </m:f>
                </m:e>
              </m:d>
              <m:r>
                <m:rPr>
                  <m:sty m:val="p"/>
                </m:rPr>
                <w:rPr>
                  <w:rFonts w:ascii="Cambria Math" w:hAnsi="Cambria Math" w:cstheme="minorHAnsi"/>
                  <w:sz w:val="18"/>
                  <w:szCs w:val="18"/>
                  <w:lang w:val="en-US"/>
                </w:rPr>
                <m:t xml:space="preserve">×Elution volume </m:t>
              </m:r>
              <m:d>
                <m:dPr>
                  <m:ctrlPr>
                    <w:rPr>
                      <w:rFonts w:ascii="Cambria Math" w:hAnsi="Cambria Math" w:cstheme="minorHAnsi"/>
                      <w:iCs/>
                      <w:sz w:val="18"/>
                      <w:szCs w:val="18"/>
                      <w:lang w:val="en-US"/>
                    </w:rPr>
                  </m:ctrlPr>
                </m:dPr>
                <m:e>
                  <m:r>
                    <m:rPr>
                      <m:sty m:val="p"/>
                    </m:rPr>
                    <w:rPr>
                      <w:rFonts w:ascii="Cambria Math" w:hAnsi="Cambria Math" w:cstheme="minorHAnsi"/>
                      <w:sz w:val="18"/>
                      <w:szCs w:val="18"/>
                      <w:lang w:val="en-US"/>
                    </w:rPr>
                    <m:t>50 or 60µL</m:t>
                  </m:r>
                </m:e>
              </m:d>
              <m:r>
                <w:rPr>
                  <w:rFonts w:ascii="Cambria Math" w:hAnsi="Cambria Math" w:cstheme="minorHAnsi"/>
                  <w:sz w:val="18"/>
                  <w:szCs w:val="18"/>
                  <w:lang w:val="en-US"/>
                </w:rPr>
                <m:t>× Corrective factor</m:t>
              </m:r>
            </m:num>
            <m:den>
              <m:r>
                <m:rPr>
                  <m:sty m:val="p"/>
                </m:rPr>
                <w:rPr>
                  <w:rFonts w:ascii="Cambria Math" w:hAnsi="Cambria Math" w:cstheme="minorHAnsi"/>
                  <w:sz w:val="21"/>
                  <w:szCs w:val="21"/>
                  <w:lang w:val="en-US"/>
                </w:rPr>
                <m:t xml:space="preserve">Volume of extracted plasma </m:t>
              </m:r>
              <m:d>
                <m:dPr>
                  <m:ctrlPr>
                    <w:rPr>
                      <w:rFonts w:ascii="Cambria Math" w:hAnsi="Cambria Math" w:cstheme="minorHAnsi"/>
                      <w:iCs/>
                      <w:sz w:val="21"/>
                      <w:szCs w:val="21"/>
                      <w:lang w:val="en-US"/>
                    </w:rPr>
                  </m:ctrlPr>
                </m:dPr>
                <m:e>
                  <m:r>
                    <m:rPr>
                      <m:sty m:val="p"/>
                    </m:rPr>
                    <w:rPr>
                      <w:rFonts w:ascii="Cambria Math" w:hAnsi="Cambria Math" w:cstheme="minorHAnsi"/>
                      <w:sz w:val="21"/>
                      <w:szCs w:val="21"/>
                      <w:lang w:val="en-US"/>
                    </w:rPr>
                    <m:t>mL</m:t>
                  </m:r>
                </m:e>
              </m:d>
              <m:r>
                <w:rPr>
                  <w:rFonts w:ascii="Cambria Math" w:hAnsi="Cambria Math" w:cstheme="minorHAnsi"/>
                  <w:sz w:val="21"/>
                  <w:szCs w:val="21"/>
                  <w:lang w:val="en-US"/>
                </w:rPr>
                <m:t>× 1000</m:t>
              </m:r>
            </m:den>
          </m:f>
          <m:r>
            <m:rPr>
              <m:sty m:val="p"/>
            </m:rPr>
            <w:rPr>
              <w:rFonts w:ascii="Cambria Math" w:hAnsi="Cambria Math"/>
              <w:sz w:val="20"/>
              <w:szCs w:val="20"/>
              <w:lang w:eastAsia="fr-FR"/>
            </w:rPr>
            <m:t xml:space="preserve">=ctDNA quantity (ng/mL) </m:t>
          </m:r>
        </m:oMath>
      </m:oMathPara>
    </w:p>
    <w:p w14:paraId="2D11F23F" w14:textId="77777777" w:rsidR="00AB23F4" w:rsidRDefault="00AB23F4" w:rsidP="00AB23F4">
      <w:pPr>
        <w:spacing w:line="480" w:lineRule="auto"/>
        <w:rPr>
          <w:rFonts w:cstheme="minorHAnsi"/>
          <w:lang w:val="en-US"/>
        </w:rPr>
      </w:pPr>
      <w:r w:rsidRPr="00166683">
        <w:rPr>
          <w:rFonts w:cstheme="minorHAnsi"/>
          <w:lang w:val="en-US"/>
        </w:rPr>
        <w:t>3</w:t>
      </w:r>
      <w:r>
        <w:rPr>
          <w:rFonts w:cstheme="minorHAnsi"/>
          <w:lang w:val="en-US"/>
        </w:rPr>
        <w:t>.</w:t>
      </w:r>
      <w:r w:rsidRPr="00166683">
        <w:rPr>
          <w:rFonts w:cstheme="minorHAnsi"/>
          <w:lang w:val="en-US"/>
        </w:rPr>
        <w:t xml:space="preserve">3 = weight of </w:t>
      </w:r>
      <w:proofErr w:type="gramStart"/>
      <w:r w:rsidRPr="00166683">
        <w:rPr>
          <w:rFonts w:cstheme="minorHAnsi"/>
          <w:lang w:val="en-US"/>
        </w:rPr>
        <w:t>a</w:t>
      </w:r>
      <w:r>
        <w:rPr>
          <w:rFonts w:cstheme="minorHAnsi"/>
          <w:lang w:val="en-US"/>
        </w:rPr>
        <w:t>n</w:t>
      </w:r>
      <w:proofErr w:type="gramEnd"/>
      <w:r>
        <w:rPr>
          <w:rFonts w:cstheme="minorHAnsi"/>
          <w:lang w:val="en-US"/>
        </w:rPr>
        <w:t xml:space="preserve"> haploid</w:t>
      </w:r>
      <w:r w:rsidRPr="00166683">
        <w:rPr>
          <w:rFonts w:cstheme="minorHAnsi"/>
          <w:lang w:val="en-US"/>
        </w:rPr>
        <w:t xml:space="preserve"> genome (picograms)</w:t>
      </w:r>
    </w:p>
    <w:p w14:paraId="24872D29" w14:textId="7B0E4D21" w:rsidR="00AB23F4" w:rsidRDefault="00AB23F4" w:rsidP="00AB23F4">
      <w:pPr>
        <w:spacing w:line="480" w:lineRule="auto"/>
        <w:rPr>
          <w:rFonts w:cstheme="minorHAnsi"/>
          <w:lang w:val="en-US"/>
        </w:rPr>
      </w:pPr>
      <w:r>
        <w:rPr>
          <w:rFonts w:cstheme="minorHAnsi"/>
          <w:lang w:val="en-US"/>
        </w:rPr>
        <w:t>Corrective factor = 2,5 or 3 (according to the 50</w:t>
      </w:r>
      <w:r w:rsidRPr="00E5099C">
        <w:rPr>
          <w:rFonts w:cstheme="minorHAnsi"/>
          <w:lang w:val="en-US"/>
        </w:rPr>
        <w:t>μ</w:t>
      </w:r>
      <w:r>
        <w:rPr>
          <w:rFonts w:cstheme="minorHAnsi"/>
          <w:lang w:val="en-US"/>
        </w:rPr>
        <w:t>L or 60</w:t>
      </w:r>
      <w:r w:rsidRPr="00E5099C">
        <w:rPr>
          <w:rFonts w:cstheme="minorHAnsi"/>
          <w:lang w:val="en-US"/>
        </w:rPr>
        <w:t>μ</w:t>
      </w:r>
      <w:r>
        <w:rPr>
          <w:rFonts w:cstheme="minorHAnsi"/>
          <w:lang w:val="en-US"/>
        </w:rPr>
        <w:t>L of elution volume/20</w:t>
      </w:r>
      <w:r w:rsidRPr="00E5099C">
        <w:rPr>
          <w:rFonts w:cstheme="minorHAnsi"/>
          <w:lang w:val="en-US"/>
        </w:rPr>
        <w:t>μ</w:t>
      </w:r>
      <w:r>
        <w:rPr>
          <w:rFonts w:cstheme="minorHAnsi"/>
          <w:lang w:val="en-US"/>
        </w:rPr>
        <w:t>L of elution volume used for bisulfite conversion)</w:t>
      </w:r>
    </w:p>
    <w:p w14:paraId="2BCEDF2D" w14:textId="069EF3CB" w:rsidR="002D2B4F" w:rsidRPr="00355F2D" w:rsidRDefault="00355F2D" w:rsidP="006F5E67">
      <w:pPr>
        <w:spacing w:line="480" w:lineRule="auto"/>
        <w:rPr>
          <w:rFonts w:cstheme="minorHAnsi"/>
          <w:lang w:val="en-US"/>
        </w:rPr>
      </w:pPr>
      <w:r>
        <w:rPr>
          <w:rFonts w:cstheme="minorHAnsi"/>
          <w:lang w:val="en-US"/>
        </w:rPr>
        <w:t xml:space="preserve">To calculate ccfDNA, the same formula was used with the number of droplets of the </w:t>
      </w:r>
      <w:r w:rsidRPr="003A66AC">
        <w:rPr>
          <w:lang w:val="en-US"/>
        </w:rPr>
        <w:t>albumin un-methylated sequence</w:t>
      </w:r>
      <w:r>
        <w:rPr>
          <w:lang w:val="en-US"/>
        </w:rPr>
        <w:t>,</w:t>
      </w:r>
      <w:r w:rsidRPr="003A66AC">
        <w:rPr>
          <w:lang w:val="en-US"/>
        </w:rPr>
        <w:t xml:space="preserve"> </w:t>
      </w:r>
      <w:r>
        <w:rPr>
          <w:lang w:val="en-US"/>
        </w:rPr>
        <w:t xml:space="preserve">used </w:t>
      </w:r>
      <w:r w:rsidRPr="003A66AC">
        <w:rPr>
          <w:lang w:val="en-US"/>
        </w:rPr>
        <w:t>as reference for measuring amplifiable DNA</w:t>
      </w:r>
      <w:r>
        <w:rPr>
          <w:lang w:val="en-US"/>
        </w:rPr>
        <w:t>.</w:t>
      </w:r>
    </w:p>
    <w:sectPr w:rsidR="002D2B4F" w:rsidRPr="00355F2D" w:rsidSect="003D383E">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C0601A"/>
    <w:multiLevelType w:val="multilevel"/>
    <w:tmpl w:val="53D45232"/>
    <w:styleLink w:val="Headings"/>
    <w:lvl w:ilvl="0">
      <w:start w:val="1"/>
      <w:numFmt w:val="decimal"/>
      <w:pStyle w:val="Titre1"/>
      <w:lvlText w:val="%1"/>
      <w:lvlJc w:val="left"/>
      <w:pPr>
        <w:tabs>
          <w:tab w:val="num" w:pos="567"/>
        </w:tabs>
        <w:ind w:left="567" w:hanging="567"/>
      </w:pPr>
      <w:rPr>
        <w:rFonts w:hint="default"/>
      </w:rPr>
    </w:lvl>
    <w:lvl w:ilvl="1">
      <w:start w:val="1"/>
      <w:numFmt w:val="decimal"/>
      <w:pStyle w:val="Titre2"/>
      <w:lvlText w:val="%1.%2"/>
      <w:lvlJc w:val="left"/>
      <w:pPr>
        <w:tabs>
          <w:tab w:val="num" w:pos="567"/>
        </w:tabs>
        <w:ind w:left="567" w:hanging="567"/>
      </w:pPr>
      <w:rPr>
        <w:rFonts w:hint="default"/>
      </w:rPr>
    </w:lvl>
    <w:lvl w:ilvl="2">
      <w:start w:val="1"/>
      <w:numFmt w:val="decimal"/>
      <w:pStyle w:val="Titre3"/>
      <w:lvlText w:val="%1.%2.%3"/>
      <w:lvlJc w:val="left"/>
      <w:pPr>
        <w:tabs>
          <w:tab w:val="num" w:pos="567"/>
        </w:tabs>
        <w:ind w:left="567" w:hanging="567"/>
      </w:pPr>
      <w:rPr>
        <w:rFonts w:hint="default"/>
      </w:rPr>
    </w:lvl>
    <w:lvl w:ilvl="3">
      <w:start w:val="1"/>
      <w:numFmt w:val="decimal"/>
      <w:pStyle w:val="Titre4"/>
      <w:lvlText w:val="%1.%2.%3.%4"/>
      <w:lvlJc w:val="left"/>
      <w:pPr>
        <w:tabs>
          <w:tab w:val="num" w:pos="567"/>
        </w:tabs>
        <w:ind w:left="567" w:hanging="567"/>
      </w:pPr>
      <w:rPr>
        <w:rFonts w:hint="default"/>
      </w:rPr>
    </w:lvl>
    <w:lvl w:ilvl="4">
      <w:start w:val="1"/>
      <w:numFmt w:val="decimal"/>
      <w:pStyle w:val="Titre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244534343">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2" w16cid:durableId="514539255">
    <w:abstractNumId w:val="0"/>
  </w:num>
  <w:num w:numId="3" w16cid:durableId="467475892">
    <w:abstractNumId w:val="0"/>
    <w:lvlOverride w:ilvl="0">
      <w:startOverride w:val="1"/>
      <w:lvl w:ilvl="0">
        <w:start w:val="1"/>
        <w:numFmt w:val="decimal"/>
        <w:pStyle w:val="Titre1"/>
        <w:lvlText w:val="%1"/>
        <w:lvlJc w:val="left"/>
        <w:pPr>
          <w:tabs>
            <w:tab w:val="num" w:pos="567"/>
          </w:tabs>
          <w:ind w:left="567" w:hanging="567"/>
        </w:pPr>
        <w:rPr>
          <w:rFonts w:hint="default"/>
        </w:rPr>
      </w:lvl>
    </w:lvlOverride>
    <w:lvlOverride w:ilvl="1">
      <w:startOverride w:val="1"/>
      <w:lvl w:ilvl="1">
        <w:start w:val="1"/>
        <w:numFmt w:val="decimal"/>
        <w:pStyle w:val="Titre2"/>
        <w:lvlText w:val="%1.%2"/>
        <w:lvlJc w:val="left"/>
        <w:pPr>
          <w:tabs>
            <w:tab w:val="num" w:pos="567"/>
          </w:tabs>
          <w:ind w:left="567" w:hanging="567"/>
        </w:pPr>
        <w:rPr>
          <w:rFonts w:hint="default"/>
        </w:rPr>
      </w:lvl>
    </w:lvlOverride>
    <w:lvlOverride w:ilvl="2">
      <w:startOverride w:val="1"/>
      <w:lvl w:ilvl="2">
        <w:start w:val="1"/>
        <w:numFmt w:val="decimal"/>
        <w:pStyle w:val="Titre3"/>
        <w:lvlText w:val="%1.%2.%3"/>
        <w:lvlJc w:val="left"/>
        <w:pPr>
          <w:tabs>
            <w:tab w:val="num" w:pos="567"/>
          </w:tabs>
          <w:ind w:left="567" w:hanging="567"/>
        </w:pPr>
        <w:rPr>
          <w:rFonts w:hint="default"/>
        </w:rPr>
      </w:lvl>
    </w:lvlOverride>
    <w:lvlOverride w:ilvl="3">
      <w:startOverride w:val="1"/>
      <w:lvl w:ilvl="3">
        <w:start w:val="1"/>
        <w:numFmt w:val="decimal"/>
        <w:pStyle w:val="Titre4"/>
        <w:lvlText w:val="%1.%2.%3.%4"/>
        <w:lvlJc w:val="left"/>
        <w:pPr>
          <w:tabs>
            <w:tab w:val="num" w:pos="567"/>
          </w:tabs>
          <w:ind w:left="567" w:hanging="567"/>
        </w:pPr>
        <w:rPr>
          <w:rFonts w:hint="default"/>
        </w:rPr>
      </w:lvl>
    </w:lvlOverride>
    <w:lvlOverride w:ilvl="4">
      <w:startOverride w:val="1"/>
      <w:lvl w:ilvl="4">
        <w:start w:val="1"/>
        <w:numFmt w:val="decimal"/>
        <w:pStyle w:val="Titre5"/>
        <w:lvlText w:val="%1.%2.%3.%4.%5"/>
        <w:lvlJc w:val="left"/>
        <w:pPr>
          <w:tabs>
            <w:tab w:val="num" w:pos="567"/>
          </w:tabs>
          <w:ind w:left="567" w:hanging="567"/>
        </w:pPr>
        <w:rPr>
          <w:rFonts w:hint="default"/>
        </w:rPr>
      </w:lvl>
    </w:lvlOverride>
    <w:lvlOverride w:ilvl="5">
      <w:startOverride w:val="1"/>
      <w:lvl w:ilvl="5">
        <w:start w:val="1"/>
        <w:numFmt w:val="lowerRoman"/>
        <w:lvlText w:val="%6."/>
        <w:lvlJc w:val="right"/>
        <w:pPr>
          <w:tabs>
            <w:tab w:val="num" w:pos="567"/>
          </w:tabs>
          <w:ind w:left="567" w:hanging="567"/>
        </w:pPr>
        <w:rPr>
          <w:rFonts w:hint="default"/>
        </w:rPr>
      </w:lvl>
    </w:lvlOverride>
    <w:lvlOverride w:ilvl="6">
      <w:startOverride w:val="1"/>
      <w:lvl w:ilvl="6">
        <w:start w:val="1"/>
        <w:numFmt w:val="decimal"/>
        <w:lvlText w:val="%7."/>
        <w:lvlJc w:val="left"/>
        <w:pPr>
          <w:tabs>
            <w:tab w:val="num" w:pos="567"/>
          </w:tabs>
          <w:ind w:left="567" w:hanging="567"/>
        </w:pPr>
        <w:rPr>
          <w:rFonts w:hint="default"/>
        </w:rPr>
      </w:lvl>
    </w:lvlOverride>
    <w:lvlOverride w:ilvl="7">
      <w:startOverride w:val="1"/>
      <w:lvl w:ilvl="7">
        <w:start w:val="1"/>
        <w:numFmt w:val="lowerLetter"/>
        <w:lvlText w:val="%8."/>
        <w:lvlJc w:val="left"/>
        <w:pPr>
          <w:tabs>
            <w:tab w:val="num" w:pos="567"/>
          </w:tabs>
          <w:ind w:left="567" w:hanging="567"/>
        </w:pPr>
        <w:rPr>
          <w:rFonts w:hint="default"/>
        </w:rPr>
      </w:lvl>
    </w:lvlOverride>
    <w:lvlOverride w:ilvl="8">
      <w:startOverride w:val="1"/>
      <w:lvl w:ilvl="8">
        <w:start w:val="1"/>
        <w:numFmt w:val="lowerRoman"/>
        <w:lvlText w:val="%9."/>
        <w:lvlJc w:val="right"/>
        <w:pPr>
          <w:tabs>
            <w:tab w:val="num" w:pos="567"/>
          </w:tabs>
          <w:ind w:left="567" w:hanging="567"/>
        </w:pPr>
        <w:rPr>
          <w:rFonts w:hint="default"/>
        </w:rPr>
      </w:lvl>
    </w:lvlOverride>
  </w:num>
  <w:num w:numId="4" w16cid:durableId="1577351472">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5" w16cid:durableId="1762683165">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6" w16cid:durableId="348221104">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7" w16cid:durableId="558442369">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8" w16cid:durableId="1169293772">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9" w16cid:durableId="23098721">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0" w16cid:durableId="1152713742">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1" w16cid:durableId="1786389540">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2" w16cid:durableId="153302636">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3" w16cid:durableId="1638603111">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4" w16cid:durableId="1336155822">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15" w16cid:durableId="2064793609">
    <w:abstractNumId w:val="0"/>
    <w:lvlOverride w:ilvl="0">
      <w:lvl w:ilvl="0">
        <w:start w:val="1"/>
        <w:numFmt w:val="decimal"/>
        <w:pStyle w:val="Titre1"/>
        <w:lvlText w:val="%1"/>
        <w:lvlJc w:val="left"/>
        <w:pPr>
          <w:tabs>
            <w:tab w:val="num" w:pos="567"/>
          </w:tabs>
          <w:ind w:left="567" w:hanging="567"/>
        </w:pPr>
        <w:rPr>
          <w:rFonts w:hint="default"/>
        </w:rPr>
      </w:lvl>
    </w:lvlOverride>
    <w:lvlOverride w:ilvl="1">
      <w:lvl w:ilvl="1">
        <w:start w:val="1"/>
        <w:numFmt w:val="decimal"/>
        <w:pStyle w:val="Titre2"/>
        <w:lvlText w:val="%1.%2"/>
        <w:lvlJc w:val="left"/>
        <w:pPr>
          <w:tabs>
            <w:tab w:val="num" w:pos="567"/>
          </w:tabs>
          <w:ind w:left="567" w:hanging="567"/>
        </w:pPr>
        <w:rPr>
          <w:rFonts w:hint="default"/>
          <w:lang w:val="fr-FR"/>
        </w:rPr>
      </w:lvl>
    </w:lvlOverride>
    <w:lvlOverride w:ilvl="2">
      <w:lvl w:ilvl="2">
        <w:start w:val="1"/>
        <w:numFmt w:val="decimal"/>
        <w:pStyle w:val="Titre3"/>
        <w:lvlText w:val="%1.%2.%3"/>
        <w:lvlJc w:val="left"/>
        <w:pPr>
          <w:tabs>
            <w:tab w:val="num" w:pos="567"/>
          </w:tabs>
          <w:ind w:left="567" w:hanging="567"/>
        </w:pPr>
        <w:rPr>
          <w:rFonts w:hint="default"/>
        </w:rPr>
      </w:lvl>
    </w:lvlOverride>
    <w:lvlOverride w:ilvl="3">
      <w:lvl w:ilvl="3">
        <w:start w:val="1"/>
        <w:numFmt w:val="decimal"/>
        <w:pStyle w:val="Titre4"/>
        <w:lvlText w:val="%1.%2.%3.%4"/>
        <w:lvlJc w:val="left"/>
        <w:pPr>
          <w:tabs>
            <w:tab w:val="num" w:pos="567"/>
          </w:tabs>
          <w:ind w:left="567" w:hanging="567"/>
        </w:pPr>
        <w:rPr>
          <w:rFonts w:hint="default"/>
        </w:rPr>
      </w:lvl>
    </w:lvlOverride>
    <w:lvlOverride w:ilvl="4">
      <w:lvl w:ilvl="4">
        <w:start w:val="1"/>
        <w:numFmt w:val="decimal"/>
        <w:pStyle w:val="Titre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65D9"/>
    <w:rsid w:val="000049E0"/>
    <w:rsid w:val="00010227"/>
    <w:rsid w:val="00036D75"/>
    <w:rsid w:val="00042C07"/>
    <w:rsid w:val="00050A50"/>
    <w:rsid w:val="00057953"/>
    <w:rsid w:val="00061D84"/>
    <w:rsid w:val="000676C1"/>
    <w:rsid w:val="00071621"/>
    <w:rsid w:val="0007391D"/>
    <w:rsid w:val="00093CF0"/>
    <w:rsid w:val="000A5462"/>
    <w:rsid w:val="000A6418"/>
    <w:rsid w:val="000A72C0"/>
    <w:rsid w:val="000B3086"/>
    <w:rsid w:val="000C7179"/>
    <w:rsid w:val="000E3560"/>
    <w:rsid w:val="000F1F5F"/>
    <w:rsid w:val="000F25BB"/>
    <w:rsid w:val="00126D38"/>
    <w:rsid w:val="0013041E"/>
    <w:rsid w:val="00132297"/>
    <w:rsid w:val="00132712"/>
    <w:rsid w:val="00133121"/>
    <w:rsid w:val="00151670"/>
    <w:rsid w:val="001609CA"/>
    <w:rsid w:val="00166683"/>
    <w:rsid w:val="00172631"/>
    <w:rsid w:val="00172A48"/>
    <w:rsid w:val="00177A78"/>
    <w:rsid w:val="001914FA"/>
    <w:rsid w:val="00196852"/>
    <w:rsid w:val="001B5352"/>
    <w:rsid w:val="001B5AA2"/>
    <w:rsid w:val="001C4F19"/>
    <w:rsid w:val="001D256E"/>
    <w:rsid w:val="001D375D"/>
    <w:rsid w:val="001D4ED0"/>
    <w:rsid w:val="001D5E19"/>
    <w:rsid w:val="001D7792"/>
    <w:rsid w:val="001E112D"/>
    <w:rsid w:val="001E6BE6"/>
    <w:rsid w:val="0021380C"/>
    <w:rsid w:val="00222B09"/>
    <w:rsid w:val="00257E64"/>
    <w:rsid w:val="0027576A"/>
    <w:rsid w:val="0028010E"/>
    <w:rsid w:val="00281573"/>
    <w:rsid w:val="00281D33"/>
    <w:rsid w:val="00292148"/>
    <w:rsid w:val="002924AB"/>
    <w:rsid w:val="002B1BA8"/>
    <w:rsid w:val="002D0E64"/>
    <w:rsid w:val="002D2B4F"/>
    <w:rsid w:val="002D739E"/>
    <w:rsid w:val="002E535E"/>
    <w:rsid w:val="002E5750"/>
    <w:rsid w:val="002F219F"/>
    <w:rsid w:val="002F410C"/>
    <w:rsid w:val="00306625"/>
    <w:rsid w:val="003068F8"/>
    <w:rsid w:val="00320301"/>
    <w:rsid w:val="00325F62"/>
    <w:rsid w:val="003328F2"/>
    <w:rsid w:val="003363E2"/>
    <w:rsid w:val="0034246F"/>
    <w:rsid w:val="003524FD"/>
    <w:rsid w:val="00355F2D"/>
    <w:rsid w:val="003625CB"/>
    <w:rsid w:val="00363DBC"/>
    <w:rsid w:val="00367664"/>
    <w:rsid w:val="003737D3"/>
    <w:rsid w:val="003771D0"/>
    <w:rsid w:val="00380C94"/>
    <w:rsid w:val="003A1A7D"/>
    <w:rsid w:val="003A2671"/>
    <w:rsid w:val="003A4F97"/>
    <w:rsid w:val="003A66AC"/>
    <w:rsid w:val="003B7241"/>
    <w:rsid w:val="003C2A04"/>
    <w:rsid w:val="003C5B12"/>
    <w:rsid w:val="003D329B"/>
    <w:rsid w:val="003D383E"/>
    <w:rsid w:val="003D557C"/>
    <w:rsid w:val="003F3767"/>
    <w:rsid w:val="003F77EF"/>
    <w:rsid w:val="004100A9"/>
    <w:rsid w:val="004118FB"/>
    <w:rsid w:val="0041638A"/>
    <w:rsid w:val="00420DB7"/>
    <w:rsid w:val="00424447"/>
    <w:rsid w:val="00436185"/>
    <w:rsid w:val="00443286"/>
    <w:rsid w:val="00443579"/>
    <w:rsid w:val="004444F4"/>
    <w:rsid w:val="00445544"/>
    <w:rsid w:val="00452886"/>
    <w:rsid w:val="00453DD6"/>
    <w:rsid w:val="00467237"/>
    <w:rsid w:val="004759AA"/>
    <w:rsid w:val="004762AA"/>
    <w:rsid w:val="0048221D"/>
    <w:rsid w:val="00487B9D"/>
    <w:rsid w:val="00493077"/>
    <w:rsid w:val="00496CFB"/>
    <w:rsid w:val="004A31B2"/>
    <w:rsid w:val="004A65CA"/>
    <w:rsid w:val="004B76CA"/>
    <w:rsid w:val="004C4C56"/>
    <w:rsid w:val="004C5004"/>
    <w:rsid w:val="004C5A15"/>
    <w:rsid w:val="004D1703"/>
    <w:rsid w:val="004E1581"/>
    <w:rsid w:val="004E6528"/>
    <w:rsid w:val="004F0771"/>
    <w:rsid w:val="004F17A8"/>
    <w:rsid w:val="004F465E"/>
    <w:rsid w:val="005022D8"/>
    <w:rsid w:val="00504C7B"/>
    <w:rsid w:val="00507C12"/>
    <w:rsid w:val="00517E8C"/>
    <w:rsid w:val="0052536F"/>
    <w:rsid w:val="00530890"/>
    <w:rsid w:val="00530C48"/>
    <w:rsid w:val="00530D61"/>
    <w:rsid w:val="00532BF8"/>
    <w:rsid w:val="00536B1D"/>
    <w:rsid w:val="005532F7"/>
    <w:rsid w:val="00554ED1"/>
    <w:rsid w:val="005575AB"/>
    <w:rsid w:val="00563BCD"/>
    <w:rsid w:val="00564202"/>
    <w:rsid w:val="00580624"/>
    <w:rsid w:val="005826EC"/>
    <w:rsid w:val="00583FDB"/>
    <w:rsid w:val="005842BC"/>
    <w:rsid w:val="005976C0"/>
    <w:rsid w:val="005A5DF0"/>
    <w:rsid w:val="005A6405"/>
    <w:rsid w:val="005B651B"/>
    <w:rsid w:val="005C0546"/>
    <w:rsid w:val="005C7021"/>
    <w:rsid w:val="005C76DF"/>
    <w:rsid w:val="005F5579"/>
    <w:rsid w:val="00632E39"/>
    <w:rsid w:val="00641C1F"/>
    <w:rsid w:val="0065119A"/>
    <w:rsid w:val="006512DB"/>
    <w:rsid w:val="00656EF8"/>
    <w:rsid w:val="006575A3"/>
    <w:rsid w:val="0067085D"/>
    <w:rsid w:val="006761BB"/>
    <w:rsid w:val="00680DD8"/>
    <w:rsid w:val="00685E5D"/>
    <w:rsid w:val="00687794"/>
    <w:rsid w:val="006A5FA9"/>
    <w:rsid w:val="006B0BC2"/>
    <w:rsid w:val="006B0FA2"/>
    <w:rsid w:val="006B158F"/>
    <w:rsid w:val="006B7C1A"/>
    <w:rsid w:val="006C5976"/>
    <w:rsid w:val="006E4A6D"/>
    <w:rsid w:val="006E60D2"/>
    <w:rsid w:val="006F5E67"/>
    <w:rsid w:val="006F6775"/>
    <w:rsid w:val="00706DFC"/>
    <w:rsid w:val="00750F93"/>
    <w:rsid w:val="007570A4"/>
    <w:rsid w:val="0078650D"/>
    <w:rsid w:val="00786CF1"/>
    <w:rsid w:val="00795736"/>
    <w:rsid w:val="00795835"/>
    <w:rsid w:val="007B2407"/>
    <w:rsid w:val="007B6129"/>
    <w:rsid w:val="007E7273"/>
    <w:rsid w:val="007F03DC"/>
    <w:rsid w:val="007F21CE"/>
    <w:rsid w:val="007F547A"/>
    <w:rsid w:val="00803860"/>
    <w:rsid w:val="0081016F"/>
    <w:rsid w:val="00833BDE"/>
    <w:rsid w:val="00833FA0"/>
    <w:rsid w:val="00835E6E"/>
    <w:rsid w:val="00850B4D"/>
    <w:rsid w:val="00855895"/>
    <w:rsid w:val="00870072"/>
    <w:rsid w:val="00877CAB"/>
    <w:rsid w:val="008957EB"/>
    <w:rsid w:val="008A6320"/>
    <w:rsid w:val="008B6895"/>
    <w:rsid w:val="008B78D6"/>
    <w:rsid w:val="008C172A"/>
    <w:rsid w:val="008D50FA"/>
    <w:rsid w:val="008D5DF6"/>
    <w:rsid w:val="008D7BDE"/>
    <w:rsid w:val="008E1BFD"/>
    <w:rsid w:val="008E68B7"/>
    <w:rsid w:val="00900932"/>
    <w:rsid w:val="00903053"/>
    <w:rsid w:val="00911AD5"/>
    <w:rsid w:val="009213FE"/>
    <w:rsid w:val="00926999"/>
    <w:rsid w:val="00926B63"/>
    <w:rsid w:val="0093414C"/>
    <w:rsid w:val="0094681C"/>
    <w:rsid w:val="00952B32"/>
    <w:rsid w:val="0095764D"/>
    <w:rsid w:val="00970EAA"/>
    <w:rsid w:val="00971DD1"/>
    <w:rsid w:val="0098016F"/>
    <w:rsid w:val="0098141E"/>
    <w:rsid w:val="00981DF9"/>
    <w:rsid w:val="0098213F"/>
    <w:rsid w:val="009822BD"/>
    <w:rsid w:val="009848D1"/>
    <w:rsid w:val="00992094"/>
    <w:rsid w:val="009C3277"/>
    <w:rsid w:val="009E1D7A"/>
    <w:rsid w:val="009E7A20"/>
    <w:rsid w:val="00A07F2D"/>
    <w:rsid w:val="00A15550"/>
    <w:rsid w:val="00A17445"/>
    <w:rsid w:val="00A22E44"/>
    <w:rsid w:val="00A32C52"/>
    <w:rsid w:val="00A35C3F"/>
    <w:rsid w:val="00A476DE"/>
    <w:rsid w:val="00A518F8"/>
    <w:rsid w:val="00A55A91"/>
    <w:rsid w:val="00A56963"/>
    <w:rsid w:val="00A57D71"/>
    <w:rsid w:val="00A71671"/>
    <w:rsid w:val="00A744F9"/>
    <w:rsid w:val="00A8526F"/>
    <w:rsid w:val="00A86489"/>
    <w:rsid w:val="00AA1C00"/>
    <w:rsid w:val="00AA44F4"/>
    <w:rsid w:val="00AB23F4"/>
    <w:rsid w:val="00AC3153"/>
    <w:rsid w:val="00AC3328"/>
    <w:rsid w:val="00AC3BD3"/>
    <w:rsid w:val="00AD4C8E"/>
    <w:rsid w:val="00AF048B"/>
    <w:rsid w:val="00AF595E"/>
    <w:rsid w:val="00AF6CD3"/>
    <w:rsid w:val="00B127D1"/>
    <w:rsid w:val="00B128A4"/>
    <w:rsid w:val="00B23AB5"/>
    <w:rsid w:val="00B30BF7"/>
    <w:rsid w:val="00B368BE"/>
    <w:rsid w:val="00B376B0"/>
    <w:rsid w:val="00B552F7"/>
    <w:rsid w:val="00B64E5B"/>
    <w:rsid w:val="00B66606"/>
    <w:rsid w:val="00B7288B"/>
    <w:rsid w:val="00B76CEA"/>
    <w:rsid w:val="00B83175"/>
    <w:rsid w:val="00B872F9"/>
    <w:rsid w:val="00BB13D4"/>
    <w:rsid w:val="00BB7426"/>
    <w:rsid w:val="00BE42B3"/>
    <w:rsid w:val="00BE502E"/>
    <w:rsid w:val="00BF1CFE"/>
    <w:rsid w:val="00C06ADB"/>
    <w:rsid w:val="00C263CF"/>
    <w:rsid w:val="00C320C3"/>
    <w:rsid w:val="00C33263"/>
    <w:rsid w:val="00C353E9"/>
    <w:rsid w:val="00C40500"/>
    <w:rsid w:val="00C4406C"/>
    <w:rsid w:val="00C478A5"/>
    <w:rsid w:val="00C47ED2"/>
    <w:rsid w:val="00C663F2"/>
    <w:rsid w:val="00C67F46"/>
    <w:rsid w:val="00C77498"/>
    <w:rsid w:val="00C97524"/>
    <w:rsid w:val="00CA4C19"/>
    <w:rsid w:val="00CB082E"/>
    <w:rsid w:val="00CB377B"/>
    <w:rsid w:val="00CB5306"/>
    <w:rsid w:val="00CC36D4"/>
    <w:rsid w:val="00CC6236"/>
    <w:rsid w:val="00CD58B9"/>
    <w:rsid w:val="00CD6679"/>
    <w:rsid w:val="00CD7C28"/>
    <w:rsid w:val="00CE0CA5"/>
    <w:rsid w:val="00CE4E4D"/>
    <w:rsid w:val="00CE65D9"/>
    <w:rsid w:val="00CE6E92"/>
    <w:rsid w:val="00CF036F"/>
    <w:rsid w:val="00CF10B2"/>
    <w:rsid w:val="00CF139F"/>
    <w:rsid w:val="00CF1A58"/>
    <w:rsid w:val="00CF5CBC"/>
    <w:rsid w:val="00CF6399"/>
    <w:rsid w:val="00CF6B4B"/>
    <w:rsid w:val="00CF7781"/>
    <w:rsid w:val="00D01237"/>
    <w:rsid w:val="00D04CA3"/>
    <w:rsid w:val="00D11AFD"/>
    <w:rsid w:val="00D21D08"/>
    <w:rsid w:val="00D231DD"/>
    <w:rsid w:val="00D26216"/>
    <w:rsid w:val="00D31320"/>
    <w:rsid w:val="00D52770"/>
    <w:rsid w:val="00D53D60"/>
    <w:rsid w:val="00D579A4"/>
    <w:rsid w:val="00D70658"/>
    <w:rsid w:val="00D74F02"/>
    <w:rsid w:val="00D833A7"/>
    <w:rsid w:val="00D869C7"/>
    <w:rsid w:val="00D951B4"/>
    <w:rsid w:val="00DA1927"/>
    <w:rsid w:val="00DA620F"/>
    <w:rsid w:val="00DC2E58"/>
    <w:rsid w:val="00DC7C72"/>
    <w:rsid w:val="00DD44D5"/>
    <w:rsid w:val="00DD53DE"/>
    <w:rsid w:val="00DE2EDA"/>
    <w:rsid w:val="00DF497F"/>
    <w:rsid w:val="00E114FA"/>
    <w:rsid w:val="00E16CC5"/>
    <w:rsid w:val="00E31CA0"/>
    <w:rsid w:val="00E372F9"/>
    <w:rsid w:val="00E4012D"/>
    <w:rsid w:val="00E5099C"/>
    <w:rsid w:val="00E557DE"/>
    <w:rsid w:val="00E56B64"/>
    <w:rsid w:val="00E84F19"/>
    <w:rsid w:val="00E85387"/>
    <w:rsid w:val="00E9266D"/>
    <w:rsid w:val="00EA2FE0"/>
    <w:rsid w:val="00EC049D"/>
    <w:rsid w:val="00EE0111"/>
    <w:rsid w:val="00EE517B"/>
    <w:rsid w:val="00F03549"/>
    <w:rsid w:val="00F131DC"/>
    <w:rsid w:val="00F156EF"/>
    <w:rsid w:val="00F248BA"/>
    <w:rsid w:val="00F31B30"/>
    <w:rsid w:val="00F41C59"/>
    <w:rsid w:val="00F46842"/>
    <w:rsid w:val="00F53A7B"/>
    <w:rsid w:val="00F53F92"/>
    <w:rsid w:val="00F560BB"/>
    <w:rsid w:val="00F57B96"/>
    <w:rsid w:val="00F60F43"/>
    <w:rsid w:val="00F64DE8"/>
    <w:rsid w:val="00F83B89"/>
    <w:rsid w:val="00FA017C"/>
    <w:rsid w:val="00FB7721"/>
    <w:rsid w:val="00FC059D"/>
    <w:rsid w:val="00FD16CF"/>
    <w:rsid w:val="00FE6BE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7B8936"/>
  <w15:docId w15:val="{5E275575-5AF7-E646-8461-FF99A7209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5D9"/>
    <w:pPr>
      <w:spacing w:before="120" w:after="120" w:line="360" w:lineRule="auto"/>
      <w:jc w:val="both"/>
    </w:pPr>
    <w:rPr>
      <w:rFonts w:ascii="Arial" w:eastAsia="Times New Roman" w:hAnsi="Arial" w:cs="Times New Roman"/>
    </w:rPr>
  </w:style>
  <w:style w:type="paragraph" w:styleId="Titre1">
    <w:name w:val="heading 1"/>
    <w:basedOn w:val="Paragraphedeliste"/>
    <w:next w:val="Normal"/>
    <w:link w:val="Titre1Car"/>
    <w:uiPriority w:val="2"/>
    <w:qFormat/>
    <w:rsid w:val="002D0E64"/>
    <w:pPr>
      <w:numPr>
        <w:numId w:val="1"/>
      </w:numPr>
      <w:spacing w:before="240" w:after="240" w:line="240" w:lineRule="auto"/>
      <w:contextualSpacing w:val="0"/>
      <w:outlineLvl w:val="0"/>
    </w:pPr>
    <w:rPr>
      <w:rFonts w:eastAsia="Cambria"/>
      <w:b/>
      <w:lang w:val="en-US"/>
    </w:rPr>
  </w:style>
  <w:style w:type="paragraph" w:styleId="Titre2">
    <w:name w:val="heading 2"/>
    <w:basedOn w:val="Titre1"/>
    <w:next w:val="Normal"/>
    <w:link w:val="Titre2Car"/>
    <w:uiPriority w:val="2"/>
    <w:qFormat/>
    <w:rsid w:val="002D0E64"/>
    <w:pPr>
      <w:numPr>
        <w:ilvl w:val="1"/>
      </w:numPr>
      <w:spacing w:after="200"/>
      <w:outlineLvl w:val="1"/>
    </w:pPr>
  </w:style>
  <w:style w:type="paragraph" w:styleId="Titre3">
    <w:name w:val="heading 3"/>
    <w:basedOn w:val="Normal"/>
    <w:next w:val="Normal"/>
    <w:link w:val="Titre3Car"/>
    <w:uiPriority w:val="2"/>
    <w:qFormat/>
    <w:rsid w:val="002D0E64"/>
    <w:pPr>
      <w:keepNext/>
      <w:keepLines/>
      <w:numPr>
        <w:ilvl w:val="2"/>
        <w:numId w:val="1"/>
      </w:numPr>
      <w:spacing w:before="40" w:line="240" w:lineRule="auto"/>
      <w:outlineLvl w:val="2"/>
    </w:pPr>
    <w:rPr>
      <w:rFonts w:eastAsiaTheme="majorEastAsia" w:cstheme="majorBidi"/>
      <w:b/>
      <w:lang w:val="en-US"/>
    </w:rPr>
  </w:style>
  <w:style w:type="paragraph" w:styleId="Titre4">
    <w:name w:val="heading 4"/>
    <w:basedOn w:val="Titre3"/>
    <w:next w:val="Normal"/>
    <w:link w:val="Titre4Car"/>
    <w:uiPriority w:val="2"/>
    <w:qFormat/>
    <w:rsid w:val="002D0E64"/>
    <w:pPr>
      <w:numPr>
        <w:ilvl w:val="3"/>
      </w:numPr>
      <w:outlineLvl w:val="3"/>
    </w:pPr>
    <w:rPr>
      <w:iCs/>
    </w:rPr>
  </w:style>
  <w:style w:type="paragraph" w:styleId="Titre5">
    <w:name w:val="heading 5"/>
    <w:basedOn w:val="Titre4"/>
    <w:next w:val="Normal"/>
    <w:link w:val="Titre5Car"/>
    <w:uiPriority w:val="2"/>
    <w:qFormat/>
    <w:rsid w:val="002D0E64"/>
    <w:pPr>
      <w:numPr>
        <w:ilvl w:val="4"/>
      </w:numPr>
      <w:outlineLvl w:val="4"/>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Bibliographie1">
    <w:name w:val="Bibliographie1"/>
    <w:basedOn w:val="Normal"/>
    <w:link w:val="BibliographyCar"/>
    <w:rsid w:val="00AA1C00"/>
    <w:pPr>
      <w:tabs>
        <w:tab w:val="left" w:pos="500"/>
      </w:tabs>
      <w:spacing w:after="240" w:line="240" w:lineRule="auto"/>
      <w:ind w:left="504" w:hanging="504"/>
    </w:pPr>
    <w:rPr>
      <w:rFonts w:cstheme="minorHAnsi"/>
    </w:rPr>
  </w:style>
  <w:style w:type="character" w:customStyle="1" w:styleId="BibliographyCar">
    <w:name w:val="Bibliography Car"/>
    <w:basedOn w:val="Policepardfaut"/>
    <w:link w:val="Bibliographie1"/>
    <w:rsid w:val="00AA1C00"/>
    <w:rPr>
      <w:rFonts w:ascii="Arial" w:eastAsia="Times New Roman" w:hAnsi="Arial" w:cstheme="minorHAnsi"/>
    </w:rPr>
  </w:style>
  <w:style w:type="character" w:customStyle="1" w:styleId="Titre1Car">
    <w:name w:val="Titre 1 Car"/>
    <w:basedOn w:val="Policepardfaut"/>
    <w:link w:val="Titre1"/>
    <w:uiPriority w:val="2"/>
    <w:rsid w:val="002D0E64"/>
    <w:rPr>
      <w:rFonts w:ascii="Arial" w:eastAsia="Cambria" w:hAnsi="Arial" w:cs="Times New Roman"/>
      <w:b/>
      <w:lang w:val="en-US"/>
    </w:rPr>
  </w:style>
  <w:style w:type="character" w:customStyle="1" w:styleId="Titre2Car">
    <w:name w:val="Titre 2 Car"/>
    <w:basedOn w:val="Policepardfaut"/>
    <w:link w:val="Titre2"/>
    <w:uiPriority w:val="2"/>
    <w:rsid w:val="002D0E64"/>
    <w:rPr>
      <w:rFonts w:ascii="Arial" w:eastAsia="Cambria" w:hAnsi="Arial" w:cs="Times New Roman"/>
      <w:b/>
      <w:lang w:val="en-US"/>
    </w:rPr>
  </w:style>
  <w:style w:type="character" w:customStyle="1" w:styleId="Titre3Car">
    <w:name w:val="Titre 3 Car"/>
    <w:basedOn w:val="Policepardfaut"/>
    <w:link w:val="Titre3"/>
    <w:uiPriority w:val="2"/>
    <w:rsid w:val="002D0E64"/>
    <w:rPr>
      <w:rFonts w:ascii="Arial" w:eastAsiaTheme="majorEastAsia" w:hAnsi="Arial" w:cstheme="majorBidi"/>
      <w:b/>
      <w:lang w:val="en-US"/>
    </w:rPr>
  </w:style>
  <w:style w:type="character" w:customStyle="1" w:styleId="Titre4Car">
    <w:name w:val="Titre 4 Car"/>
    <w:basedOn w:val="Policepardfaut"/>
    <w:link w:val="Titre4"/>
    <w:uiPriority w:val="2"/>
    <w:rsid w:val="002D0E64"/>
    <w:rPr>
      <w:rFonts w:ascii="Arial" w:eastAsiaTheme="majorEastAsia" w:hAnsi="Arial" w:cstheme="majorBidi"/>
      <w:b/>
      <w:iCs/>
      <w:lang w:val="en-US"/>
    </w:rPr>
  </w:style>
  <w:style w:type="character" w:customStyle="1" w:styleId="Titre5Car">
    <w:name w:val="Titre 5 Car"/>
    <w:basedOn w:val="Policepardfaut"/>
    <w:link w:val="Titre5"/>
    <w:uiPriority w:val="2"/>
    <w:rsid w:val="002D0E64"/>
    <w:rPr>
      <w:rFonts w:ascii="Arial" w:eastAsiaTheme="majorEastAsia" w:hAnsi="Arial" w:cstheme="majorBidi"/>
      <w:b/>
      <w:iCs/>
      <w:lang w:val="en-US"/>
    </w:rPr>
  </w:style>
  <w:style w:type="numbering" w:customStyle="1" w:styleId="Headings">
    <w:name w:val="Headings"/>
    <w:uiPriority w:val="99"/>
    <w:rsid w:val="002D0E64"/>
    <w:pPr>
      <w:numPr>
        <w:numId w:val="2"/>
      </w:numPr>
    </w:pPr>
  </w:style>
  <w:style w:type="paragraph" w:styleId="Paragraphedeliste">
    <w:name w:val="List Paragraph"/>
    <w:basedOn w:val="Normal"/>
    <w:uiPriority w:val="34"/>
    <w:qFormat/>
    <w:rsid w:val="002D0E64"/>
    <w:pPr>
      <w:ind w:left="720"/>
      <w:contextualSpacing/>
    </w:pPr>
  </w:style>
  <w:style w:type="paragraph" w:styleId="NormalWeb">
    <w:name w:val="Normal (Web)"/>
    <w:basedOn w:val="Normal"/>
    <w:uiPriority w:val="99"/>
    <w:semiHidden/>
    <w:unhideWhenUsed/>
    <w:rsid w:val="00786CF1"/>
    <w:pPr>
      <w:spacing w:before="100" w:beforeAutospacing="1" w:after="100" w:afterAutospacing="1" w:line="240" w:lineRule="auto"/>
      <w:jc w:val="left"/>
    </w:pPr>
    <w:rPr>
      <w:rFonts w:ascii="Times New Roman" w:hAnsi="Times New Roman"/>
      <w:lang w:eastAsia="fr-FR"/>
    </w:rPr>
  </w:style>
  <w:style w:type="paragraph" w:styleId="Rvision">
    <w:name w:val="Revision"/>
    <w:hidden/>
    <w:uiPriority w:val="99"/>
    <w:semiHidden/>
    <w:rsid w:val="003A4F97"/>
    <w:rPr>
      <w:rFonts w:ascii="Arial" w:eastAsia="Times New Roman" w:hAnsi="Arial" w:cs="Times New Roman"/>
    </w:rPr>
  </w:style>
  <w:style w:type="character" w:styleId="Marquedecommentaire">
    <w:name w:val="annotation reference"/>
    <w:basedOn w:val="Policepardfaut"/>
    <w:uiPriority w:val="99"/>
    <w:semiHidden/>
    <w:unhideWhenUsed/>
    <w:rsid w:val="00133121"/>
    <w:rPr>
      <w:sz w:val="16"/>
      <w:szCs w:val="16"/>
    </w:rPr>
  </w:style>
  <w:style w:type="paragraph" w:styleId="Commentaire">
    <w:name w:val="annotation text"/>
    <w:basedOn w:val="Normal"/>
    <w:link w:val="CommentaireCar"/>
    <w:uiPriority w:val="99"/>
    <w:unhideWhenUsed/>
    <w:rsid w:val="00133121"/>
    <w:pPr>
      <w:spacing w:line="240" w:lineRule="auto"/>
    </w:pPr>
    <w:rPr>
      <w:sz w:val="20"/>
      <w:szCs w:val="20"/>
    </w:rPr>
  </w:style>
  <w:style w:type="character" w:customStyle="1" w:styleId="CommentaireCar">
    <w:name w:val="Commentaire Car"/>
    <w:basedOn w:val="Policepardfaut"/>
    <w:link w:val="Commentaire"/>
    <w:uiPriority w:val="99"/>
    <w:rsid w:val="00133121"/>
    <w:rPr>
      <w:rFonts w:ascii="Arial" w:eastAsia="Times New Roman" w:hAnsi="Arial" w:cs="Times New Roman"/>
      <w:sz w:val="20"/>
      <w:szCs w:val="20"/>
    </w:rPr>
  </w:style>
  <w:style w:type="paragraph" w:styleId="Objetducommentaire">
    <w:name w:val="annotation subject"/>
    <w:basedOn w:val="Commentaire"/>
    <w:next w:val="Commentaire"/>
    <w:link w:val="ObjetducommentaireCar"/>
    <w:uiPriority w:val="99"/>
    <w:semiHidden/>
    <w:unhideWhenUsed/>
    <w:rsid w:val="00133121"/>
    <w:rPr>
      <w:b/>
      <w:bCs/>
    </w:rPr>
  </w:style>
  <w:style w:type="character" w:customStyle="1" w:styleId="ObjetducommentaireCar">
    <w:name w:val="Objet du commentaire Car"/>
    <w:basedOn w:val="CommentaireCar"/>
    <w:link w:val="Objetducommentaire"/>
    <w:uiPriority w:val="99"/>
    <w:semiHidden/>
    <w:rsid w:val="00133121"/>
    <w:rPr>
      <w:rFonts w:ascii="Arial" w:eastAsia="Times New Roman" w:hAnsi="Arial" w:cs="Times New Roman"/>
      <w:b/>
      <w:bCs/>
      <w:sz w:val="20"/>
      <w:szCs w:val="20"/>
    </w:rPr>
  </w:style>
  <w:style w:type="paragraph" w:styleId="Textedebulles">
    <w:name w:val="Balloon Text"/>
    <w:basedOn w:val="Normal"/>
    <w:link w:val="TextedebullesCar"/>
    <w:uiPriority w:val="99"/>
    <w:semiHidden/>
    <w:unhideWhenUsed/>
    <w:rsid w:val="00BF1CFE"/>
    <w:pPr>
      <w:spacing w:before="0" w:after="0" w:line="240" w:lineRule="auto"/>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BF1CFE"/>
    <w:rPr>
      <w:rFonts w:ascii="Lucida Grande" w:eastAsia="Times New Roman" w:hAnsi="Lucida Grande" w:cs="Times New Roman"/>
      <w:sz w:val="18"/>
      <w:szCs w:val="18"/>
    </w:rPr>
  </w:style>
  <w:style w:type="paragraph" w:styleId="Explorateurdedocuments">
    <w:name w:val="Document Map"/>
    <w:basedOn w:val="Normal"/>
    <w:link w:val="ExplorateurdedocumentsCar"/>
    <w:uiPriority w:val="99"/>
    <w:semiHidden/>
    <w:unhideWhenUsed/>
    <w:rsid w:val="00E4012D"/>
    <w:pPr>
      <w:spacing w:before="0" w:after="0" w:line="240" w:lineRule="auto"/>
    </w:pPr>
    <w:rPr>
      <w:rFonts w:ascii="Lucida Grande" w:hAnsi="Lucida Grande"/>
    </w:rPr>
  </w:style>
  <w:style w:type="character" w:customStyle="1" w:styleId="ExplorateurdedocumentsCar">
    <w:name w:val="Explorateur de documents Car"/>
    <w:basedOn w:val="Policepardfaut"/>
    <w:link w:val="Explorateurdedocuments"/>
    <w:uiPriority w:val="99"/>
    <w:semiHidden/>
    <w:rsid w:val="00E4012D"/>
    <w:rPr>
      <w:rFonts w:ascii="Lucida Grande" w:eastAsia="Times New Roman" w:hAnsi="Lucida Grande" w:cs="Times New Roman"/>
    </w:rPr>
  </w:style>
  <w:style w:type="character" w:customStyle="1" w:styleId="StyleTimesNewRoman12ptBold">
    <w:name w:val="Style Times New Roman 12 pt Bold"/>
    <w:basedOn w:val="Policepardfaut"/>
    <w:rsid w:val="00FB7721"/>
    <w:rPr>
      <w:rFonts w:ascii="Times New Roman" w:hAnsi="Times New Roman"/>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310480">
      <w:bodyDiv w:val="1"/>
      <w:marLeft w:val="0"/>
      <w:marRight w:val="0"/>
      <w:marTop w:val="0"/>
      <w:marBottom w:val="0"/>
      <w:divBdr>
        <w:top w:val="none" w:sz="0" w:space="0" w:color="auto"/>
        <w:left w:val="none" w:sz="0" w:space="0" w:color="auto"/>
        <w:bottom w:val="none" w:sz="0" w:space="0" w:color="auto"/>
        <w:right w:val="none" w:sz="0" w:space="0" w:color="auto"/>
      </w:divBdr>
      <w:divsChild>
        <w:div w:id="512885670">
          <w:marLeft w:val="0"/>
          <w:marRight w:val="0"/>
          <w:marTop w:val="0"/>
          <w:marBottom w:val="0"/>
          <w:divBdr>
            <w:top w:val="none" w:sz="0" w:space="0" w:color="auto"/>
            <w:left w:val="none" w:sz="0" w:space="0" w:color="auto"/>
            <w:bottom w:val="none" w:sz="0" w:space="0" w:color="auto"/>
            <w:right w:val="none" w:sz="0" w:space="0" w:color="auto"/>
          </w:divBdr>
          <w:divsChild>
            <w:div w:id="1719553867">
              <w:marLeft w:val="0"/>
              <w:marRight w:val="0"/>
              <w:marTop w:val="0"/>
              <w:marBottom w:val="0"/>
              <w:divBdr>
                <w:top w:val="none" w:sz="0" w:space="0" w:color="auto"/>
                <w:left w:val="none" w:sz="0" w:space="0" w:color="auto"/>
                <w:bottom w:val="none" w:sz="0" w:space="0" w:color="auto"/>
                <w:right w:val="none" w:sz="0" w:space="0" w:color="auto"/>
              </w:divBdr>
              <w:divsChild>
                <w:div w:id="957566497">
                  <w:marLeft w:val="0"/>
                  <w:marRight w:val="0"/>
                  <w:marTop w:val="0"/>
                  <w:marBottom w:val="0"/>
                  <w:divBdr>
                    <w:top w:val="none" w:sz="0" w:space="0" w:color="auto"/>
                    <w:left w:val="none" w:sz="0" w:space="0" w:color="auto"/>
                    <w:bottom w:val="none" w:sz="0" w:space="0" w:color="auto"/>
                    <w:right w:val="none" w:sz="0" w:space="0" w:color="auto"/>
                  </w:divBdr>
                  <w:divsChild>
                    <w:div w:id="204998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56966">
      <w:bodyDiv w:val="1"/>
      <w:marLeft w:val="0"/>
      <w:marRight w:val="0"/>
      <w:marTop w:val="0"/>
      <w:marBottom w:val="0"/>
      <w:divBdr>
        <w:top w:val="none" w:sz="0" w:space="0" w:color="auto"/>
        <w:left w:val="none" w:sz="0" w:space="0" w:color="auto"/>
        <w:bottom w:val="none" w:sz="0" w:space="0" w:color="auto"/>
        <w:right w:val="none" w:sz="0" w:space="0" w:color="auto"/>
      </w:divBdr>
      <w:divsChild>
        <w:div w:id="749890678">
          <w:marLeft w:val="0"/>
          <w:marRight w:val="0"/>
          <w:marTop w:val="0"/>
          <w:marBottom w:val="0"/>
          <w:divBdr>
            <w:top w:val="none" w:sz="0" w:space="0" w:color="auto"/>
            <w:left w:val="none" w:sz="0" w:space="0" w:color="auto"/>
            <w:bottom w:val="none" w:sz="0" w:space="0" w:color="auto"/>
            <w:right w:val="none" w:sz="0" w:space="0" w:color="auto"/>
          </w:divBdr>
          <w:divsChild>
            <w:div w:id="1080324839">
              <w:marLeft w:val="0"/>
              <w:marRight w:val="0"/>
              <w:marTop w:val="0"/>
              <w:marBottom w:val="0"/>
              <w:divBdr>
                <w:top w:val="none" w:sz="0" w:space="0" w:color="auto"/>
                <w:left w:val="none" w:sz="0" w:space="0" w:color="auto"/>
                <w:bottom w:val="none" w:sz="0" w:space="0" w:color="auto"/>
                <w:right w:val="none" w:sz="0" w:space="0" w:color="auto"/>
              </w:divBdr>
              <w:divsChild>
                <w:div w:id="123817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58281">
      <w:bodyDiv w:val="1"/>
      <w:marLeft w:val="0"/>
      <w:marRight w:val="0"/>
      <w:marTop w:val="0"/>
      <w:marBottom w:val="0"/>
      <w:divBdr>
        <w:top w:val="none" w:sz="0" w:space="0" w:color="auto"/>
        <w:left w:val="none" w:sz="0" w:space="0" w:color="auto"/>
        <w:bottom w:val="none" w:sz="0" w:space="0" w:color="auto"/>
        <w:right w:val="none" w:sz="0" w:space="0" w:color="auto"/>
      </w:divBdr>
      <w:divsChild>
        <w:div w:id="1370884974">
          <w:marLeft w:val="0"/>
          <w:marRight w:val="0"/>
          <w:marTop w:val="0"/>
          <w:marBottom w:val="0"/>
          <w:divBdr>
            <w:top w:val="none" w:sz="0" w:space="0" w:color="auto"/>
            <w:left w:val="none" w:sz="0" w:space="0" w:color="auto"/>
            <w:bottom w:val="none" w:sz="0" w:space="0" w:color="auto"/>
            <w:right w:val="none" w:sz="0" w:space="0" w:color="auto"/>
          </w:divBdr>
          <w:divsChild>
            <w:div w:id="1928346313">
              <w:marLeft w:val="0"/>
              <w:marRight w:val="0"/>
              <w:marTop w:val="0"/>
              <w:marBottom w:val="0"/>
              <w:divBdr>
                <w:top w:val="none" w:sz="0" w:space="0" w:color="auto"/>
                <w:left w:val="none" w:sz="0" w:space="0" w:color="auto"/>
                <w:bottom w:val="none" w:sz="0" w:space="0" w:color="auto"/>
                <w:right w:val="none" w:sz="0" w:space="0" w:color="auto"/>
              </w:divBdr>
              <w:divsChild>
                <w:div w:id="86050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79564">
      <w:bodyDiv w:val="1"/>
      <w:marLeft w:val="0"/>
      <w:marRight w:val="0"/>
      <w:marTop w:val="0"/>
      <w:marBottom w:val="0"/>
      <w:divBdr>
        <w:top w:val="none" w:sz="0" w:space="0" w:color="auto"/>
        <w:left w:val="none" w:sz="0" w:space="0" w:color="auto"/>
        <w:bottom w:val="none" w:sz="0" w:space="0" w:color="auto"/>
        <w:right w:val="none" w:sz="0" w:space="0" w:color="auto"/>
      </w:divBdr>
      <w:divsChild>
        <w:div w:id="290357054">
          <w:marLeft w:val="0"/>
          <w:marRight w:val="0"/>
          <w:marTop w:val="0"/>
          <w:marBottom w:val="0"/>
          <w:divBdr>
            <w:top w:val="none" w:sz="0" w:space="0" w:color="auto"/>
            <w:left w:val="none" w:sz="0" w:space="0" w:color="auto"/>
            <w:bottom w:val="none" w:sz="0" w:space="0" w:color="auto"/>
            <w:right w:val="none" w:sz="0" w:space="0" w:color="auto"/>
          </w:divBdr>
          <w:divsChild>
            <w:div w:id="1338115713">
              <w:marLeft w:val="0"/>
              <w:marRight w:val="0"/>
              <w:marTop w:val="0"/>
              <w:marBottom w:val="0"/>
              <w:divBdr>
                <w:top w:val="none" w:sz="0" w:space="0" w:color="auto"/>
                <w:left w:val="none" w:sz="0" w:space="0" w:color="auto"/>
                <w:bottom w:val="none" w:sz="0" w:space="0" w:color="auto"/>
                <w:right w:val="none" w:sz="0" w:space="0" w:color="auto"/>
              </w:divBdr>
              <w:divsChild>
                <w:div w:id="1832716374">
                  <w:marLeft w:val="0"/>
                  <w:marRight w:val="0"/>
                  <w:marTop w:val="0"/>
                  <w:marBottom w:val="0"/>
                  <w:divBdr>
                    <w:top w:val="none" w:sz="0" w:space="0" w:color="auto"/>
                    <w:left w:val="none" w:sz="0" w:space="0" w:color="auto"/>
                    <w:bottom w:val="none" w:sz="0" w:space="0" w:color="auto"/>
                    <w:right w:val="none" w:sz="0" w:space="0" w:color="auto"/>
                  </w:divBdr>
                  <w:divsChild>
                    <w:div w:id="69265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8084">
      <w:bodyDiv w:val="1"/>
      <w:marLeft w:val="0"/>
      <w:marRight w:val="0"/>
      <w:marTop w:val="0"/>
      <w:marBottom w:val="0"/>
      <w:divBdr>
        <w:top w:val="none" w:sz="0" w:space="0" w:color="auto"/>
        <w:left w:val="none" w:sz="0" w:space="0" w:color="auto"/>
        <w:bottom w:val="none" w:sz="0" w:space="0" w:color="auto"/>
        <w:right w:val="none" w:sz="0" w:space="0" w:color="auto"/>
      </w:divBdr>
      <w:divsChild>
        <w:div w:id="577053218">
          <w:marLeft w:val="0"/>
          <w:marRight w:val="0"/>
          <w:marTop w:val="0"/>
          <w:marBottom w:val="0"/>
          <w:divBdr>
            <w:top w:val="none" w:sz="0" w:space="0" w:color="auto"/>
            <w:left w:val="none" w:sz="0" w:space="0" w:color="auto"/>
            <w:bottom w:val="none" w:sz="0" w:space="0" w:color="auto"/>
            <w:right w:val="none" w:sz="0" w:space="0" w:color="auto"/>
          </w:divBdr>
          <w:divsChild>
            <w:div w:id="398597603">
              <w:marLeft w:val="0"/>
              <w:marRight w:val="0"/>
              <w:marTop w:val="0"/>
              <w:marBottom w:val="0"/>
              <w:divBdr>
                <w:top w:val="none" w:sz="0" w:space="0" w:color="auto"/>
                <w:left w:val="none" w:sz="0" w:space="0" w:color="auto"/>
                <w:bottom w:val="none" w:sz="0" w:space="0" w:color="auto"/>
                <w:right w:val="none" w:sz="0" w:space="0" w:color="auto"/>
              </w:divBdr>
              <w:divsChild>
                <w:div w:id="55497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402068">
      <w:bodyDiv w:val="1"/>
      <w:marLeft w:val="0"/>
      <w:marRight w:val="0"/>
      <w:marTop w:val="0"/>
      <w:marBottom w:val="0"/>
      <w:divBdr>
        <w:top w:val="none" w:sz="0" w:space="0" w:color="auto"/>
        <w:left w:val="none" w:sz="0" w:space="0" w:color="auto"/>
        <w:bottom w:val="none" w:sz="0" w:space="0" w:color="auto"/>
        <w:right w:val="none" w:sz="0" w:space="0" w:color="auto"/>
      </w:divBdr>
      <w:divsChild>
        <w:div w:id="1146165760">
          <w:marLeft w:val="0"/>
          <w:marRight w:val="0"/>
          <w:marTop w:val="0"/>
          <w:marBottom w:val="0"/>
          <w:divBdr>
            <w:top w:val="none" w:sz="0" w:space="0" w:color="auto"/>
            <w:left w:val="none" w:sz="0" w:space="0" w:color="auto"/>
            <w:bottom w:val="none" w:sz="0" w:space="0" w:color="auto"/>
            <w:right w:val="none" w:sz="0" w:space="0" w:color="auto"/>
          </w:divBdr>
          <w:divsChild>
            <w:div w:id="2110201733">
              <w:marLeft w:val="0"/>
              <w:marRight w:val="0"/>
              <w:marTop w:val="0"/>
              <w:marBottom w:val="0"/>
              <w:divBdr>
                <w:top w:val="none" w:sz="0" w:space="0" w:color="auto"/>
                <w:left w:val="none" w:sz="0" w:space="0" w:color="auto"/>
                <w:bottom w:val="none" w:sz="0" w:space="0" w:color="auto"/>
                <w:right w:val="none" w:sz="0" w:space="0" w:color="auto"/>
              </w:divBdr>
              <w:divsChild>
                <w:div w:id="1863397045">
                  <w:marLeft w:val="0"/>
                  <w:marRight w:val="0"/>
                  <w:marTop w:val="0"/>
                  <w:marBottom w:val="0"/>
                  <w:divBdr>
                    <w:top w:val="none" w:sz="0" w:space="0" w:color="auto"/>
                    <w:left w:val="none" w:sz="0" w:space="0" w:color="auto"/>
                    <w:bottom w:val="none" w:sz="0" w:space="0" w:color="auto"/>
                    <w:right w:val="none" w:sz="0" w:space="0" w:color="auto"/>
                  </w:divBdr>
                  <w:divsChild>
                    <w:div w:id="47029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304538">
      <w:bodyDiv w:val="1"/>
      <w:marLeft w:val="0"/>
      <w:marRight w:val="0"/>
      <w:marTop w:val="0"/>
      <w:marBottom w:val="0"/>
      <w:divBdr>
        <w:top w:val="none" w:sz="0" w:space="0" w:color="auto"/>
        <w:left w:val="none" w:sz="0" w:space="0" w:color="auto"/>
        <w:bottom w:val="none" w:sz="0" w:space="0" w:color="auto"/>
        <w:right w:val="none" w:sz="0" w:space="0" w:color="auto"/>
      </w:divBdr>
    </w:div>
    <w:div w:id="303395052">
      <w:bodyDiv w:val="1"/>
      <w:marLeft w:val="0"/>
      <w:marRight w:val="0"/>
      <w:marTop w:val="0"/>
      <w:marBottom w:val="0"/>
      <w:divBdr>
        <w:top w:val="none" w:sz="0" w:space="0" w:color="auto"/>
        <w:left w:val="none" w:sz="0" w:space="0" w:color="auto"/>
        <w:bottom w:val="none" w:sz="0" w:space="0" w:color="auto"/>
        <w:right w:val="none" w:sz="0" w:space="0" w:color="auto"/>
      </w:divBdr>
    </w:div>
    <w:div w:id="326791965">
      <w:bodyDiv w:val="1"/>
      <w:marLeft w:val="0"/>
      <w:marRight w:val="0"/>
      <w:marTop w:val="0"/>
      <w:marBottom w:val="0"/>
      <w:divBdr>
        <w:top w:val="none" w:sz="0" w:space="0" w:color="auto"/>
        <w:left w:val="none" w:sz="0" w:space="0" w:color="auto"/>
        <w:bottom w:val="none" w:sz="0" w:space="0" w:color="auto"/>
        <w:right w:val="none" w:sz="0" w:space="0" w:color="auto"/>
      </w:divBdr>
      <w:divsChild>
        <w:div w:id="364713886">
          <w:marLeft w:val="0"/>
          <w:marRight w:val="0"/>
          <w:marTop w:val="0"/>
          <w:marBottom w:val="0"/>
          <w:divBdr>
            <w:top w:val="none" w:sz="0" w:space="0" w:color="auto"/>
            <w:left w:val="none" w:sz="0" w:space="0" w:color="auto"/>
            <w:bottom w:val="none" w:sz="0" w:space="0" w:color="auto"/>
            <w:right w:val="none" w:sz="0" w:space="0" w:color="auto"/>
          </w:divBdr>
          <w:divsChild>
            <w:div w:id="1215197162">
              <w:marLeft w:val="0"/>
              <w:marRight w:val="0"/>
              <w:marTop w:val="0"/>
              <w:marBottom w:val="0"/>
              <w:divBdr>
                <w:top w:val="none" w:sz="0" w:space="0" w:color="auto"/>
                <w:left w:val="none" w:sz="0" w:space="0" w:color="auto"/>
                <w:bottom w:val="none" w:sz="0" w:space="0" w:color="auto"/>
                <w:right w:val="none" w:sz="0" w:space="0" w:color="auto"/>
              </w:divBdr>
              <w:divsChild>
                <w:div w:id="127987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648871">
      <w:bodyDiv w:val="1"/>
      <w:marLeft w:val="0"/>
      <w:marRight w:val="0"/>
      <w:marTop w:val="0"/>
      <w:marBottom w:val="0"/>
      <w:divBdr>
        <w:top w:val="none" w:sz="0" w:space="0" w:color="auto"/>
        <w:left w:val="none" w:sz="0" w:space="0" w:color="auto"/>
        <w:bottom w:val="none" w:sz="0" w:space="0" w:color="auto"/>
        <w:right w:val="none" w:sz="0" w:space="0" w:color="auto"/>
      </w:divBdr>
    </w:div>
    <w:div w:id="439420104">
      <w:bodyDiv w:val="1"/>
      <w:marLeft w:val="0"/>
      <w:marRight w:val="0"/>
      <w:marTop w:val="0"/>
      <w:marBottom w:val="0"/>
      <w:divBdr>
        <w:top w:val="none" w:sz="0" w:space="0" w:color="auto"/>
        <w:left w:val="none" w:sz="0" w:space="0" w:color="auto"/>
        <w:bottom w:val="none" w:sz="0" w:space="0" w:color="auto"/>
        <w:right w:val="none" w:sz="0" w:space="0" w:color="auto"/>
      </w:divBdr>
    </w:div>
    <w:div w:id="465782544">
      <w:bodyDiv w:val="1"/>
      <w:marLeft w:val="0"/>
      <w:marRight w:val="0"/>
      <w:marTop w:val="0"/>
      <w:marBottom w:val="0"/>
      <w:divBdr>
        <w:top w:val="none" w:sz="0" w:space="0" w:color="auto"/>
        <w:left w:val="none" w:sz="0" w:space="0" w:color="auto"/>
        <w:bottom w:val="none" w:sz="0" w:space="0" w:color="auto"/>
        <w:right w:val="none" w:sz="0" w:space="0" w:color="auto"/>
      </w:divBdr>
      <w:divsChild>
        <w:div w:id="1902599405">
          <w:marLeft w:val="0"/>
          <w:marRight w:val="0"/>
          <w:marTop w:val="0"/>
          <w:marBottom w:val="0"/>
          <w:divBdr>
            <w:top w:val="none" w:sz="0" w:space="0" w:color="auto"/>
            <w:left w:val="none" w:sz="0" w:space="0" w:color="auto"/>
            <w:bottom w:val="none" w:sz="0" w:space="0" w:color="auto"/>
            <w:right w:val="none" w:sz="0" w:space="0" w:color="auto"/>
          </w:divBdr>
          <w:divsChild>
            <w:div w:id="714159921">
              <w:marLeft w:val="0"/>
              <w:marRight w:val="0"/>
              <w:marTop w:val="0"/>
              <w:marBottom w:val="0"/>
              <w:divBdr>
                <w:top w:val="none" w:sz="0" w:space="0" w:color="auto"/>
                <w:left w:val="none" w:sz="0" w:space="0" w:color="auto"/>
                <w:bottom w:val="none" w:sz="0" w:space="0" w:color="auto"/>
                <w:right w:val="none" w:sz="0" w:space="0" w:color="auto"/>
              </w:divBdr>
              <w:divsChild>
                <w:div w:id="139762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561310">
      <w:bodyDiv w:val="1"/>
      <w:marLeft w:val="0"/>
      <w:marRight w:val="0"/>
      <w:marTop w:val="0"/>
      <w:marBottom w:val="0"/>
      <w:divBdr>
        <w:top w:val="none" w:sz="0" w:space="0" w:color="auto"/>
        <w:left w:val="none" w:sz="0" w:space="0" w:color="auto"/>
        <w:bottom w:val="none" w:sz="0" w:space="0" w:color="auto"/>
        <w:right w:val="none" w:sz="0" w:space="0" w:color="auto"/>
      </w:divBdr>
      <w:divsChild>
        <w:div w:id="307975458">
          <w:marLeft w:val="0"/>
          <w:marRight w:val="0"/>
          <w:marTop w:val="0"/>
          <w:marBottom w:val="0"/>
          <w:divBdr>
            <w:top w:val="none" w:sz="0" w:space="0" w:color="auto"/>
            <w:left w:val="none" w:sz="0" w:space="0" w:color="auto"/>
            <w:bottom w:val="none" w:sz="0" w:space="0" w:color="auto"/>
            <w:right w:val="none" w:sz="0" w:space="0" w:color="auto"/>
          </w:divBdr>
          <w:divsChild>
            <w:div w:id="1646472686">
              <w:marLeft w:val="0"/>
              <w:marRight w:val="0"/>
              <w:marTop w:val="0"/>
              <w:marBottom w:val="0"/>
              <w:divBdr>
                <w:top w:val="none" w:sz="0" w:space="0" w:color="auto"/>
                <w:left w:val="none" w:sz="0" w:space="0" w:color="auto"/>
                <w:bottom w:val="none" w:sz="0" w:space="0" w:color="auto"/>
                <w:right w:val="none" w:sz="0" w:space="0" w:color="auto"/>
              </w:divBdr>
              <w:divsChild>
                <w:div w:id="136455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873064">
      <w:bodyDiv w:val="1"/>
      <w:marLeft w:val="0"/>
      <w:marRight w:val="0"/>
      <w:marTop w:val="0"/>
      <w:marBottom w:val="0"/>
      <w:divBdr>
        <w:top w:val="none" w:sz="0" w:space="0" w:color="auto"/>
        <w:left w:val="none" w:sz="0" w:space="0" w:color="auto"/>
        <w:bottom w:val="none" w:sz="0" w:space="0" w:color="auto"/>
        <w:right w:val="none" w:sz="0" w:space="0" w:color="auto"/>
      </w:divBdr>
    </w:div>
    <w:div w:id="613252034">
      <w:bodyDiv w:val="1"/>
      <w:marLeft w:val="0"/>
      <w:marRight w:val="0"/>
      <w:marTop w:val="0"/>
      <w:marBottom w:val="0"/>
      <w:divBdr>
        <w:top w:val="none" w:sz="0" w:space="0" w:color="auto"/>
        <w:left w:val="none" w:sz="0" w:space="0" w:color="auto"/>
        <w:bottom w:val="none" w:sz="0" w:space="0" w:color="auto"/>
        <w:right w:val="none" w:sz="0" w:space="0" w:color="auto"/>
      </w:divBdr>
      <w:divsChild>
        <w:div w:id="856191455">
          <w:marLeft w:val="0"/>
          <w:marRight w:val="0"/>
          <w:marTop w:val="0"/>
          <w:marBottom w:val="0"/>
          <w:divBdr>
            <w:top w:val="none" w:sz="0" w:space="0" w:color="auto"/>
            <w:left w:val="none" w:sz="0" w:space="0" w:color="auto"/>
            <w:bottom w:val="none" w:sz="0" w:space="0" w:color="auto"/>
            <w:right w:val="none" w:sz="0" w:space="0" w:color="auto"/>
          </w:divBdr>
          <w:divsChild>
            <w:div w:id="828181069">
              <w:marLeft w:val="0"/>
              <w:marRight w:val="0"/>
              <w:marTop w:val="0"/>
              <w:marBottom w:val="0"/>
              <w:divBdr>
                <w:top w:val="none" w:sz="0" w:space="0" w:color="auto"/>
                <w:left w:val="none" w:sz="0" w:space="0" w:color="auto"/>
                <w:bottom w:val="none" w:sz="0" w:space="0" w:color="auto"/>
                <w:right w:val="none" w:sz="0" w:space="0" w:color="auto"/>
              </w:divBdr>
              <w:divsChild>
                <w:div w:id="851843438">
                  <w:marLeft w:val="0"/>
                  <w:marRight w:val="0"/>
                  <w:marTop w:val="0"/>
                  <w:marBottom w:val="0"/>
                  <w:divBdr>
                    <w:top w:val="none" w:sz="0" w:space="0" w:color="auto"/>
                    <w:left w:val="none" w:sz="0" w:space="0" w:color="auto"/>
                    <w:bottom w:val="none" w:sz="0" w:space="0" w:color="auto"/>
                    <w:right w:val="none" w:sz="0" w:space="0" w:color="auto"/>
                  </w:divBdr>
                  <w:divsChild>
                    <w:div w:id="553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811931">
      <w:bodyDiv w:val="1"/>
      <w:marLeft w:val="0"/>
      <w:marRight w:val="0"/>
      <w:marTop w:val="0"/>
      <w:marBottom w:val="0"/>
      <w:divBdr>
        <w:top w:val="none" w:sz="0" w:space="0" w:color="auto"/>
        <w:left w:val="none" w:sz="0" w:space="0" w:color="auto"/>
        <w:bottom w:val="none" w:sz="0" w:space="0" w:color="auto"/>
        <w:right w:val="none" w:sz="0" w:space="0" w:color="auto"/>
      </w:divBdr>
      <w:divsChild>
        <w:div w:id="1113019395">
          <w:marLeft w:val="0"/>
          <w:marRight w:val="0"/>
          <w:marTop w:val="0"/>
          <w:marBottom w:val="0"/>
          <w:divBdr>
            <w:top w:val="none" w:sz="0" w:space="0" w:color="auto"/>
            <w:left w:val="none" w:sz="0" w:space="0" w:color="auto"/>
            <w:bottom w:val="none" w:sz="0" w:space="0" w:color="auto"/>
            <w:right w:val="none" w:sz="0" w:space="0" w:color="auto"/>
          </w:divBdr>
          <w:divsChild>
            <w:div w:id="486677474">
              <w:marLeft w:val="0"/>
              <w:marRight w:val="0"/>
              <w:marTop w:val="0"/>
              <w:marBottom w:val="0"/>
              <w:divBdr>
                <w:top w:val="none" w:sz="0" w:space="0" w:color="auto"/>
                <w:left w:val="none" w:sz="0" w:space="0" w:color="auto"/>
                <w:bottom w:val="none" w:sz="0" w:space="0" w:color="auto"/>
                <w:right w:val="none" w:sz="0" w:space="0" w:color="auto"/>
              </w:divBdr>
              <w:divsChild>
                <w:div w:id="14143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231280">
      <w:bodyDiv w:val="1"/>
      <w:marLeft w:val="0"/>
      <w:marRight w:val="0"/>
      <w:marTop w:val="0"/>
      <w:marBottom w:val="0"/>
      <w:divBdr>
        <w:top w:val="none" w:sz="0" w:space="0" w:color="auto"/>
        <w:left w:val="none" w:sz="0" w:space="0" w:color="auto"/>
        <w:bottom w:val="none" w:sz="0" w:space="0" w:color="auto"/>
        <w:right w:val="none" w:sz="0" w:space="0" w:color="auto"/>
      </w:divBdr>
      <w:divsChild>
        <w:div w:id="1668828800">
          <w:marLeft w:val="0"/>
          <w:marRight w:val="0"/>
          <w:marTop w:val="0"/>
          <w:marBottom w:val="0"/>
          <w:divBdr>
            <w:top w:val="none" w:sz="0" w:space="0" w:color="auto"/>
            <w:left w:val="none" w:sz="0" w:space="0" w:color="auto"/>
            <w:bottom w:val="none" w:sz="0" w:space="0" w:color="auto"/>
            <w:right w:val="none" w:sz="0" w:space="0" w:color="auto"/>
          </w:divBdr>
          <w:divsChild>
            <w:div w:id="2045519927">
              <w:marLeft w:val="0"/>
              <w:marRight w:val="0"/>
              <w:marTop w:val="0"/>
              <w:marBottom w:val="0"/>
              <w:divBdr>
                <w:top w:val="none" w:sz="0" w:space="0" w:color="auto"/>
                <w:left w:val="none" w:sz="0" w:space="0" w:color="auto"/>
                <w:bottom w:val="none" w:sz="0" w:space="0" w:color="auto"/>
                <w:right w:val="none" w:sz="0" w:space="0" w:color="auto"/>
              </w:divBdr>
              <w:divsChild>
                <w:div w:id="28084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486630">
      <w:bodyDiv w:val="1"/>
      <w:marLeft w:val="0"/>
      <w:marRight w:val="0"/>
      <w:marTop w:val="0"/>
      <w:marBottom w:val="0"/>
      <w:divBdr>
        <w:top w:val="none" w:sz="0" w:space="0" w:color="auto"/>
        <w:left w:val="none" w:sz="0" w:space="0" w:color="auto"/>
        <w:bottom w:val="none" w:sz="0" w:space="0" w:color="auto"/>
        <w:right w:val="none" w:sz="0" w:space="0" w:color="auto"/>
      </w:divBdr>
    </w:div>
    <w:div w:id="706370326">
      <w:bodyDiv w:val="1"/>
      <w:marLeft w:val="0"/>
      <w:marRight w:val="0"/>
      <w:marTop w:val="0"/>
      <w:marBottom w:val="0"/>
      <w:divBdr>
        <w:top w:val="none" w:sz="0" w:space="0" w:color="auto"/>
        <w:left w:val="none" w:sz="0" w:space="0" w:color="auto"/>
        <w:bottom w:val="none" w:sz="0" w:space="0" w:color="auto"/>
        <w:right w:val="none" w:sz="0" w:space="0" w:color="auto"/>
      </w:divBdr>
      <w:divsChild>
        <w:div w:id="834146526">
          <w:marLeft w:val="0"/>
          <w:marRight w:val="0"/>
          <w:marTop w:val="0"/>
          <w:marBottom w:val="0"/>
          <w:divBdr>
            <w:top w:val="none" w:sz="0" w:space="0" w:color="auto"/>
            <w:left w:val="none" w:sz="0" w:space="0" w:color="auto"/>
            <w:bottom w:val="none" w:sz="0" w:space="0" w:color="auto"/>
            <w:right w:val="none" w:sz="0" w:space="0" w:color="auto"/>
          </w:divBdr>
          <w:divsChild>
            <w:div w:id="213742124">
              <w:marLeft w:val="0"/>
              <w:marRight w:val="0"/>
              <w:marTop w:val="0"/>
              <w:marBottom w:val="0"/>
              <w:divBdr>
                <w:top w:val="none" w:sz="0" w:space="0" w:color="auto"/>
                <w:left w:val="none" w:sz="0" w:space="0" w:color="auto"/>
                <w:bottom w:val="none" w:sz="0" w:space="0" w:color="auto"/>
                <w:right w:val="none" w:sz="0" w:space="0" w:color="auto"/>
              </w:divBdr>
              <w:divsChild>
                <w:div w:id="154997678">
                  <w:marLeft w:val="0"/>
                  <w:marRight w:val="0"/>
                  <w:marTop w:val="0"/>
                  <w:marBottom w:val="0"/>
                  <w:divBdr>
                    <w:top w:val="none" w:sz="0" w:space="0" w:color="auto"/>
                    <w:left w:val="none" w:sz="0" w:space="0" w:color="auto"/>
                    <w:bottom w:val="none" w:sz="0" w:space="0" w:color="auto"/>
                    <w:right w:val="none" w:sz="0" w:space="0" w:color="auto"/>
                  </w:divBdr>
                  <w:divsChild>
                    <w:div w:id="14709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051417">
      <w:bodyDiv w:val="1"/>
      <w:marLeft w:val="0"/>
      <w:marRight w:val="0"/>
      <w:marTop w:val="0"/>
      <w:marBottom w:val="0"/>
      <w:divBdr>
        <w:top w:val="none" w:sz="0" w:space="0" w:color="auto"/>
        <w:left w:val="none" w:sz="0" w:space="0" w:color="auto"/>
        <w:bottom w:val="none" w:sz="0" w:space="0" w:color="auto"/>
        <w:right w:val="none" w:sz="0" w:space="0" w:color="auto"/>
      </w:divBdr>
      <w:divsChild>
        <w:div w:id="1628006885">
          <w:marLeft w:val="0"/>
          <w:marRight w:val="0"/>
          <w:marTop w:val="0"/>
          <w:marBottom w:val="0"/>
          <w:divBdr>
            <w:top w:val="none" w:sz="0" w:space="0" w:color="auto"/>
            <w:left w:val="none" w:sz="0" w:space="0" w:color="auto"/>
            <w:bottom w:val="none" w:sz="0" w:space="0" w:color="auto"/>
            <w:right w:val="none" w:sz="0" w:space="0" w:color="auto"/>
          </w:divBdr>
          <w:divsChild>
            <w:div w:id="556863355">
              <w:marLeft w:val="0"/>
              <w:marRight w:val="0"/>
              <w:marTop w:val="0"/>
              <w:marBottom w:val="0"/>
              <w:divBdr>
                <w:top w:val="none" w:sz="0" w:space="0" w:color="auto"/>
                <w:left w:val="none" w:sz="0" w:space="0" w:color="auto"/>
                <w:bottom w:val="none" w:sz="0" w:space="0" w:color="auto"/>
                <w:right w:val="none" w:sz="0" w:space="0" w:color="auto"/>
              </w:divBdr>
              <w:divsChild>
                <w:div w:id="359235290">
                  <w:marLeft w:val="0"/>
                  <w:marRight w:val="0"/>
                  <w:marTop w:val="0"/>
                  <w:marBottom w:val="0"/>
                  <w:divBdr>
                    <w:top w:val="none" w:sz="0" w:space="0" w:color="auto"/>
                    <w:left w:val="none" w:sz="0" w:space="0" w:color="auto"/>
                    <w:bottom w:val="none" w:sz="0" w:space="0" w:color="auto"/>
                    <w:right w:val="none" w:sz="0" w:space="0" w:color="auto"/>
                  </w:divBdr>
                  <w:divsChild>
                    <w:div w:id="67149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819755">
      <w:bodyDiv w:val="1"/>
      <w:marLeft w:val="0"/>
      <w:marRight w:val="0"/>
      <w:marTop w:val="0"/>
      <w:marBottom w:val="0"/>
      <w:divBdr>
        <w:top w:val="none" w:sz="0" w:space="0" w:color="auto"/>
        <w:left w:val="none" w:sz="0" w:space="0" w:color="auto"/>
        <w:bottom w:val="none" w:sz="0" w:space="0" w:color="auto"/>
        <w:right w:val="none" w:sz="0" w:space="0" w:color="auto"/>
      </w:divBdr>
      <w:divsChild>
        <w:div w:id="1627926302">
          <w:marLeft w:val="0"/>
          <w:marRight w:val="0"/>
          <w:marTop w:val="0"/>
          <w:marBottom w:val="0"/>
          <w:divBdr>
            <w:top w:val="none" w:sz="0" w:space="0" w:color="auto"/>
            <w:left w:val="none" w:sz="0" w:space="0" w:color="auto"/>
            <w:bottom w:val="none" w:sz="0" w:space="0" w:color="auto"/>
            <w:right w:val="none" w:sz="0" w:space="0" w:color="auto"/>
          </w:divBdr>
          <w:divsChild>
            <w:div w:id="1635985653">
              <w:marLeft w:val="0"/>
              <w:marRight w:val="0"/>
              <w:marTop w:val="0"/>
              <w:marBottom w:val="0"/>
              <w:divBdr>
                <w:top w:val="none" w:sz="0" w:space="0" w:color="auto"/>
                <w:left w:val="none" w:sz="0" w:space="0" w:color="auto"/>
                <w:bottom w:val="none" w:sz="0" w:space="0" w:color="auto"/>
                <w:right w:val="none" w:sz="0" w:space="0" w:color="auto"/>
              </w:divBdr>
              <w:divsChild>
                <w:div w:id="1347631200">
                  <w:marLeft w:val="0"/>
                  <w:marRight w:val="0"/>
                  <w:marTop w:val="0"/>
                  <w:marBottom w:val="0"/>
                  <w:divBdr>
                    <w:top w:val="none" w:sz="0" w:space="0" w:color="auto"/>
                    <w:left w:val="none" w:sz="0" w:space="0" w:color="auto"/>
                    <w:bottom w:val="none" w:sz="0" w:space="0" w:color="auto"/>
                    <w:right w:val="none" w:sz="0" w:space="0" w:color="auto"/>
                  </w:divBdr>
                  <w:divsChild>
                    <w:div w:id="153573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321045">
      <w:bodyDiv w:val="1"/>
      <w:marLeft w:val="0"/>
      <w:marRight w:val="0"/>
      <w:marTop w:val="0"/>
      <w:marBottom w:val="0"/>
      <w:divBdr>
        <w:top w:val="none" w:sz="0" w:space="0" w:color="auto"/>
        <w:left w:val="none" w:sz="0" w:space="0" w:color="auto"/>
        <w:bottom w:val="none" w:sz="0" w:space="0" w:color="auto"/>
        <w:right w:val="none" w:sz="0" w:space="0" w:color="auto"/>
      </w:divBdr>
    </w:div>
    <w:div w:id="834032508">
      <w:bodyDiv w:val="1"/>
      <w:marLeft w:val="0"/>
      <w:marRight w:val="0"/>
      <w:marTop w:val="0"/>
      <w:marBottom w:val="0"/>
      <w:divBdr>
        <w:top w:val="none" w:sz="0" w:space="0" w:color="auto"/>
        <w:left w:val="none" w:sz="0" w:space="0" w:color="auto"/>
        <w:bottom w:val="none" w:sz="0" w:space="0" w:color="auto"/>
        <w:right w:val="none" w:sz="0" w:space="0" w:color="auto"/>
      </w:divBdr>
    </w:div>
    <w:div w:id="836309512">
      <w:bodyDiv w:val="1"/>
      <w:marLeft w:val="0"/>
      <w:marRight w:val="0"/>
      <w:marTop w:val="0"/>
      <w:marBottom w:val="0"/>
      <w:divBdr>
        <w:top w:val="none" w:sz="0" w:space="0" w:color="auto"/>
        <w:left w:val="none" w:sz="0" w:space="0" w:color="auto"/>
        <w:bottom w:val="none" w:sz="0" w:space="0" w:color="auto"/>
        <w:right w:val="none" w:sz="0" w:space="0" w:color="auto"/>
      </w:divBdr>
      <w:divsChild>
        <w:div w:id="160780401">
          <w:marLeft w:val="0"/>
          <w:marRight w:val="0"/>
          <w:marTop w:val="0"/>
          <w:marBottom w:val="0"/>
          <w:divBdr>
            <w:top w:val="none" w:sz="0" w:space="0" w:color="auto"/>
            <w:left w:val="none" w:sz="0" w:space="0" w:color="auto"/>
            <w:bottom w:val="none" w:sz="0" w:space="0" w:color="auto"/>
            <w:right w:val="none" w:sz="0" w:space="0" w:color="auto"/>
          </w:divBdr>
          <w:divsChild>
            <w:div w:id="1835560201">
              <w:marLeft w:val="0"/>
              <w:marRight w:val="0"/>
              <w:marTop w:val="0"/>
              <w:marBottom w:val="0"/>
              <w:divBdr>
                <w:top w:val="none" w:sz="0" w:space="0" w:color="auto"/>
                <w:left w:val="none" w:sz="0" w:space="0" w:color="auto"/>
                <w:bottom w:val="none" w:sz="0" w:space="0" w:color="auto"/>
                <w:right w:val="none" w:sz="0" w:space="0" w:color="auto"/>
              </w:divBdr>
              <w:divsChild>
                <w:div w:id="75775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991343">
      <w:bodyDiv w:val="1"/>
      <w:marLeft w:val="0"/>
      <w:marRight w:val="0"/>
      <w:marTop w:val="0"/>
      <w:marBottom w:val="0"/>
      <w:divBdr>
        <w:top w:val="none" w:sz="0" w:space="0" w:color="auto"/>
        <w:left w:val="none" w:sz="0" w:space="0" w:color="auto"/>
        <w:bottom w:val="none" w:sz="0" w:space="0" w:color="auto"/>
        <w:right w:val="none" w:sz="0" w:space="0" w:color="auto"/>
      </w:divBdr>
    </w:div>
    <w:div w:id="937979470">
      <w:bodyDiv w:val="1"/>
      <w:marLeft w:val="0"/>
      <w:marRight w:val="0"/>
      <w:marTop w:val="0"/>
      <w:marBottom w:val="0"/>
      <w:divBdr>
        <w:top w:val="none" w:sz="0" w:space="0" w:color="auto"/>
        <w:left w:val="none" w:sz="0" w:space="0" w:color="auto"/>
        <w:bottom w:val="none" w:sz="0" w:space="0" w:color="auto"/>
        <w:right w:val="none" w:sz="0" w:space="0" w:color="auto"/>
      </w:divBdr>
    </w:div>
    <w:div w:id="1035157304">
      <w:bodyDiv w:val="1"/>
      <w:marLeft w:val="0"/>
      <w:marRight w:val="0"/>
      <w:marTop w:val="0"/>
      <w:marBottom w:val="0"/>
      <w:divBdr>
        <w:top w:val="none" w:sz="0" w:space="0" w:color="auto"/>
        <w:left w:val="none" w:sz="0" w:space="0" w:color="auto"/>
        <w:bottom w:val="none" w:sz="0" w:space="0" w:color="auto"/>
        <w:right w:val="none" w:sz="0" w:space="0" w:color="auto"/>
      </w:divBdr>
      <w:divsChild>
        <w:div w:id="2015565440">
          <w:marLeft w:val="0"/>
          <w:marRight w:val="0"/>
          <w:marTop w:val="0"/>
          <w:marBottom w:val="0"/>
          <w:divBdr>
            <w:top w:val="none" w:sz="0" w:space="0" w:color="auto"/>
            <w:left w:val="none" w:sz="0" w:space="0" w:color="auto"/>
            <w:bottom w:val="none" w:sz="0" w:space="0" w:color="auto"/>
            <w:right w:val="none" w:sz="0" w:space="0" w:color="auto"/>
          </w:divBdr>
          <w:divsChild>
            <w:div w:id="1376999113">
              <w:marLeft w:val="0"/>
              <w:marRight w:val="0"/>
              <w:marTop w:val="0"/>
              <w:marBottom w:val="0"/>
              <w:divBdr>
                <w:top w:val="none" w:sz="0" w:space="0" w:color="auto"/>
                <w:left w:val="none" w:sz="0" w:space="0" w:color="auto"/>
                <w:bottom w:val="none" w:sz="0" w:space="0" w:color="auto"/>
                <w:right w:val="none" w:sz="0" w:space="0" w:color="auto"/>
              </w:divBdr>
              <w:divsChild>
                <w:div w:id="321668176">
                  <w:marLeft w:val="0"/>
                  <w:marRight w:val="0"/>
                  <w:marTop w:val="0"/>
                  <w:marBottom w:val="0"/>
                  <w:divBdr>
                    <w:top w:val="none" w:sz="0" w:space="0" w:color="auto"/>
                    <w:left w:val="none" w:sz="0" w:space="0" w:color="auto"/>
                    <w:bottom w:val="none" w:sz="0" w:space="0" w:color="auto"/>
                    <w:right w:val="none" w:sz="0" w:space="0" w:color="auto"/>
                  </w:divBdr>
                  <w:divsChild>
                    <w:div w:id="5427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533964">
      <w:bodyDiv w:val="1"/>
      <w:marLeft w:val="0"/>
      <w:marRight w:val="0"/>
      <w:marTop w:val="0"/>
      <w:marBottom w:val="0"/>
      <w:divBdr>
        <w:top w:val="none" w:sz="0" w:space="0" w:color="auto"/>
        <w:left w:val="none" w:sz="0" w:space="0" w:color="auto"/>
        <w:bottom w:val="none" w:sz="0" w:space="0" w:color="auto"/>
        <w:right w:val="none" w:sz="0" w:space="0" w:color="auto"/>
      </w:divBdr>
      <w:divsChild>
        <w:div w:id="1090273967">
          <w:marLeft w:val="0"/>
          <w:marRight w:val="0"/>
          <w:marTop w:val="0"/>
          <w:marBottom w:val="0"/>
          <w:divBdr>
            <w:top w:val="none" w:sz="0" w:space="0" w:color="auto"/>
            <w:left w:val="none" w:sz="0" w:space="0" w:color="auto"/>
            <w:bottom w:val="none" w:sz="0" w:space="0" w:color="auto"/>
            <w:right w:val="none" w:sz="0" w:space="0" w:color="auto"/>
          </w:divBdr>
          <w:divsChild>
            <w:div w:id="2029065906">
              <w:marLeft w:val="0"/>
              <w:marRight w:val="0"/>
              <w:marTop w:val="0"/>
              <w:marBottom w:val="0"/>
              <w:divBdr>
                <w:top w:val="none" w:sz="0" w:space="0" w:color="auto"/>
                <w:left w:val="none" w:sz="0" w:space="0" w:color="auto"/>
                <w:bottom w:val="none" w:sz="0" w:space="0" w:color="auto"/>
                <w:right w:val="none" w:sz="0" w:space="0" w:color="auto"/>
              </w:divBdr>
              <w:divsChild>
                <w:div w:id="106753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028027">
      <w:bodyDiv w:val="1"/>
      <w:marLeft w:val="0"/>
      <w:marRight w:val="0"/>
      <w:marTop w:val="0"/>
      <w:marBottom w:val="0"/>
      <w:divBdr>
        <w:top w:val="none" w:sz="0" w:space="0" w:color="auto"/>
        <w:left w:val="none" w:sz="0" w:space="0" w:color="auto"/>
        <w:bottom w:val="none" w:sz="0" w:space="0" w:color="auto"/>
        <w:right w:val="none" w:sz="0" w:space="0" w:color="auto"/>
      </w:divBdr>
      <w:divsChild>
        <w:div w:id="1138767761">
          <w:marLeft w:val="0"/>
          <w:marRight w:val="0"/>
          <w:marTop w:val="0"/>
          <w:marBottom w:val="0"/>
          <w:divBdr>
            <w:top w:val="none" w:sz="0" w:space="0" w:color="auto"/>
            <w:left w:val="none" w:sz="0" w:space="0" w:color="auto"/>
            <w:bottom w:val="none" w:sz="0" w:space="0" w:color="auto"/>
            <w:right w:val="none" w:sz="0" w:space="0" w:color="auto"/>
          </w:divBdr>
          <w:divsChild>
            <w:div w:id="1925986987">
              <w:marLeft w:val="0"/>
              <w:marRight w:val="0"/>
              <w:marTop w:val="0"/>
              <w:marBottom w:val="0"/>
              <w:divBdr>
                <w:top w:val="none" w:sz="0" w:space="0" w:color="auto"/>
                <w:left w:val="none" w:sz="0" w:space="0" w:color="auto"/>
                <w:bottom w:val="none" w:sz="0" w:space="0" w:color="auto"/>
                <w:right w:val="none" w:sz="0" w:space="0" w:color="auto"/>
              </w:divBdr>
              <w:divsChild>
                <w:div w:id="827676301">
                  <w:marLeft w:val="0"/>
                  <w:marRight w:val="0"/>
                  <w:marTop w:val="0"/>
                  <w:marBottom w:val="0"/>
                  <w:divBdr>
                    <w:top w:val="none" w:sz="0" w:space="0" w:color="auto"/>
                    <w:left w:val="none" w:sz="0" w:space="0" w:color="auto"/>
                    <w:bottom w:val="none" w:sz="0" w:space="0" w:color="auto"/>
                    <w:right w:val="none" w:sz="0" w:space="0" w:color="auto"/>
                  </w:divBdr>
                  <w:divsChild>
                    <w:div w:id="131865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148364">
      <w:bodyDiv w:val="1"/>
      <w:marLeft w:val="0"/>
      <w:marRight w:val="0"/>
      <w:marTop w:val="0"/>
      <w:marBottom w:val="0"/>
      <w:divBdr>
        <w:top w:val="none" w:sz="0" w:space="0" w:color="auto"/>
        <w:left w:val="none" w:sz="0" w:space="0" w:color="auto"/>
        <w:bottom w:val="none" w:sz="0" w:space="0" w:color="auto"/>
        <w:right w:val="none" w:sz="0" w:space="0" w:color="auto"/>
      </w:divBdr>
      <w:divsChild>
        <w:div w:id="493103689">
          <w:marLeft w:val="0"/>
          <w:marRight w:val="0"/>
          <w:marTop w:val="0"/>
          <w:marBottom w:val="0"/>
          <w:divBdr>
            <w:top w:val="none" w:sz="0" w:space="0" w:color="auto"/>
            <w:left w:val="none" w:sz="0" w:space="0" w:color="auto"/>
            <w:bottom w:val="none" w:sz="0" w:space="0" w:color="auto"/>
            <w:right w:val="none" w:sz="0" w:space="0" w:color="auto"/>
          </w:divBdr>
          <w:divsChild>
            <w:div w:id="194587952">
              <w:marLeft w:val="0"/>
              <w:marRight w:val="0"/>
              <w:marTop w:val="0"/>
              <w:marBottom w:val="0"/>
              <w:divBdr>
                <w:top w:val="none" w:sz="0" w:space="0" w:color="auto"/>
                <w:left w:val="none" w:sz="0" w:space="0" w:color="auto"/>
                <w:bottom w:val="none" w:sz="0" w:space="0" w:color="auto"/>
                <w:right w:val="none" w:sz="0" w:space="0" w:color="auto"/>
              </w:divBdr>
              <w:divsChild>
                <w:div w:id="1602566111">
                  <w:marLeft w:val="0"/>
                  <w:marRight w:val="0"/>
                  <w:marTop w:val="0"/>
                  <w:marBottom w:val="0"/>
                  <w:divBdr>
                    <w:top w:val="none" w:sz="0" w:space="0" w:color="auto"/>
                    <w:left w:val="none" w:sz="0" w:space="0" w:color="auto"/>
                    <w:bottom w:val="none" w:sz="0" w:space="0" w:color="auto"/>
                    <w:right w:val="none" w:sz="0" w:space="0" w:color="auto"/>
                  </w:divBdr>
                  <w:divsChild>
                    <w:div w:id="1940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667195">
      <w:bodyDiv w:val="1"/>
      <w:marLeft w:val="0"/>
      <w:marRight w:val="0"/>
      <w:marTop w:val="0"/>
      <w:marBottom w:val="0"/>
      <w:divBdr>
        <w:top w:val="none" w:sz="0" w:space="0" w:color="auto"/>
        <w:left w:val="none" w:sz="0" w:space="0" w:color="auto"/>
        <w:bottom w:val="none" w:sz="0" w:space="0" w:color="auto"/>
        <w:right w:val="none" w:sz="0" w:space="0" w:color="auto"/>
      </w:divBdr>
      <w:divsChild>
        <w:div w:id="1516336449">
          <w:marLeft w:val="0"/>
          <w:marRight w:val="0"/>
          <w:marTop w:val="0"/>
          <w:marBottom w:val="0"/>
          <w:divBdr>
            <w:top w:val="none" w:sz="0" w:space="0" w:color="auto"/>
            <w:left w:val="none" w:sz="0" w:space="0" w:color="auto"/>
            <w:bottom w:val="none" w:sz="0" w:space="0" w:color="auto"/>
            <w:right w:val="none" w:sz="0" w:space="0" w:color="auto"/>
          </w:divBdr>
          <w:divsChild>
            <w:div w:id="649947816">
              <w:marLeft w:val="0"/>
              <w:marRight w:val="0"/>
              <w:marTop w:val="0"/>
              <w:marBottom w:val="0"/>
              <w:divBdr>
                <w:top w:val="none" w:sz="0" w:space="0" w:color="auto"/>
                <w:left w:val="none" w:sz="0" w:space="0" w:color="auto"/>
                <w:bottom w:val="none" w:sz="0" w:space="0" w:color="auto"/>
                <w:right w:val="none" w:sz="0" w:space="0" w:color="auto"/>
              </w:divBdr>
              <w:divsChild>
                <w:div w:id="1456095614">
                  <w:marLeft w:val="0"/>
                  <w:marRight w:val="0"/>
                  <w:marTop w:val="0"/>
                  <w:marBottom w:val="0"/>
                  <w:divBdr>
                    <w:top w:val="none" w:sz="0" w:space="0" w:color="auto"/>
                    <w:left w:val="none" w:sz="0" w:space="0" w:color="auto"/>
                    <w:bottom w:val="none" w:sz="0" w:space="0" w:color="auto"/>
                    <w:right w:val="none" w:sz="0" w:space="0" w:color="auto"/>
                  </w:divBdr>
                </w:div>
              </w:divsChild>
            </w:div>
            <w:div w:id="1277061410">
              <w:marLeft w:val="0"/>
              <w:marRight w:val="0"/>
              <w:marTop w:val="0"/>
              <w:marBottom w:val="0"/>
              <w:divBdr>
                <w:top w:val="none" w:sz="0" w:space="0" w:color="auto"/>
                <w:left w:val="none" w:sz="0" w:space="0" w:color="auto"/>
                <w:bottom w:val="none" w:sz="0" w:space="0" w:color="auto"/>
                <w:right w:val="none" w:sz="0" w:space="0" w:color="auto"/>
              </w:divBdr>
              <w:divsChild>
                <w:div w:id="123335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58295">
          <w:marLeft w:val="0"/>
          <w:marRight w:val="0"/>
          <w:marTop w:val="0"/>
          <w:marBottom w:val="0"/>
          <w:divBdr>
            <w:top w:val="none" w:sz="0" w:space="0" w:color="auto"/>
            <w:left w:val="none" w:sz="0" w:space="0" w:color="auto"/>
            <w:bottom w:val="none" w:sz="0" w:space="0" w:color="auto"/>
            <w:right w:val="none" w:sz="0" w:space="0" w:color="auto"/>
          </w:divBdr>
          <w:divsChild>
            <w:div w:id="978073773">
              <w:marLeft w:val="0"/>
              <w:marRight w:val="0"/>
              <w:marTop w:val="0"/>
              <w:marBottom w:val="0"/>
              <w:divBdr>
                <w:top w:val="none" w:sz="0" w:space="0" w:color="auto"/>
                <w:left w:val="none" w:sz="0" w:space="0" w:color="auto"/>
                <w:bottom w:val="none" w:sz="0" w:space="0" w:color="auto"/>
                <w:right w:val="none" w:sz="0" w:space="0" w:color="auto"/>
              </w:divBdr>
              <w:divsChild>
                <w:div w:id="914902016">
                  <w:marLeft w:val="0"/>
                  <w:marRight w:val="0"/>
                  <w:marTop w:val="0"/>
                  <w:marBottom w:val="0"/>
                  <w:divBdr>
                    <w:top w:val="none" w:sz="0" w:space="0" w:color="auto"/>
                    <w:left w:val="none" w:sz="0" w:space="0" w:color="auto"/>
                    <w:bottom w:val="none" w:sz="0" w:space="0" w:color="auto"/>
                    <w:right w:val="none" w:sz="0" w:space="0" w:color="auto"/>
                  </w:divBdr>
                </w:div>
              </w:divsChild>
            </w:div>
            <w:div w:id="1448161418">
              <w:marLeft w:val="0"/>
              <w:marRight w:val="0"/>
              <w:marTop w:val="0"/>
              <w:marBottom w:val="0"/>
              <w:divBdr>
                <w:top w:val="none" w:sz="0" w:space="0" w:color="auto"/>
                <w:left w:val="none" w:sz="0" w:space="0" w:color="auto"/>
                <w:bottom w:val="none" w:sz="0" w:space="0" w:color="auto"/>
                <w:right w:val="none" w:sz="0" w:space="0" w:color="auto"/>
              </w:divBdr>
              <w:divsChild>
                <w:div w:id="190305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655271">
          <w:marLeft w:val="0"/>
          <w:marRight w:val="0"/>
          <w:marTop w:val="0"/>
          <w:marBottom w:val="0"/>
          <w:divBdr>
            <w:top w:val="none" w:sz="0" w:space="0" w:color="auto"/>
            <w:left w:val="none" w:sz="0" w:space="0" w:color="auto"/>
            <w:bottom w:val="none" w:sz="0" w:space="0" w:color="auto"/>
            <w:right w:val="none" w:sz="0" w:space="0" w:color="auto"/>
          </w:divBdr>
          <w:divsChild>
            <w:div w:id="749624823">
              <w:marLeft w:val="0"/>
              <w:marRight w:val="0"/>
              <w:marTop w:val="0"/>
              <w:marBottom w:val="0"/>
              <w:divBdr>
                <w:top w:val="none" w:sz="0" w:space="0" w:color="auto"/>
                <w:left w:val="none" w:sz="0" w:space="0" w:color="auto"/>
                <w:bottom w:val="none" w:sz="0" w:space="0" w:color="auto"/>
                <w:right w:val="none" w:sz="0" w:space="0" w:color="auto"/>
              </w:divBdr>
              <w:divsChild>
                <w:div w:id="90742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743140">
          <w:marLeft w:val="0"/>
          <w:marRight w:val="0"/>
          <w:marTop w:val="0"/>
          <w:marBottom w:val="0"/>
          <w:divBdr>
            <w:top w:val="none" w:sz="0" w:space="0" w:color="auto"/>
            <w:left w:val="none" w:sz="0" w:space="0" w:color="auto"/>
            <w:bottom w:val="none" w:sz="0" w:space="0" w:color="auto"/>
            <w:right w:val="none" w:sz="0" w:space="0" w:color="auto"/>
          </w:divBdr>
          <w:divsChild>
            <w:div w:id="417293098">
              <w:marLeft w:val="0"/>
              <w:marRight w:val="0"/>
              <w:marTop w:val="0"/>
              <w:marBottom w:val="0"/>
              <w:divBdr>
                <w:top w:val="none" w:sz="0" w:space="0" w:color="auto"/>
                <w:left w:val="none" w:sz="0" w:space="0" w:color="auto"/>
                <w:bottom w:val="none" w:sz="0" w:space="0" w:color="auto"/>
                <w:right w:val="none" w:sz="0" w:space="0" w:color="auto"/>
              </w:divBdr>
              <w:divsChild>
                <w:div w:id="1259405549">
                  <w:marLeft w:val="0"/>
                  <w:marRight w:val="0"/>
                  <w:marTop w:val="0"/>
                  <w:marBottom w:val="0"/>
                  <w:divBdr>
                    <w:top w:val="none" w:sz="0" w:space="0" w:color="auto"/>
                    <w:left w:val="none" w:sz="0" w:space="0" w:color="auto"/>
                    <w:bottom w:val="none" w:sz="0" w:space="0" w:color="auto"/>
                    <w:right w:val="none" w:sz="0" w:space="0" w:color="auto"/>
                  </w:divBdr>
                </w:div>
              </w:divsChild>
            </w:div>
            <w:div w:id="943418477">
              <w:marLeft w:val="0"/>
              <w:marRight w:val="0"/>
              <w:marTop w:val="0"/>
              <w:marBottom w:val="0"/>
              <w:divBdr>
                <w:top w:val="none" w:sz="0" w:space="0" w:color="auto"/>
                <w:left w:val="none" w:sz="0" w:space="0" w:color="auto"/>
                <w:bottom w:val="none" w:sz="0" w:space="0" w:color="auto"/>
                <w:right w:val="none" w:sz="0" w:space="0" w:color="auto"/>
              </w:divBdr>
              <w:divsChild>
                <w:div w:id="182026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132117">
      <w:bodyDiv w:val="1"/>
      <w:marLeft w:val="0"/>
      <w:marRight w:val="0"/>
      <w:marTop w:val="0"/>
      <w:marBottom w:val="0"/>
      <w:divBdr>
        <w:top w:val="none" w:sz="0" w:space="0" w:color="auto"/>
        <w:left w:val="none" w:sz="0" w:space="0" w:color="auto"/>
        <w:bottom w:val="none" w:sz="0" w:space="0" w:color="auto"/>
        <w:right w:val="none" w:sz="0" w:space="0" w:color="auto"/>
      </w:divBdr>
    </w:div>
    <w:div w:id="1395742434">
      <w:bodyDiv w:val="1"/>
      <w:marLeft w:val="0"/>
      <w:marRight w:val="0"/>
      <w:marTop w:val="0"/>
      <w:marBottom w:val="0"/>
      <w:divBdr>
        <w:top w:val="none" w:sz="0" w:space="0" w:color="auto"/>
        <w:left w:val="none" w:sz="0" w:space="0" w:color="auto"/>
        <w:bottom w:val="none" w:sz="0" w:space="0" w:color="auto"/>
        <w:right w:val="none" w:sz="0" w:space="0" w:color="auto"/>
      </w:divBdr>
    </w:div>
    <w:div w:id="1402675931">
      <w:bodyDiv w:val="1"/>
      <w:marLeft w:val="0"/>
      <w:marRight w:val="0"/>
      <w:marTop w:val="0"/>
      <w:marBottom w:val="0"/>
      <w:divBdr>
        <w:top w:val="none" w:sz="0" w:space="0" w:color="auto"/>
        <w:left w:val="none" w:sz="0" w:space="0" w:color="auto"/>
        <w:bottom w:val="none" w:sz="0" w:space="0" w:color="auto"/>
        <w:right w:val="none" w:sz="0" w:space="0" w:color="auto"/>
      </w:divBdr>
    </w:div>
    <w:div w:id="1481533398">
      <w:bodyDiv w:val="1"/>
      <w:marLeft w:val="0"/>
      <w:marRight w:val="0"/>
      <w:marTop w:val="0"/>
      <w:marBottom w:val="0"/>
      <w:divBdr>
        <w:top w:val="none" w:sz="0" w:space="0" w:color="auto"/>
        <w:left w:val="none" w:sz="0" w:space="0" w:color="auto"/>
        <w:bottom w:val="none" w:sz="0" w:space="0" w:color="auto"/>
        <w:right w:val="none" w:sz="0" w:space="0" w:color="auto"/>
      </w:divBdr>
    </w:div>
    <w:div w:id="1608385357">
      <w:bodyDiv w:val="1"/>
      <w:marLeft w:val="0"/>
      <w:marRight w:val="0"/>
      <w:marTop w:val="0"/>
      <w:marBottom w:val="0"/>
      <w:divBdr>
        <w:top w:val="none" w:sz="0" w:space="0" w:color="auto"/>
        <w:left w:val="none" w:sz="0" w:space="0" w:color="auto"/>
        <w:bottom w:val="none" w:sz="0" w:space="0" w:color="auto"/>
        <w:right w:val="none" w:sz="0" w:space="0" w:color="auto"/>
      </w:divBdr>
      <w:divsChild>
        <w:div w:id="1332292316">
          <w:marLeft w:val="0"/>
          <w:marRight w:val="0"/>
          <w:marTop w:val="0"/>
          <w:marBottom w:val="0"/>
          <w:divBdr>
            <w:top w:val="none" w:sz="0" w:space="0" w:color="auto"/>
            <w:left w:val="none" w:sz="0" w:space="0" w:color="auto"/>
            <w:bottom w:val="none" w:sz="0" w:space="0" w:color="auto"/>
            <w:right w:val="none" w:sz="0" w:space="0" w:color="auto"/>
          </w:divBdr>
          <w:divsChild>
            <w:div w:id="1730837568">
              <w:marLeft w:val="0"/>
              <w:marRight w:val="0"/>
              <w:marTop w:val="0"/>
              <w:marBottom w:val="0"/>
              <w:divBdr>
                <w:top w:val="none" w:sz="0" w:space="0" w:color="auto"/>
                <w:left w:val="none" w:sz="0" w:space="0" w:color="auto"/>
                <w:bottom w:val="none" w:sz="0" w:space="0" w:color="auto"/>
                <w:right w:val="none" w:sz="0" w:space="0" w:color="auto"/>
              </w:divBdr>
              <w:divsChild>
                <w:div w:id="189827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099810">
      <w:bodyDiv w:val="1"/>
      <w:marLeft w:val="0"/>
      <w:marRight w:val="0"/>
      <w:marTop w:val="0"/>
      <w:marBottom w:val="0"/>
      <w:divBdr>
        <w:top w:val="none" w:sz="0" w:space="0" w:color="auto"/>
        <w:left w:val="none" w:sz="0" w:space="0" w:color="auto"/>
        <w:bottom w:val="none" w:sz="0" w:space="0" w:color="auto"/>
        <w:right w:val="none" w:sz="0" w:space="0" w:color="auto"/>
      </w:divBdr>
      <w:divsChild>
        <w:div w:id="996030894">
          <w:marLeft w:val="0"/>
          <w:marRight w:val="0"/>
          <w:marTop w:val="0"/>
          <w:marBottom w:val="0"/>
          <w:divBdr>
            <w:top w:val="none" w:sz="0" w:space="0" w:color="auto"/>
            <w:left w:val="none" w:sz="0" w:space="0" w:color="auto"/>
            <w:bottom w:val="none" w:sz="0" w:space="0" w:color="auto"/>
            <w:right w:val="none" w:sz="0" w:space="0" w:color="auto"/>
          </w:divBdr>
          <w:divsChild>
            <w:div w:id="1774472609">
              <w:marLeft w:val="0"/>
              <w:marRight w:val="0"/>
              <w:marTop w:val="0"/>
              <w:marBottom w:val="0"/>
              <w:divBdr>
                <w:top w:val="none" w:sz="0" w:space="0" w:color="auto"/>
                <w:left w:val="none" w:sz="0" w:space="0" w:color="auto"/>
                <w:bottom w:val="none" w:sz="0" w:space="0" w:color="auto"/>
                <w:right w:val="none" w:sz="0" w:space="0" w:color="auto"/>
              </w:divBdr>
              <w:divsChild>
                <w:div w:id="11415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827289">
      <w:bodyDiv w:val="1"/>
      <w:marLeft w:val="0"/>
      <w:marRight w:val="0"/>
      <w:marTop w:val="0"/>
      <w:marBottom w:val="0"/>
      <w:divBdr>
        <w:top w:val="none" w:sz="0" w:space="0" w:color="auto"/>
        <w:left w:val="none" w:sz="0" w:space="0" w:color="auto"/>
        <w:bottom w:val="none" w:sz="0" w:space="0" w:color="auto"/>
        <w:right w:val="none" w:sz="0" w:space="0" w:color="auto"/>
      </w:divBdr>
    </w:div>
    <w:div w:id="1688482526">
      <w:bodyDiv w:val="1"/>
      <w:marLeft w:val="0"/>
      <w:marRight w:val="0"/>
      <w:marTop w:val="0"/>
      <w:marBottom w:val="0"/>
      <w:divBdr>
        <w:top w:val="none" w:sz="0" w:space="0" w:color="auto"/>
        <w:left w:val="none" w:sz="0" w:space="0" w:color="auto"/>
        <w:bottom w:val="none" w:sz="0" w:space="0" w:color="auto"/>
        <w:right w:val="none" w:sz="0" w:space="0" w:color="auto"/>
      </w:divBdr>
    </w:div>
    <w:div w:id="1692487842">
      <w:bodyDiv w:val="1"/>
      <w:marLeft w:val="0"/>
      <w:marRight w:val="0"/>
      <w:marTop w:val="0"/>
      <w:marBottom w:val="0"/>
      <w:divBdr>
        <w:top w:val="none" w:sz="0" w:space="0" w:color="auto"/>
        <w:left w:val="none" w:sz="0" w:space="0" w:color="auto"/>
        <w:bottom w:val="none" w:sz="0" w:space="0" w:color="auto"/>
        <w:right w:val="none" w:sz="0" w:space="0" w:color="auto"/>
      </w:divBdr>
      <w:divsChild>
        <w:div w:id="938755777">
          <w:marLeft w:val="0"/>
          <w:marRight w:val="0"/>
          <w:marTop w:val="0"/>
          <w:marBottom w:val="0"/>
          <w:divBdr>
            <w:top w:val="none" w:sz="0" w:space="0" w:color="auto"/>
            <w:left w:val="none" w:sz="0" w:space="0" w:color="auto"/>
            <w:bottom w:val="none" w:sz="0" w:space="0" w:color="auto"/>
            <w:right w:val="none" w:sz="0" w:space="0" w:color="auto"/>
          </w:divBdr>
          <w:divsChild>
            <w:div w:id="95027788">
              <w:marLeft w:val="0"/>
              <w:marRight w:val="0"/>
              <w:marTop w:val="0"/>
              <w:marBottom w:val="0"/>
              <w:divBdr>
                <w:top w:val="none" w:sz="0" w:space="0" w:color="auto"/>
                <w:left w:val="none" w:sz="0" w:space="0" w:color="auto"/>
                <w:bottom w:val="none" w:sz="0" w:space="0" w:color="auto"/>
                <w:right w:val="none" w:sz="0" w:space="0" w:color="auto"/>
              </w:divBdr>
              <w:divsChild>
                <w:div w:id="47252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271012">
      <w:bodyDiv w:val="1"/>
      <w:marLeft w:val="0"/>
      <w:marRight w:val="0"/>
      <w:marTop w:val="0"/>
      <w:marBottom w:val="0"/>
      <w:divBdr>
        <w:top w:val="none" w:sz="0" w:space="0" w:color="auto"/>
        <w:left w:val="none" w:sz="0" w:space="0" w:color="auto"/>
        <w:bottom w:val="none" w:sz="0" w:space="0" w:color="auto"/>
        <w:right w:val="none" w:sz="0" w:space="0" w:color="auto"/>
      </w:divBdr>
    </w:div>
    <w:div w:id="1726181661">
      <w:bodyDiv w:val="1"/>
      <w:marLeft w:val="0"/>
      <w:marRight w:val="0"/>
      <w:marTop w:val="0"/>
      <w:marBottom w:val="0"/>
      <w:divBdr>
        <w:top w:val="none" w:sz="0" w:space="0" w:color="auto"/>
        <w:left w:val="none" w:sz="0" w:space="0" w:color="auto"/>
        <w:bottom w:val="none" w:sz="0" w:space="0" w:color="auto"/>
        <w:right w:val="none" w:sz="0" w:space="0" w:color="auto"/>
      </w:divBdr>
    </w:div>
    <w:div w:id="1754811485">
      <w:bodyDiv w:val="1"/>
      <w:marLeft w:val="0"/>
      <w:marRight w:val="0"/>
      <w:marTop w:val="0"/>
      <w:marBottom w:val="0"/>
      <w:divBdr>
        <w:top w:val="none" w:sz="0" w:space="0" w:color="auto"/>
        <w:left w:val="none" w:sz="0" w:space="0" w:color="auto"/>
        <w:bottom w:val="none" w:sz="0" w:space="0" w:color="auto"/>
        <w:right w:val="none" w:sz="0" w:space="0" w:color="auto"/>
      </w:divBdr>
    </w:div>
    <w:div w:id="1822192851">
      <w:bodyDiv w:val="1"/>
      <w:marLeft w:val="0"/>
      <w:marRight w:val="0"/>
      <w:marTop w:val="0"/>
      <w:marBottom w:val="0"/>
      <w:divBdr>
        <w:top w:val="none" w:sz="0" w:space="0" w:color="auto"/>
        <w:left w:val="none" w:sz="0" w:space="0" w:color="auto"/>
        <w:bottom w:val="none" w:sz="0" w:space="0" w:color="auto"/>
        <w:right w:val="none" w:sz="0" w:space="0" w:color="auto"/>
      </w:divBdr>
      <w:divsChild>
        <w:div w:id="1734768541">
          <w:marLeft w:val="0"/>
          <w:marRight w:val="0"/>
          <w:marTop w:val="0"/>
          <w:marBottom w:val="0"/>
          <w:divBdr>
            <w:top w:val="none" w:sz="0" w:space="0" w:color="auto"/>
            <w:left w:val="none" w:sz="0" w:space="0" w:color="auto"/>
            <w:bottom w:val="none" w:sz="0" w:space="0" w:color="auto"/>
            <w:right w:val="none" w:sz="0" w:space="0" w:color="auto"/>
          </w:divBdr>
          <w:divsChild>
            <w:div w:id="1681080881">
              <w:marLeft w:val="0"/>
              <w:marRight w:val="0"/>
              <w:marTop w:val="0"/>
              <w:marBottom w:val="0"/>
              <w:divBdr>
                <w:top w:val="none" w:sz="0" w:space="0" w:color="auto"/>
                <w:left w:val="none" w:sz="0" w:space="0" w:color="auto"/>
                <w:bottom w:val="none" w:sz="0" w:space="0" w:color="auto"/>
                <w:right w:val="none" w:sz="0" w:space="0" w:color="auto"/>
              </w:divBdr>
              <w:divsChild>
                <w:div w:id="204027230">
                  <w:marLeft w:val="0"/>
                  <w:marRight w:val="0"/>
                  <w:marTop w:val="0"/>
                  <w:marBottom w:val="0"/>
                  <w:divBdr>
                    <w:top w:val="none" w:sz="0" w:space="0" w:color="auto"/>
                    <w:left w:val="none" w:sz="0" w:space="0" w:color="auto"/>
                    <w:bottom w:val="none" w:sz="0" w:space="0" w:color="auto"/>
                    <w:right w:val="none" w:sz="0" w:space="0" w:color="auto"/>
                  </w:divBdr>
                  <w:divsChild>
                    <w:div w:id="17265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927372">
      <w:bodyDiv w:val="1"/>
      <w:marLeft w:val="0"/>
      <w:marRight w:val="0"/>
      <w:marTop w:val="0"/>
      <w:marBottom w:val="0"/>
      <w:divBdr>
        <w:top w:val="none" w:sz="0" w:space="0" w:color="auto"/>
        <w:left w:val="none" w:sz="0" w:space="0" w:color="auto"/>
        <w:bottom w:val="none" w:sz="0" w:space="0" w:color="auto"/>
        <w:right w:val="none" w:sz="0" w:space="0" w:color="auto"/>
      </w:divBdr>
    </w:div>
    <w:div w:id="1859274536">
      <w:bodyDiv w:val="1"/>
      <w:marLeft w:val="0"/>
      <w:marRight w:val="0"/>
      <w:marTop w:val="0"/>
      <w:marBottom w:val="0"/>
      <w:divBdr>
        <w:top w:val="none" w:sz="0" w:space="0" w:color="auto"/>
        <w:left w:val="none" w:sz="0" w:space="0" w:color="auto"/>
        <w:bottom w:val="none" w:sz="0" w:space="0" w:color="auto"/>
        <w:right w:val="none" w:sz="0" w:space="0" w:color="auto"/>
      </w:divBdr>
      <w:divsChild>
        <w:div w:id="530458122">
          <w:marLeft w:val="0"/>
          <w:marRight w:val="0"/>
          <w:marTop w:val="0"/>
          <w:marBottom w:val="0"/>
          <w:divBdr>
            <w:top w:val="none" w:sz="0" w:space="0" w:color="auto"/>
            <w:left w:val="none" w:sz="0" w:space="0" w:color="auto"/>
            <w:bottom w:val="none" w:sz="0" w:space="0" w:color="auto"/>
            <w:right w:val="none" w:sz="0" w:space="0" w:color="auto"/>
          </w:divBdr>
          <w:divsChild>
            <w:div w:id="1897280176">
              <w:marLeft w:val="0"/>
              <w:marRight w:val="0"/>
              <w:marTop w:val="0"/>
              <w:marBottom w:val="0"/>
              <w:divBdr>
                <w:top w:val="none" w:sz="0" w:space="0" w:color="auto"/>
                <w:left w:val="none" w:sz="0" w:space="0" w:color="auto"/>
                <w:bottom w:val="none" w:sz="0" w:space="0" w:color="auto"/>
                <w:right w:val="none" w:sz="0" w:space="0" w:color="auto"/>
              </w:divBdr>
              <w:divsChild>
                <w:div w:id="130384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698271">
      <w:bodyDiv w:val="1"/>
      <w:marLeft w:val="0"/>
      <w:marRight w:val="0"/>
      <w:marTop w:val="0"/>
      <w:marBottom w:val="0"/>
      <w:divBdr>
        <w:top w:val="none" w:sz="0" w:space="0" w:color="auto"/>
        <w:left w:val="none" w:sz="0" w:space="0" w:color="auto"/>
        <w:bottom w:val="none" w:sz="0" w:space="0" w:color="auto"/>
        <w:right w:val="none" w:sz="0" w:space="0" w:color="auto"/>
      </w:divBdr>
      <w:divsChild>
        <w:div w:id="1933510739">
          <w:marLeft w:val="0"/>
          <w:marRight w:val="0"/>
          <w:marTop w:val="0"/>
          <w:marBottom w:val="0"/>
          <w:divBdr>
            <w:top w:val="none" w:sz="0" w:space="0" w:color="auto"/>
            <w:left w:val="none" w:sz="0" w:space="0" w:color="auto"/>
            <w:bottom w:val="none" w:sz="0" w:space="0" w:color="auto"/>
            <w:right w:val="none" w:sz="0" w:space="0" w:color="auto"/>
          </w:divBdr>
          <w:divsChild>
            <w:div w:id="2067950843">
              <w:marLeft w:val="0"/>
              <w:marRight w:val="0"/>
              <w:marTop w:val="0"/>
              <w:marBottom w:val="0"/>
              <w:divBdr>
                <w:top w:val="none" w:sz="0" w:space="0" w:color="auto"/>
                <w:left w:val="none" w:sz="0" w:space="0" w:color="auto"/>
                <w:bottom w:val="none" w:sz="0" w:space="0" w:color="auto"/>
                <w:right w:val="none" w:sz="0" w:space="0" w:color="auto"/>
              </w:divBdr>
              <w:divsChild>
                <w:div w:id="38287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74">
      <w:bodyDiv w:val="1"/>
      <w:marLeft w:val="0"/>
      <w:marRight w:val="0"/>
      <w:marTop w:val="0"/>
      <w:marBottom w:val="0"/>
      <w:divBdr>
        <w:top w:val="none" w:sz="0" w:space="0" w:color="auto"/>
        <w:left w:val="none" w:sz="0" w:space="0" w:color="auto"/>
        <w:bottom w:val="none" w:sz="0" w:space="0" w:color="auto"/>
        <w:right w:val="none" w:sz="0" w:space="0" w:color="auto"/>
      </w:divBdr>
    </w:div>
    <w:div w:id="1899246662">
      <w:bodyDiv w:val="1"/>
      <w:marLeft w:val="0"/>
      <w:marRight w:val="0"/>
      <w:marTop w:val="0"/>
      <w:marBottom w:val="0"/>
      <w:divBdr>
        <w:top w:val="none" w:sz="0" w:space="0" w:color="auto"/>
        <w:left w:val="none" w:sz="0" w:space="0" w:color="auto"/>
        <w:bottom w:val="none" w:sz="0" w:space="0" w:color="auto"/>
        <w:right w:val="none" w:sz="0" w:space="0" w:color="auto"/>
      </w:divBdr>
    </w:div>
    <w:div w:id="2030523997">
      <w:bodyDiv w:val="1"/>
      <w:marLeft w:val="0"/>
      <w:marRight w:val="0"/>
      <w:marTop w:val="0"/>
      <w:marBottom w:val="0"/>
      <w:divBdr>
        <w:top w:val="none" w:sz="0" w:space="0" w:color="auto"/>
        <w:left w:val="none" w:sz="0" w:space="0" w:color="auto"/>
        <w:bottom w:val="none" w:sz="0" w:space="0" w:color="auto"/>
        <w:right w:val="none" w:sz="0" w:space="0" w:color="auto"/>
      </w:divBdr>
      <w:divsChild>
        <w:div w:id="837429044">
          <w:marLeft w:val="0"/>
          <w:marRight w:val="0"/>
          <w:marTop w:val="0"/>
          <w:marBottom w:val="0"/>
          <w:divBdr>
            <w:top w:val="none" w:sz="0" w:space="0" w:color="auto"/>
            <w:left w:val="none" w:sz="0" w:space="0" w:color="auto"/>
            <w:bottom w:val="none" w:sz="0" w:space="0" w:color="auto"/>
            <w:right w:val="none" w:sz="0" w:space="0" w:color="auto"/>
          </w:divBdr>
          <w:divsChild>
            <w:div w:id="519929542">
              <w:marLeft w:val="0"/>
              <w:marRight w:val="0"/>
              <w:marTop w:val="0"/>
              <w:marBottom w:val="0"/>
              <w:divBdr>
                <w:top w:val="none" w:sz="0" w:space="0" w:color="auto"/>
                <w:left w:val="none" w:sz="0" w:space="0" w:color="auto"/>
                <w:bottom w:val="none" w:sz="0" w:space="0" w:color="auto"/>
                <w:right w:val="none" w:sz="0" w:space="0" w:color="auto"/>
              </w:divBdr>
              <w:divsChild>
                <w:div w:id="1047729348">
                  <w:marLeft w:val="0"/>
                  <w:marRight w:val="0"/>
                  <w:marTop w:val="0"/>
                  <w:marBottom w:val="0"/>
                  <w:divBdr>
                    <w:top w:val="none" w:sz="0" w:space="0" w:color="auto"/>
                    <w:left w:val="none" w:sz="0" w:space="0" w:color="auto"/>
                    <w:bottom w:val="none" w:sz="0" w:space="0" w:color="auto"/>
                    <w:right w:val="none" w:sz="0" w:space="0" w:color="auto"/>
                  </w:divBdr>
                  <w:divsChild>
                    <w:div w:id="124028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476330">
      <w:bodyDiv w:val="1"/>
      <w:marLeft w:val="0"/>
      <w:marRight w:val="0"/>
      <w:marTop w:val="0"/>
      <w:marBottom w:val="0"/>
      <w:divBdr>
        <w:top w:val="none" w:sz="0" w:space="0" w:color="auto"/>
        <w:left w:val="none" w:sz="0" w:space="0" w:color="auto"/>
        <w:bottom w:val="none" w:sz="0" w:space="0" w:color="auto"/>
        <w:right w:val="none" w:sz="0" w:space="0" w:color="auto"/>
      </w:divBdr>
      <w:divsChild>
        <w:div w:id="2067414674">
          <w:marLeft w:val="0"/>
          <w:marRight w:val="0"/>
          <w:marTop w:val="0"/>
          <w:marBottom w:val="0"/>
          <w:divBdr>
            <w:top w:val="none" w:sz="0" w:space="0" w:color="auto"/>
            <w:left w:val="none" w:sz="0" w:space="0" w:color="auto"/>
            <w:bottom w:val="none" w:sz="0" w:space="0" w:color="auto"/>
            <w:right w:val="none" w:sz="0" w:space="0" w:color="auto"/>
          </w:divBdr>
          <w:divsChild>
            <w:div w:id="1994211299">
              <w:marLeft w:val="0"/>
              <w:marRight w:val="0"/>
              <w:marTop w:val="0"/>
              <w:marBottom w:val="0"/>
              <w:divBdr>
                <w:top w:val="none" w:sz="0" w:space="0" w:color="auto"/>
                <w:left w:val="none" w:sz="0" w:space="0" w:color="auto"/>
                <w:bottom w:val="none" w:sz="0" w:space="0" w:color="auto"/>
                <w:right w:val="none" w:sz="0" w:space="0" w:color="auto"/>
              </w:divBdr>
              <w:divsChild>
                <w:div w:id="134925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3387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833D9-12CA-194C-A9B3-76D4CDE91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1387</Words>
  <Characters>7632</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Olivier Caliez</dc:creator>
  <cp:keywords/>
  <dc:description/>
  <cp:lastModifiedBy>Olivier Caliez</cp:lastModifiedBy>
  <cp:revision>3</cp:revision>
  <dcterms:created xsi:type="dcterms:W3CDTF">2025-04-08T20:29:00Z</dcterms:created>
  <dcterms:modified xsi:type="dcterms:W3CDTF">2025-04-08T20:30:00Z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zotero-version="6.0.23"&gt;&lt;session id="mgq7DDJq"/&gt;&lt;style id="http://www.zotero.org/styles/the-new-england-journal-of-medicine" hasBibliography="1" bibliographyStyleHasBeenSet="1"/&gt;&lt;prefs&gt;&lt;pref name="fieldType" value="Field"/&gt;&lt;pref nam</vt:lpwstr>
  </property>
  <property fmtid="{D5CDD505-2E9C-101B-9397-08002B2CF9AE}" pid="3" name="ZOTERO_PREF_2">
    <vt:lpwstr>e="dontAskDelayCitationUpdates" value="true"/&gt;&lt;/prefs&gt;&lt;/data&gt;</vt:lpwstr>
  </property>
</Properties>
</file>