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  <w:t xml:space="preserve">             </w:t>
      </w:r>
      <w:r w:rsidDel="00000000" w:rsidR="00000000" w:rsidRPr="00000000">
        <w:rPr/>
        <w:drawing>
          <wp:inline distB="0" distT="0" distL="0" distR="0">
            <wp:extent cx="4896103" cy="3125501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9266" l="26622" r="20465" t="12354"/>
                    <a:stretch>
                      <a:fillRect/>
                    </a:stretch>
                  </pic:blipFill>
                  <pic:spPr>
                    <a:xfrm>
                      <a:off x="0" y="0"/>
                      <a:ext cx="4896103" cy="312550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Figure S4: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Superimposed structures of cocrystal ligand (Cyan), and its re-docked conformer (Magenta) with an RMSD of 0.00 Å.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