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8A70" w14:textId="77777777" w:rsidR="00163763" w:rsidRPr="00163763" w:rsidRDefault="00163763" w:rsidP="00163763">
      <w:pPr>
        <w:ind w:firstLineChars="0" w:firstLine="640"/>
        <w:jc w:val="center"/>
        <w:outlineLvl w:val="2"/>
        <w:rPr>
          <w:rFonts w:eastAsia="等线"/>
          <w:b/>
          <w:bCs/>
          <w:sz w:val="32"/>
          <w:szCs w:val="32"/>
        </w:rPr>
      </w:pPr>
      <w:r w:rsidRPr="00163763">
        <w:rPr>
          <w:rFonts w:eastAsia="等线"/>
          <w:b/>
          <w:bCs/>
          <w:sz w:val="32"/>
          <w:szCs w:val="32"/>
        </w:rPr>
        <w:t>Supplementary Online C</w:t>
      </w:r>
      <w:r w:rsidRPr="00163763">
        <w:rPr>
          <w:rFonts w:eastAsia="等线" w:hint="eastAsia"/>
          <w:b/>
          <w:bCs/>
          <w:sz w:val="32"/>
          <w:szCs w:val="32"/>
        </w:rPr>
        <w:t>ontent</w:t>
      </w:r>
    </w:p>
    <w:p w14:paraId="79740164" w14:textId="0254DA47" w:rsidR="00163763" w:rsidRDefault="00163763" w:rsidP="00DD49C8">
      <w:pPr>
        <w:ind w:firstLineChars="0" w:firstLine="0"/>
        <w:jc w:val="center"/>
        <w:rPr>
          <w:bCs/>
          <w:sz w:val="24"/>
          <w:szCs w:val="24"/>
        </w:rPr>
      </w:pPr>
      <w:r w:rsidRPr="00163763">
        <w:rPr>
          <w:bCs/>
          <w:sz w:val="24"/>
          <w:szCs w:val="24"/>
        </w:rPr>
        <w:t xml:space="preserve">Chronic conditions and intrinsic capacity trajectories among Chinese middle-aged and older adults: </w:t>
      </w:r>
      <w:r w:rsidRPr="00163763">
        <w:rPr>
          <w:rFonts w:hint="eastAsia"/>
          <w:bCs/>
          <w:sz w:val="24"/>
          <w:szCs w:val="24"/>
        </w:rPr>
        <w:t>a</w:t>
      </w:r>
      <w:r w:rsidRPr="00163763">
        <w:rPr>
          <w:bCs/>
          <w:sz w:val="24"/>
          <w:szCs w:val="24"/>
        </w:rPr>
        <w:t xml:space="preserve"> </w:t>
      </w:r>
      <w:r w:rsidRPr="00163763">
        <w:rPr>
          <w:rFonts w:hint="eastAsia"/>
          <w:bCs/>
          <w:sz w:val="24"/>
          <w:szCs w:val="24"/>
        </w:rPr>
        <w:t xml:space="preserve">nationally representative </w:t>
      </w:r>
      <w:r w:rsidRPr="00163763">
        <w:rPr>
          <w:bCs/>
          <w:sz w:val="24"/>
          <w:szCs w:val="24"/>
        </w:rPr>
        <w:t>longitudinal study</w:t>
      </w:r>
    </w:p>
    <w:p w14:paraId="0C469662" w14:textId="77777777" w:rsidR="00163763" w:rsidRPr="00163763" w:rsidRDefault="00163763" w:rsidP="00DD49C8">
      <w:pPr>
        <w:ind w:firstLineChars="0" w:firstLine="0"/>
        <w:jc w:val="center"/>
        <w:rPr>
          <w:bCs/>
        </w:rPr>
      </w:pPr>
    </w:p>
    <w:p w14:paraId="7EAE8521" w14:textId="18316454" w:rsidR="00DD49C8" w:rsidRPr="00C84F92" w:rsidRDefault="00DD49C8" w:rsidP="00DD49C8">
      <w:pPr>
        <w:ind w:firstLineChars="0" w:firstLine="0"/>
        <w:jc w:val="center"/>
      </w:pPr>
      <w:r w:rsidRPr="00C84F92">
        <w:t xml:space="preserve">Table </w:t>
      </w:r>
      <w:r>
        <w:t>S1</w:t>
      </w:r>
      <w:r w:rsidRPr="00C84F92">
        <w:t xml:space="preserve"> </w:t>
      </w:r>
      <w:r>
        <w:t xml:space="preserve">The available data </w:t>
      </w:r>
      <w:r w:rsidR="00C25C82" w:rsidRPr="00C25C82">
        <w:t xml:space="preserve">of the </w:t>
      </w:r>
      <w:r w:rsidR="00C25C82">
        <w:t>intrinsic capacity and chronic condition</w:t>
      </w:r>
      <w:r w:rsidR="00C25C82" w:rsidRPr="00C25C82">
        <w:t xml:space="preserve"> </w:t>
      </w:r>
      <w:r w:rsidR="00C25C82">
        <w:t>over</w:t>
      </w:r>
      <w:r w:rsidR="00C25C82" w:rsidRPr="00C25C82">
        <w:t xml:space="preserve"> the 4-year study period</w:t>
      </w:r>
      <w:r w:rsidR="00C25C82" w:rsidRPr="00C25C82">
        <w:t xml:space="preserve"> </w:t>
      </w:r>
      <w:r w:rsidR="00C25C82" w:rsidRPr="00C25C82">
        <w:t>(N=</w:t>
      </w:r>
      <w:r w:rsidR="00C25C82">
        <w:rPr>
          <w:rFonts w:eastAsia="等线"/>
          <w:color w:val="000000"/>
        </w:rPr>
        <w:t>8</w:t>
      </w:r>
      <w:r w:rsidR="00C25C82">
        <w:rPr>
          <w:rFonts w:eastAsia="等线"/>
          <w:color w:val="000000"/>
        </w:rPr>
        <w:t>,</w:t>
      </w:r>
      <w:r w:rsidR="00C25C82">
        <w:rPr>
          <w:rFonts w:eastAsia="等线"/>
          <w:color w:val="000000"/>
        </w:rPr>
        <w:t>836</w:t>
      </w:r>
      <w:r w:rsidR="00C25C82" w:rsidRPr="00C25C82">
        <w:t>)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21"/>
        <w:gridCol w:w="1894"/>
        <w:gridCol w:w="1894"/>
        <w:gridCol w:w="1897"/>
      </w:tblGrid>
      <w:tr w:rsidR="00DD49C8" w:rsidRPr="00C84F92" w14:paraId="5284F755" w14:textId="77777777" w:rsidTr="00365246">
        <w:trPr>
          <w:trHeight w:val="283"/>
        </w:trPr>
        <w:tc>
          <w:tcPr>
            <w:tcW w:w="1447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836491D" w14:textId="77777777" w:rsidR="00DD49C8" w:rsidRPr="00A30366" w:rsidRDefault="00DD49C8" w:rsidP="006C351A">
            <w:pPr>
              <w:ind w:firstLineChars="0" w:firstLine="0"/>
            </w:pPr>
            <w:r w:rsidRPr="00C84F92">
              <w:t>Dimension</w:t>
            </w:r>
          </w:p>
        </w:tc>
        <w:tc>
          <w:tcPr>
            <w:tcW w:w="1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9F9668" w14:textId="77777777" w:rsidR="00DD49C8" w:rsidRPr="00A30366" w:rsidRDefault="00DD49C8" w:rsidP="006C351A">
            <w:pPr>
              <w:ind w:firstLineChars="0" w:firstLine="0"/>
              <w:jc w:val="center"/>
            </w:pPr>
            <w:r w:rsidRPr="00A30366">
              <w:t>2011</w:t>
            </w:r>
          </w:p>
        </w:tc>
        <w:tc>
          <w:tcPr>
            <w:tcW w:w="1184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659E872" w14:textId="77777777" w:rsidR="00DD49C8" w:rsidRPr="00A30366" w:rsidRDefault="00DD49C8" w:rsidP="006C351A">
            <w:pPr>
              <w:ind w:firstLineChars="0" w:firstLine="0"/>
              <w:jc w:val="center"/>
            </w:pPr>
            <w:r w:rsidRPr="00A30366">
              <w:t>2013</w:t>
            </w:r>
          </w:p>
        </w:tc>
        <w:tc>
          <w:tcPr>
            <w:tcW w:w="1185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237675B" w14:textId="77777777" w:rsidR="00DD49C8" w:rsidRPr="00A30366" w:rsidRDefault="00DD49C8" w:rsidP="006C351A">
            <w:pPr>
              <w:ind w:firstLineChars="0" w:firstLine="0"/>
              <w:jc w:val="center"/>
            </w:pPr>
            <w:r w:rsidRPr="00A30366">
              <w:t>2015</w:t>
            </w:r>
          </w:p>
        </w:tc>
      </w:tr>
      <w:tr w:rsidR="00DD49C8" w:rsidRPr="00A30366" w14:paraId="5CB21AB7" w14:textId="77777777" w:rsidTr="00365246">
        <w:trPr>
          <w:trHeight w:val="283"/>
        </w:trPr>
        <w:tc>
          <w:tcPr>
            <w:tcW w:w="144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09CC9C3" w14:textId="77777777" w:rsidR="00DD49C8" w:rsidRPr="00F501A8" w:rsidRDefault="00DD49C8" w:rsidP="00DD49C8">
            <w:pPr>
              <w:ind w:firstLineChars="0" w:firstLine="0"/>
            </w:pPr>
            <w:r>
              <w:t>Depressive symptoms</w:t>
            </w:r>
          </w:p>
        </w:tc>
        <w:tc>
          <w:tcPr>
            <w:tcW w:w="118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9F51AE7" w14:textId="77FAF654" w:rsidR="00DD49C8" w:rsidRPr="00A30366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836</w:t>
            </w:r>
          </w:p>
        </w:tc>
        <w:tc>
          <w:tcPr>
            <w:tcW w:w="1184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B15DA53" w14:textId="6E321B19" w:rsidR="00DD49C8" w:rsidRPr="00A30366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288</w:t>
            </w:r>
          </w:p>
        </w:tc>
        <w:tc>
          <w:tcPr>
            <w:tcW w:w="118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06563CA" w14:textId="22D7D105" w:rsidR="00DD49C8" w:rsidRPr="00A30366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341</w:t>
            </w:r>
          </w:p>
        </w:tc>
      </w:tr>
      <w:tr w:rsidR="00DD49C8" w:rsidRPr="00C84F92" w14:paraId="0242122A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37B7D29F" w14:textId="77777777" w:rsidR="00DD49C8" w:rsidRPr="00F501A8" w:rsidRDefault="00DD49C8" w:rsidP="00DD49C8">
            <w:pPr>
              <w:ind w:firstLineChars="0" w:firstLine="0"/>
            </w:pPr>
            <w:r w:rsidRPr="00F501A8">
              <w:t>Cognition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2217E612" w14:textId="71C8FD8F" w:rsidR="00DD49C8" w:rsidRPr="00C84F92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09E1FEE2" w14:textId="1346775C" w:rsidR="00DD49C8" w:rsidRPr="00C84F92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065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3DFBDC60" w14:textId="4C7A6E14" w:rsidR="00DD49C8" w:rsidRPr="00C84F92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198</w:t>
            </w:r>
          </w:p>
        </w:tc>
      </w:tr>
      <w:tr w:rsidR="00DD49C8" w:rsidRPr="00A30366" w14:paraId="4C185C04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3BBF8D14" w14:textId="77777777" w:rsidR="00DD49C8" w:rsidRPr="00F501A8" w:rsidRDefault="00DD49C8" w:rsidP="00DD49C8">
            <w:pPr>
              <w:ind w:firstLineChars="0" w:firstLine="0"/>
            </w:pPr>
            <w:r>
              <w:t>V</w:t>
            </w:r>
            <w:r w:rsidRPr="00F501A8">
              <w:t>ision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3E941E78" w14:textId="46B43954" w:rsidR="00DD49C8" w:rsidRPr="00A30366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5361C925" w14:textId="115DBFD8" w:rsidR="00DD49C8" w:rsidRPr="00A30366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316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696E6B54" w14:textId="5A18C664" w:rsidR="00DD49C8" w:rsidRPr="00A30366" w:rsidRDefault="00DD49C8" w:rsidP="00DD49C8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</w:t>
            </w:r>
            <w:r w:rsidR="00C25C82">
              <w:rPr>
                <w:rFonts w:eastAsia="等线"/>
                <w:color w:val="000000"/>
              </w:rPr>
              <w:t>,</w:t>
            </w:r>
            <w:r>
              <w:rPr>
                <w:rFonts w:eastAsia="等线"/>
                <w:color w:val="000000"/>
              </w:rPr>
              <w:t>340</w:t>
            </w:r>
          </w:p>
        </w:tc>
      </w:tr>
      <w:tr w:rsidR="00C25C82" w:rsidRPr="00A30366" w14:paraId="00806B72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5D8EF1DF" w14:textId="77777777" w:rsidR="00C25C82" w:rsidRPr="00F501A8" w:rsidRDefault="00C25C82" w:rsidP="00C25C82">
            <w:pPr>
              <w:ind w:firstLineChars="0" w:firstLine="0"/>
            </w:pPr>
            <w:r w:rsidRPr="00F501A8">
              <w:t>Hearing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4FE1F1D8" w14:textId="7AE00D16" w:rsidR="00C25C82" w:rsidRPr="00A30366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8,836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2A07D2A6" w14:textId="54957684" w:rsidR="00C25C82" w:rsidRPr="00A30366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8,323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0928E25B" w14:textId="7F758268" w:rsidR="00C25C82" w:rsidRPr="00A30366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8,345</w:t>
            </w:r>
          </w:p>
        </w:tc>
      </w:tr>
      <w:tr w:rsidR="00C25C82" w:rsidRPr="00C84F92" w14:paraId="19F24379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59A6923C" w14:textId="77777777" w:rsidR="00C25C82" w:rsidRPr="00F501A8" w:rsidRDefault="00C25C82" w:rsidP="00C25C82">
            <w:pPr>
              <w:ind w:firstLineChars="0" w:firstLine="0"/>
            </w:pPr>
            <w:r w:rsidRPr="00F501A8">
              <w:t>Locomotor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6644ECE0" w14:textId="7285F86D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8,836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7D4033F3" w14:textId="04F096E0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7,068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2315E4AB" w14:textId="037FD8DA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7,533</w:t>
            </w:r>
          </w:p>
        </w:tc>
      </w:tr>
      <w:tr w:rsidR="00C25C82" w:rsidRPr="00C84F92" w14:paraId="1D7C9CBD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7E133A24" w14:textId="77777777" w:rsidR="00C25C82" w:rsidRPr="00F501A8" w:rsidRDefault="00C25C82" w:rsidP="00C25C82">
            <w:pPr>
              <w:ind w:firstLineChars="0" w:firstLine="0"/>
            </w:pPr>
            <w:r w:rsidRPr="00F501A8">
              <w:t>Vitality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42AA7854" w14:textId="2AC1D125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8,836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20D71518" w14:textId="1CD8B897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7,141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765106BE" w14:textId="5AAED399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7,647</w:t>
            </w:r>
          </w:p>
        </w:tc>
      </w:tr>
      <w:tr w:rsidR="00C25C82" w:rsidRPr="00C84F92" w14:paraId="06B19E2C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5095BFEC" w14:textId="77777777" w:rsidR="00C25C82" w:rsidRPr="00F501A8" w:rsidRDefault="00C25C82" w:rsidP="00C25C82">
            <w:pPr>
              <w:ind w:firstLineChars="0" w:firstLine="0"/>
            </w:pPr>
            <w:r>
              <w:rPr>
                <w:rFonts w:hint="eastAsia"/>
              </w:rPr>
              <w:t>F</w:t>
            </w:r>
            <w:r>
              <w:t>ull capacity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1BF0A298" w14:textId="419AE438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8,836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799A5D3C" w14:textId="412E2896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6,751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31F7B398" w14:textId="7FF87B74" w:rsidR="00C25C82" w:rsidRPr="00C84F92" w:rsidRDefault="00C25C82" w:rsidP="00C25C82">
            <w:pPr>
              <w:spacing w:line="240" w:lineRule="auto"/>
              <w:ind w:firstLineChars="0" w:firstLine="0"/>
              <w:jc w:val="center"/>
            </w:pPr>
            <w:r>
              <w:rPr>
                <w:rFonts w:eastAsia="等线"/>
                <w:color w:val="000000"/>
              </w:rPr>
              <w:t>7,327</w:t>
            </w:r>
          </w:p>
        </w:tc>
      </w:tr>
      <w:tr w:rsidR="00C25C82" w:rsidRPr="00C84F92" w14:paraId="7BF3EB99" w14:textId="77777777" w:rsidTr="00365246">
        <w:trPr>
          <w:trHeight w:val="283"/>
        </w:trPr>
        <w:tc>
          <w:tcPr>
            <w:tcW w:w="1447" w:type="pct"/>
            <w:shd w:val="clear" w:color="auto" w:fill="auto"/>
            <w:noWrap/>
            <w:vAlign w:val="center"/>
          </w:tcPr>
          <w:p w14:paraId="11C0A12A" w14:textId="7BF57953" w:rsidR="00C25C82" w:rsidRDefault="00C25C82" w:rsidP="00C25C82">
            <w:pPr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umber of chronic condition</w:t>
            </w:r>
            <w:r w:rsidR="00365246">
              <w:t>s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25F38F71" w14:textId="5DDEDC31" w:rsidR="00C25C82" w:rsidRDefault="00C25C82" w:rsidP="00C25C82">
            <w:pPr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</w:rPr>
            </w:pPr>
            <w:r>
              <w:rPr>
                <w:rFonts w:eastAsia="等线"/>
                <w:color w:val="000000"/>
              </w:rPr>
              <w:t>8,836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14:paraId="0BD2AAF6" w14:textId="073F7912" w:rsidR="00C25C82" w:rsidRDefault="009A642C" w:rsidP="00C25C82">
            <w:pPr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9A642C">
              <w:rPr>
                <w:rFonts w:eastAsia="等线"/>
                <w:color w:val="000000"/>
              </w:rPr>
              <w:t>8</w:t>
            </w:r>
            <w:r>
              <w:rPr>
                <w:rFonts w:eastAsia="等线"/>
                <w:color w:val="000000"/>
              </w:rPr>
              <w:t>,</w:t>
            </w:r>
            <w:r w:rsidRPr="009A642C">
              <w:rPr>
                <w:rFonts w:eastAsia="等线"/>
                <w:color w:val="000000"/>
              </w:rPr>
              <w:t>516</w:t>
            </w:r>
          </w:p>
        </w:tc>
        <w:tc>
          <w:tcPr>
            <w:tcW w:w="1185" w:type="pct"/>
            <w:shd w:val="clear" w:color="auto" w:fill="auto"/>
            <w:noWrap/>
            <w:vAlign w:val="center"/>
          </w:tcPr>
          <w:p w14:paraId="2BF548BB" w14:textId="770F5A81" w:rsidR="00C25C82" w:rsidRDefault="009A642C" w:rsidP="00C25C82">
            <w:pPr>
              <w:spacing w:line="240" w:lineRule="auto"/>
              <w:ind w:firstLineChars="0" w:firstLine="0"/>
              <w:jc w:val="center"/>
              <w:rPr>
                <w:rFonts w:eastAsia="等线"/>
                <w:color w:val="000000"/>
              </w:rPr>
            </w:pPr>
            <w:r w:rsidRPr="009A642C">
              <w:rPr>
                <w:rFonts w:eastAsia="等线"/>
                <w:color w:val="000000"/>
              </w:rPr>
              <w:t>8</w:t>
            </w:r>
            <w:r>
              <w:rPr>
                <w:rFonts w:eastAsia="等线"/>
                <w:color w:val="000000"/>
              </w:rPr>
              <w:t>,</w:t>
            </w:r>
            <w:r w:rsidRPr="009A642C">
              <w:rPr>
                <w:rFonts w:eastAsia="等线"/>
                <w:color w:val="000000"/>
              </w:rPr>
              <w:t>439</w:t>
            </w:r>
          </w:p>
        </w:tc>
      </w:tr>
    </w:tbl>
    <w:p w14:paraId="58D5954A" w14:textId="77777777" w:rsidR="00A67C35" w:rsidRDefault="00A67C35"/>
    <w:sectPr w:rsidR="00A67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6985" w14:textId="77777777" w:rsidR="00791C49" w:rsidRDefault="00791C49" w:rsidP="00DD49C8">
      <w:pPr>
        <w:spacing w:line="240" w:lineRule="auto"/>
      </w:pPr>
      <w:r>
        <w:separator/>
      </w:r>
    </w:p>
  </w:endnote>
  <w:endnote w:type="continuationSeparator" w:id="0">
    <w:p w14:paraId="02DE1D0D" w14:textId="77777777" w:rsidR="00791C49" w:rsidRDefault="00791C49" w:rsidP="00DD4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099F" w14:textId="77777777" w:rsidR="00C25C82" w:rsidRDefault="00C25C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9CB3" w14:textId="77777777" w:rsidR="00C25C82" w:rsidRDefault="00C25C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EF75" w14:textId="77777777" w:rsidR="00C25C82" w:rsidRDefault="00C25C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E2F0" w14:textId="77777777" w:rsidR="00791C49" w:rsidRDefault="00791C49" w:rsidP="00DD49C8">
      <w:pPr>
        <w:spacing w:line="240" w:lineRule="auto"/>
      </w:pPr>
      <w:r>
        <w:separator/>
      </w:r>
    </w:p>
  </w:footnote>
  <w:footnote w:type="continuationSeparator" w:id="0">
    <w:p w14:paraId="6776FDFD" w14:textId="77777777" w:rsidR="00791C49" w:rsidRDefault="00791C49" w:rsidP="00DD4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BC09" w14:textId="77777777" w:rsidR="00C25C82" w:rsidRDefault="00C25C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4599A" w14:textId="77777777" w:rsidR="00C25C82" w:rsidRDefault="00C25C8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080F" w14:textId="77777777" w:rsidR="00C25C82" w:rsidRDefault="00C25C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46"/>
    <w:rsid w:val="00163763"/>
    <w:rsid w:val="00365246"/>
    <w:rsid w:val="00494FE8"/>
    <w:rsid w:val="00791C49"/>
    <w:rsid w:val="009A642C"/>
    <w:rsid w:val="00A248E1"/>
    <w:rsid w:val="00A67C35"/>
    <w:rsid w:val="00B8065C"/>
    <w:rsid w:val="00C25C82"/>
    <w:rsid w:val="00CC1D46"/>
    <w:rsid w:val="00DD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E2DAF"/>
  <w15:chartTrackingRefBased/>
  <w15:docId w15:val="{4FA64018-1447-4C41-BF5C-CE7449CB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9C8"/>
    <w:pPr>
      <w:widowControl w:val="0"/>
      <w:spacing w:line="360" w:lineRule="auto"/>
      <w:ind w:firstLineChars="200" w:firstLine="400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9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9C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ziyin zhao</dc:creator>
  <cp:keywords/>
  <dc:description/>
  <cp:lastModifiedBy>ziyin zhao</cp:lastModifiedBy>
  <cp:revision>7</cp:revision>
  <dcterms:created xsi:type="dcterms:W3CDTF">2024-06-17T08:25:00Z</dcterms:created>
  <dcterms:modified xsi:type="dcterms:W3CDTF">2024-06-17T15:05:00Z</dcterms:modified>
</cp:coreProperties>
</file>