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43F110" w14:textId="77777777" w:rsidR="00502A08" w:rsidRPr="00265852" w:rsidRDefault="00502A08" w:rsidP="00265852">
      <w:pPr>
        <w:spacing w:afterLines="100" w:after="312" w:line="360" w:lineRule="auto"/>
        <w:jc w:val="center"/>
        <w:rPr>
          <w:rFonts w:ascii="Times New Roman" w:eastAsia="宋体" w:hAnsi="Times New Roman" w:cs="Times New Roman"/>
          <w:b/>
          <w:bCs/>
          <w:sz w:val="40"/>
          <w:szCs w:val="40"/>
        </w:rPr>
      </w:pPr>
      <w:r w:rsidRPr="00265852">
        <w:rPr>
          <w:rFonts w:ascii="Times New Roman" w:eastAsia="宋体" w:hAnsi="Times New Roman" w:cs="Times New Roman"/>
          <w:b/>
          <w:bCs/>
          <w:sz w:val="40"/>
          <w:szCs w:val="40"/>
        </w:rPr>
        <w:t>Supporting Information</w:t>
      </w:r>
    </w:p>
    <w:p w14:paraId="71A7B070" w14:textId="77777777" w:rsidR="00081B64" w:rsidRPr="00265852" w:rsidRDefault="00081B64" w:rsidP="00081B64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40"/>
          <w:szCs w:val="40"/>
        </w:rPr>
      </w:pPr>
      <w:r w:rsidRPr="00265852">
        <w:rPr>
          <w:rFonts w:ascii="Times New Roman" w:eastAsia="宋体" w:hAnsi="Times New Roman" w:cs="Times New Roman" w:hint="eastAsia"/>
          <w:b/>
          <w:bCs/>
          <w:sz w:val="40"/>
          <w:szCs w:val="40"/>
        </w:rPr>
        <w:t>Multifunctional Pd/CCS-Cu-MOF Microcapsule Catalyst: A Biomimetic Design Inspired by Metalloenzyme Structures for Sustainable Glycerol Valorizing into Glycerol Carbonate</w:t>
      </w:r>
    </w:p>
    <w:p w14:paraId="49289AFE" w14:textId="77777777" w:rsidR="00081B64" w:rsidRDefault="00081B64" w:rsidP="00081B6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5CEE81A" w14:textId="77777777" w:rsidR="00081B64" w:rsidRPr="00CB7532" w:rsidRDefault="00081B64" w:rsidP="00081B64">
      <w:pPr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CB7532">
        <w:rPr>
          <w:rFonts w:ascii="Times New Roman" w:hAnsi="Times New Roman" w:cs="Times New Roman" w:hint="eastAsia"/>
          <w:sz w:val="32"/>
          <w:szCs w:val="32"/>
        </w:rPr>
        <w:t>Shuqi</w:t>
      </w:r>
      <w:r w:rsidRPr="00CB7532">
        <w:rPr>
          <w:rFonts w:ascii="Times New Roman" w:hAnsi="Times New Roman" w:cs="Times New Roman"/>
          <w:sz w:val="32"/>
          <w:szCs w:val="32"/>
        </w:rPr>
        <w:t xml:space="preserve"> </w:t>
      </w:r>
      <w:r w:rsidRPr="00CB7532">
        <w:rPr>
          <w:rFonts w:ascii="Times New Roman" w:hAnsi="Times New Roman" w:cs="Times New Roman" w:hint="eastAsia"/>
          <w:sz w:val="32"/>
          <w:szCs w:val="32"/>
        </w:rPr>
        <w:t>Qi</w:t>
      </w:r>
      <w:r w:rsidRPr="00CB7532">
        <w:rPr>
          <w:rFonts w:ascii="Times New Roman" w:hAnsi="Times New Roman" w:cs="Times New Roman"/>
          <w:sz w:val="32"/>
          <w:szCs w:val="32"/>
        </w:rPr>
        <w:t>,</w:t>
      </w:r>
      <w:r w:rsidRPr="00CB7532">
        <w:rPr>
          <w:rFonts w:ascii="Times New Roman" w:hAnsi="Times New Roman" w:cs="Times New Roman" w:hint="eastAsia"/>
          <w:sz w:val="32"/>
          <w:szCs w:val="32"/>
        </w:rPr>
        <w:t xml:space="preserve"> Jing Xu, Nan Wang, </w:t>
      </w:r>
      <w:r w:rsidRPr="00CB7532">
        <w:rPr>
          <w:rFonts w:ascii="Times New Roman" w:hAnsi="Times New Roman" w:cs="Times New Roman"/>
          <w:sz w:val="32"/>
          <w:szCs w:val="32"/>
        </w:rPr>
        <w:t>Pingbo Zhang*</w:t>
      </w:r>
      <w:r w:rsidRPr="00CB7532">
        <w:rPr>
          <w:rFonts w:ascii="Times New Roman" w:hAnsi="Times New Roman" w:cs="Times New Roman" w:hint="eastAsia"/>
          <w:sz w:val="32"/>
          <w:szCs w:val="32"/>
        </w:rPr>
        <w:t xml:space="preserve">, </w:t>
      </w:r>
      <w:r w:rsidRPr="00CB7532">
        <w:rPr>
          <w:rFonts w:ascii="Times New Roman" w:hAnsi="Times New Roman" w:cs="Times New Roman"/>
          <w:sz w:val="32"/>
          <w:szCs w:val="32"/>
        </w:rPr>
        <w:t>Mingming Fan*</w:t>
      </w:r>
    </w:p>
    <w:p w14:paraId="5DAB0183" w14:textId="77777777" w:rsidR="00081B64" w:rsidRDefault="00081B64" w:rsidP="00081B6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65F727" w14:textId="77777777" w:rsidR="00081B64" w:rsidRPr="00CB7532" w:rsidRDefault="00081B64" w:rsidP="00081B6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B7532">
        <w:rPr>
          <w:rFonts w:ascii="Times New Roman" w:hAnsi="Times New Roman" w:cs="Times New Roman" w:hint="eastAsia"/>
          <w:sz w:val="28"/>
          <w:szCs w:val="28"/>
        </w:rPr>
        <w:t>The Key Laboratory of Synthetic and Biological Colloids, Ministry of Education, School of Chemical and Material Engineering, Jiangnan University, Wuxi 214122,</w:t>
      </w:r>
      <w:r w:rsidRPr="00CB7532">
        <w:rPr>
          <w:rFonts w:ascii="Times New Roman" w:hAnsi="Times New Roman" w:cs="Times New Roman"/>
          <w:sz w:val="28"/>
          <w:szCs w:val="28"/>
        </w:rPr>
        <w:t xml:space="preserve"> </w:t>
      </w:r>
      <w:r w:rsidRPr="00CB7532">
        <w:rPr>
          <w:rFonts w:ascii="Times New Roman" w:hAnsi="Times New Roman" w:cs="Times New Roman" w:hint="eastAsia"/>
          <w:sz w:val="28"/>
          <w:szCs w:val="28"/>
        </w:rPr>
        <w:t>P.R. China</w:t>
      </w:r>
    </w:p>
    <w:p w14:paraId="56C7509C" w14:textId="77777777" w:rsidR="00081B64" w:rsidRDefault="00081B64" w:rsidP="00081B6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6C486A" w14:textId="77777777" w:rsidR="00081B64" w:rsidRPr="00CB7532" w:rsidRDefault="00081B64" w:rsidP="00081B6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B7532">
        <w:rPr>
          <w:rFonts w:ascii="Times New Roman" w:hAnsi="Times New Roman" w:cs="Times New Roman" w:hint="eastAsia"/>
          <w:sz w:val="28"/>
          <w:szCs w:val="28"/>
        </w:rPr>
        <w:t>* Corresponding authors.</w:t>
      </w:r>
    </w:p>
    <w:p w14:paraId="5022D8E2" w14:textId="5F46BEA4" w:rsidR="00081B64" w:rsidRPr="00CB7532" w:rsidRDefault="00081B64" w:rsidP="00081B6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081B64" w:rsidRPr="00CB7532" w:rsidSect="00081B64">
          <w:pgSz w:w="11906" w:h="16838" w:code="9"/>
          <w:pgMar w:top="1440" w:right="1797" w:bottom="1440" w:left="1797" w:header="851" w:footer="992" w:gutter="0"/>
          <w:cols w:space="425"/>
          <w:vAlign w:val="center"/>
          <w:docGrid w:type="linesAndChars" w:linePitch="312"/>
        </w:sectPr>
      </w:pPr>
      <w:r w:rsidRPr="00CB7532">
        <w:rPr>
          <w:rFonts w:ascii="Times New Roman" w:hAnsi="Times New Roman" w:cs="Times New Roman" w:hint="eastAsia"/>
          <w:sz w:val="28"/>
          <w:szCs w:val="28"/>
        </w:rPr>
        <w:t>E-mail addresses: pingbozhang@126.com, fanmm2000@126.com</w:t>
      </w:r>
    </w:p>
    <w:p w14:paraId="594CF94C" w14:textId="27BA8F39" w:rsidR="00A0015C" w:rsidRPr="00823C3B" w:rsidRDefault="00A0015C" w:rsidP="00A0015C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23C3B">
        <w:rPr>
          <w:rFonts w:ascii="Times New Roman" w:hAnsi="Times New Roman" w:cs="Times New Roman" w:hint="eastAsia"/>
          <w:b/>
          <w:bCs/>
          <w:sz w:val="28"/>
          <w:szCs w:val="28"/>
        </w:rPr>
        <w:lastRenderedPageBreak/>
        <w:t xml:space="preserve">1. </w:t>
      </w:r>
      <w:r w:rsidRPr="00823C3B">
        <w:rPr>
          <w:rFonts w:ascii="Times New Roman" w:hAnsi="Times New Roman" w:cs="Times New Roman"/>
          <w:b/>
          <w:bCs/>
          <w:sz w:val="28"/>
          <w:szCs w:val="28"/>
        </w:rPr>
        <w:t xml:space="preserve">Experimental Procedures </w:t>
      </w:r>
    </w:p>
    <w:p w14:paraId="633F4466" w14:textId="70F17377" w:rsidR="00F06B31" w:rsidRDefault="00A0015C" w:rsidP="00A0015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27BB7">
        <w:rPr>
          <w:rFonts w:ascii="Times New Roman" w:hAnsi="Times New Roman" w:cs="Times New Roman"/>
          <w:b/>
          <w:bCs/>
          <w:sz w:val="24"/>
          <w:szCs w:val="24"/>
        </w:rPr>
        <w:t>Characterization</w:t>
      </w:r>
    </w:p>
    <w:p w14:paraId="7904C387" w14:textId="4A6C4DA1" w:rsidR="00A0015C" w:rsidRPr="00B931CF" w:rsidRDefault="00A0015C" w:rsidP="00F06B31">
      <w:pPr>
        <w:spacing w:line="360" w:lineRule="auto"/>
        <w:ind w:firstLineChars="200" w:firstLine="480"/>
        <w:rPr>
          <w:rFonts w:ascii="Times New Roman" w:hAnsi="Times New Roman" w:cs="Times New Roman"/>
          <w:sz w:val="24"/>
          <w:szCs w:val="28"/>
        </w:rPr>
      </w:pPr>
      <w:r w:rsidRPr="00B931CF">
        <w:rPr>
          <w:rFonts w:ascii="Times New Roman" w:hAnsi="Times New Roman" w:cs="Times New Roman"/>
          <w:sz w:val="24"/>
          <w:szCs w:val="28"/>
        </w:rPr>
        <w:t xml:space="preserve">Scanning electron microscope (SEM) images were taken on a Hitachi S-4800 Scanning electron microscope. Transmission electron microscopy (TEM) images were taken on a Talos F200X G2 transmission electron microscope. </w:t>
      </w:r>
      <w:r w:rsidR="00C06F1B" w:rsidRPr="00800364">
        <w:rPr>
          <w:rFonts w:ascii="Times New Roman" w:hAnsi="Times New Roman" w:cs="Times New Roman"/>
          <w:sz w:val="24"/>
          <w:szCs w:val="28"/>
        </w:rPr>
        <w:t>Thermo Fisher iCAP PRO measured optical emission spectroscopy (ICP-OES)</w:t>
      </w:r>
      <w:r w:rsidRPr="00800364">
        <w:rPr>
          <w:rFonts w:ascii="Times New Roman" w:hAnsi="Times New Roman" w:cs="Times New Roman"/>
          <w:sz w:val="24"/>
          <w:szCs w:val="28"/>
        </w:rPr>
        <w:t>.</w:t>
      </w:r>
      <w:r w:rsidRPr="00B931CF">
        <w:rPr>
          <w:rFonts w:ascii="Times New Roman" w:hAnsi="Times New Roman" w:cs="Times New Roman"/>
          <w:sz w:val="24"/>
          <w:szCs w:val="28"/>
        </w:rPr>
        <w:t xml:space="preserve"> N</w:t>
      </w:r>
      <w:r w:rsidRPr="00B931CF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Pr="00B931CF">
        <w:rPr>
          <w:rFonts w:ascii="Times New Roman" w:hAnsi="Times New Roman" w:cs="Times New Roman"/>
          <w:sz w:val="24"/>
          <w:szCs w:val="28"/>
        </w:rPr>
        <w:t xml:space="preserve"> adsorption and desorption isotherms were obtained at 298K using a Quantachrome Autosorb-IQ instrument. Powder X-ray diffraction patterns were measured with a Bruker D8 with Cu Kα radiation (λ =1.5406 Å). FT-IR spectroscopy was performed on a Nicolet iS50 FT-IR infrared spectrometer. The chemical valence states and elements present in the catalyst surface were analyzed through X-ray photoelectron spectrometry (XPS) equipped with Al/Κα radiation (Thermo, ESCALAB250XI). The obtained binding energies were referenced to the C 1s peak at 284.8 eV.</w:t>
      </w:r>
      <w:r w:rsidR="00C06F1B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C06F1B" w:rsidRPr="00800364">
        <w:rPr>
          <w:rFonts w:ascii="Times New Roman" w:hAnsi="Times New Roman" w:cs="Times New Roman"/>
          <w:sz w:val="24"/>
          <w:szCs w:val="28"/>
        </w:rPr>
        <w:t>The glycerin</w:t>
      </w:r>
      <w:r w:rsidR="00C06F1B" w:rsidRPr="00800364">
        <w:rPr>
          <w:rFonts w:ascii="Times New Roman" w:hAnsi="Times New Roman" w:cs="Times New Roman" w:hint="eastAsia"/>
          <w:sz w:val="24"/>
          <w:szCs w:val="28"/>
        </w:rPr>
        <w:t xml:space="preserve"> contact angle was tested using an optical contact angle measuring instrument (OCA 40) at an ambient temperature of 25</w:t>
      </w:r>
      <w:r w:rsidR="00AF35A1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AF35A1" w:rsidRPr="00AF35A1">
        <w:rPr>
          <w:rFonts w:ascii="Times New Roman" w:hAnsi="Times New Roman" w:cs="Times New Roman"/>
          <w:sz w:val="24"/>
          <w:szCs w:val="28"/>
        </w:rPr>
        <w:t>℃</w:t>
      </w:r>
      <w:r w:rsidR="00C06F1B" w:rsidRPr="00800364">
        <w:rPr>
          <w:rFonts w:ascii="Times New Roman" w:hAnsi="Times New Roman" w:cs="Times New Roman" w:hint="eastAsia"/>
          <w:sz w:val="24"/>
          <w:szCs w:val="28"/>
        </w:rPr>
        <w:t>, and the average of three measurements was taken.</w:t>
      </w:r>
      <w:r w:rsidR="00C06F1B" w:rsidRPr="00800364">
        <w:rPr>
          <w:rFonts w:ascii="Times New Roman" w:hAnsi="Times New Roman" w:cs="Times New Roman"/>
          <w:sz w:val="24"/>
          <w:szCs w:val="28"/>
        </w:rPr>
        <w:t xml:space="preserve"> The thermal stability of the composites was evaluated </w:t>
      </w:r>
      <w:r w:rsidR="00CC501A">
        <w:rPr>
          <w:rFonts w:ascii="Times New Roman" w:hAnsi="Times New Roman" w:cs="Times New Roman"/>
          <w:sz w:val="24"/>
          <w:szCs w:val="28"/>
        </w:rPr>
        <w:t>using</w:t>
      </w:r>
      <w:r w:rsidR="00C06F1B" w:rsidRPr="00800364">
        <w:rPr>
          <w:rFonts w:ascii="Times New Roman" w:hAnsi="Times New Roman" w:cs="Times New Roman"/>
          <w:sz w:val="24"/>
          <w:szCs w:val="28"/>
        </w:rPr>
        <w:t xml:space="preserve"> a thermogravimetric analyzer (TGA/DSC1/1100SF). Each sample was initially weighed at approximately 5</w:t>
      </w:r>
      <w:r w:rsidR="00AF35A1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C06F1B" w:rsidRPr="00800364">
        <w:rPr>
          <w:rFonts w:ascii="Times New Roman" w:hAnsi="Times New Roman" w:cs="Times New Roman"/>
          <w:sz w:val="24"/>
          <w:szCs w:val="28"/>
        </w:rPr>
        <w:t xml:space="preserve">mg and subsequently placed in a ceramic crucible. The samples were then subjected to a heating process, wherein they were heated from </w:t>
      </w:r>
      <w:r w:rsidR="00C06F1B" w:rsidRPr="00800364">
        <w:rPr>
          <w:rFonts w:ascii="Times New Roman" w:hAnsi="Times New Roman" w:cs="Times New Roman" w:hint="eastAsia"/>
          <w:sz w:val="24"/>
          <w:szCs w:val="28"/>
        </w:rPr>
        <w:t xml:space="preserve">30 </w:t>
      </w:r>
      <w:r w:rsidR="00C06F1B" w:rsidRPr="00800364">
        <w:rPr>
          <w:rFonts w:ascii="Times New Roman" w:hAnsi="Times New Roman" w:cs="Times New Roman"/>
          <w:sz w:val="24"/>
          <w:szCs w:val="28"/>
        </w:rPr>
        <w:t xml:space="preserve">°C to </w:t>
      </w:r>
      <w:r w:rsidR="00C06F1B" w:rsidRPr="00800364">
        <w:rPr>
          <w:rFonts w:ascii="Times New Roman" w:hAnsi="Times New Roman" w:cs="Times New Roman" w:hint="eastAsia"/>
          <w:sz w:val="24"/>
          <w:szCs w:val="28"/>
        </w:rPr>
        <w:t>7</w:t>
      </w:r>
      <w:r w:rsidR="00C06F1B" w:rsidRPr="00800364">
        <w:rPr>
          <w:rFonts w:ascii="Times New Roman" w:hAnsi="Times New Roman" w:cs="Times New Roman"/>
          <w:sz w:val="24"/>
          <w:szCs w:val="28"/>
        </w:rPr>
        <w:t>00</w:t>
      </w:r>
      <w:r w:rsidR="00C06F1B" w:rsidRPr="00800364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C06F1B" w:rsidRPr="00800364">
        <w:rPr>
          <w:rFonts w:ascii="Times New Roman" w:hAnsi="Times New Roman" w:cs="Times New Roman"/>
          <w:sz w:val="24"/>
          <w:szCs w:val="28"/>
        </w:rPr>
        <w:t>°C under a nitrogen atmosphere (nitrogen flow rate of 50 mL/min) at a heating rate of 20</w:t>
      </w:r>
      <w:r w:rsidR="00C06F1B" w:rsidRPr="00800364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C06F1B" w:rsidRPr="00800364">
        <w:rPr>
          <w:rFonts w:ascii="Times New Roman" w:hAnsi="Times New Roman" w:cs="Times New Roman"/>
          <w:sz w:val="24"/>
          <w:szCs w:val="28"/>
        </w:rPr>
        <w:t>°C/min</w:t>
      </w:r>
      <w:r w:rsidR="00C06F1B" w:rsidRPr="00C06F1B">
        <w:rPr>
          <w:rFonts w:ascii="Times New Roman" w:hAnsi="Times New Roman" w:cs="Times New Roman"/>
          <w:sz w:val="24"/>
          <w:szCs w:val="28"/>
        </w:rPr>
        <w:t>.</w:t>
      </w:r>
    </w:p>
    <w:p w14:paraId="231FB319" w14:textId="77777777" w:rsidR="001104C5" w:rsidRPr="00A0015C" w:rsidRDefault="001104C5" w:rsidP="00A0015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A783250" w14:textId="578BE5CF" w:rsidR="00292B02" w:rsidRPr="00823C3B" w:rsidRDefault="00A0015C" w:rsidP="001C2730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23C3B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2. </w:t>
      </w:r>
      <w:r w:rsidR="003B2497" w:rsidRPr="00823C3B">
        <w:rPr>
          <w:rFonts w:ascii="Times New Roman" w:hAnsi="Times New Roman" w:cs="Times New Roman"/>
          <w:b/>
          <w:bCs/>
          <w:sz w:val="28"/>
          <w:szCs w:val="28"/>
        </w:rPr>
        <w:t>Catalyst Performance Testing</w:t>
      </w:r>
    </w:p>
    <w:p w14:paraId="4A1C633B" w14:textId="2A7F6C43" w:rsidR="00292B02" w:rsidRDefault="00907192" w:rsidP="001C2730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We employed a silanization method for gas chromatography performance testing to achieve reproducible and distinct chromatographic peaks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.</w:t>
      </w:r>
      <w:r w:rsidR="003B2497" w:rsidRPr="003B2497">
        <w:t xml:space="preserve"> 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 xml:space="preserve">Specifically, a measured amount of the reaction solution was mixed with an excess of silanizing agent in a 1:9:3 mass ratio of </w:t>
      </w:r>
      <w:r w:rsidR="003B2497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reaction solution, hexamethyldisilazane, and trimethylchlorosilane, and placed in a 10 mL centrifuge tube</w:t>
      </w:r>
      <w:r w:rsidR="0050314F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50314F">
        <w:rPr>
          <w:rFonts w:ascii="Times New Roman" w:eastAsia="宋体" w:hAnsi="Times New Roman" w:cs="Times New Roman"/>
          <w:sz w:val="24"/>
          <w:szCs w:val="24"/>
        </w:rPr>
        <w:instrText xml:space="preserve"> REF _Ref174571829 \r \h </w:instrText>
      </w:r>
      <w:r w:rsidR="0050314F">
        <w:rPr>
          <w:rFonts w:ascii="Times New Roman" w:eastAsia="宋体" w:hAnsi="Times New Roman" w:cs="Times New Roman"/>
          <w:sz w:val="24"/>
          <w:szCs w:val="24"/>
        </w:rPr>
      </w:r>
      <w:r w:rsidR="0050314F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50314F">
        <w:rPr>
          <w:rFonts w:ascii="Times New Roman" w:eastAsia="宋体" w:hAnsi="Times New Roman" w:cs="Times New Roman"/>
          <w:sz w:val="24"/>
          <w:szCs w:val="24"/>
        </w:rPr>
        <w:t>[1]</w:t>
      </w:r>
      <w:r w:rsidR="0050314F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.</w:t>
      </w:r>
      <w:r w:rsidR="003B2497" w:rsidRPr="003B2497">
        <w:t xml:space="preserve"> 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The tube was sealed, stirred for 5 minutes, and then allowed to stand at room temperature for 30 minutes, during which a white NH</w:t>
      </w:r>
      <w:r w:rsidR="003B2497" w:rsidRPr="008E40CA">
        <w:rPr>
          <w:rFonts w:ascii="Times New Roman" w:eastAsia="宋体" w:hAnsi="Times New Roman" w:cs="Times New Roman"/>
          <w:sz w:val="24"/>
          <w:szCs w:val="24"/>
          <w:vertAlign w:val="subscript"/>
        </w:rPr>
        <w:t>4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Cl precipitate formed.</w:t>
      </w:r>
      <w:r w:rsidR="003B2497" w:rsidRPr="003B2497">
        <w:t xml:space="preserve"> 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 xml:space="preserve">Subsequently, 0.5 mL of a 251.08 g/L tritiated tetraethylene 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lastRenderedPageBreak/>
        <w:t>glycol internal standard solution was added, and the mixture was centrifuged at 2500 rpm for 5 minutes. The supernatant was then collected for gas chromatographic analysis.</w:t>
      </w:r>
      <w:r w:rsidR="003B2497" w:rsidRPr="003B2497">
        <w:t xml:space="preserve"> 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The analysis of the reaction products was carried out using a Nexis GC-2030 gas chromatograph. The conditions were a KB-Wax capillary column (30 m × 0.32 mm × 0.50 μm), nitrogen as the carrier gas, and a split ratio of 1/20.</w:t>
      </w:r>
      <w:r w:rsidR="003B2497" w:rsidRPr="003B2497">
        <w:t xml:space="preserve"> 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The column temperature was programmed to hold at 80°C for 2 minutes, then increase at 30°C/min to 260°C. The injector temperature was set to 280°C, and the detector temperature to 300°C.</w:t>
      </w:r>
      <w:r w:rsidR="003B2497" w:rsidRPr="003B2497">
        <w:t xml:space="preserve"> 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Tetraethylene glycol triester (3-acetonitrile) was used as the internal standard, with tetraethylene glycol as the reference standard, and quantification was performed using the internal standard method.</w:t>
      </w:r>
      <w:r w:rsidR="003B2497" w:rsidRPr="003B2497">
        <w:t xml:space="preserve"> 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The yield and selectivity of the reaction were evaluated based on the peak areas of the silylated derivatives of unreacted glycerol and the formed carbonate.</w:t>
      </w:r>
      <w:r w:rsidR="003B2497" w:rsidRPr="003B2497">
        <w:t xml:space="preserve"> </w:t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The standard curves for the internal standard method are shown in Figures S1 and S2</w:t>
      </w:r>
      <w:r w:rsidR="0050314F">
        <w:rPr>
          <w:rFonts w:ascii="Times New Roman" w:eastAsia="宋体" w:hAnsi="Times New Roman" w:cs="Times New Roman"/>
          <w:sz w:val="24"/>
          <w:szCs w:val="24"/>
        </w:rPr>
        <w:fldChar w:fldCharType="begin"/>
      </w:r>
      <w:r w:rsidR="0050314F">
        <w:rPr>
          <w:rFonts w:ascii="Times New Roman" w:eastAsia="宋体" w:hAnsi="Times New Roman" w:cs="Times New Roman"/>
          <w:sz w:val="24"/>
          <w:szCs w:val="24"/>
        </w:rPr>
        <w:instrText xml:space="preserve"> REF _Ref174571838 \r \h </w:instrText>
      </w:r>
      <w:r w:rsidR="0050314F">
        <w:rPr>
          <w:rFonts w:ascii="Times New Roman" w:eastAsia="宋体" w:hAnsi="Times New Roman" w:cs="Times New Roman"/>
          <w:sz w:val="24"/>
          <w:szCs w:val="24"/>
        </w:rPr>
      </w:r>
      <w:r w:rsidR="0050314F">
        <w:rPr>
          <w:rFonts w:ascii="Times New Roman" w:eastAsia="宋体" w:hAnsi="Times New Roman" w:cs="Times New Roman"/>
          <w:sz w:val="24"/>
          <w:szCs w:val="24"/>
        </w:rPr>
        <w:fldChar w:fldCharType="separate"/>
      </w:r>
      <w:r w:rsidR="0050314F">
        <w:rPr>
          <w:rFonts w:ascii="Times New Roman" w:eastAsia="宋体" w:hAnsi="Times New Roman" w:cs="Times New Roman"/>
          <w:sz w:val="24"/>
          <w:szCs w:val="24"/>
        </w:rPr>
        <w:t>[2]</w:t>
      </w:r>
      <w:r w:rsidR="0050314F">
        <w:rPr>
          <w:rFonts w:ascii="Times New Roman" w:eastAsia="宋体" w:hAnsi="Times New Roman" w:cs="Times New Roman"/>
          <w:sz w:val="24"/>
          <w:szCs w:val="24"/>
        </w:rPr>
        <w:fldChar w:fldCharType="end"/>
      </w:r>
      <w:r w:rsidR="003B2497" w:rsidRPr="003B2497">
        <w:rPr>
          <w:rFonts w:ascii="Times New Roman" w:eastAsia="宋体" w:hAnsi="Times New Roman" w:cs="Times New Roman"/>
          <w:sz w:val="24"/>
          <w:szCs w:val="24"/>
        </w:rPr>
        <w:t>.</w:t>
      </w:r>
    </w:p>
    <w:p w14:paraId="55B72CAA" w14:textId="77777777" w:rsidR="00672552" w:rsidRPr="00061E48" w:rsidRDefault="00672552" w:rsidP="00061E48">
      <w:pPr>
        <w:spacing w:line="400" w:lineRule="exact"/>
        <w:rPr>
          <w:rFonts w:ascii="Times New Roman" w:hAnsi="Times New Roman" w:cs="Times New Roman" w:hint="eastAsia"/>
          <w:b/>
          <w:bCs/>
          <w:sz w:val="24"/>
          <w:szCs w:val="24"/>
        </w:rPr>
      </w:pPr>
    </w:p>
    <w:p w14:paraId="25E248F5" w14:textId="43C7355F" w:rsidR="00DD01A2" w:rsidRDefault="00DD01A2" w:rsidP="00AE5C21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70CE8CC5" wp14:editId="35C80154">
            <wp:extent cx="3704499" cy="3120861"/>
            <wp:effectExtent l="0" t="0" r="0" b="3810"/>
            <wp:docPr id="12518931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893156" name="图片 1"/>
                    <pic:cNvPicPr/>
                  </pic:nvPicPr>
                  <pic:blipFill>
                    <a:blip r:embed="rId7"/>
                    <a:srcRect l="4574" r="4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499" cy="3120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D03BEA" w14:textId="6C1061B7" w:rsidR="006D7628" w:rsidRDefault="003F4327" w:rsidP="001C2730">
      <w:pPr>
        <w:spacing w:line="36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53526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Fig</w:t>
      </w:r>
      <w:r w:rsidR="00CD5E31" w:rsidRPr="0053526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DD01A2" w:rsidRPr="00535264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S1</w:t>
      </w:r>
      <w:r w:rsidRPr="00535264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76075A" w:rsidRPr="00535264">
        <w:rPr>
          <w:rFonts w:ascii="Times New Roman" w:eastAsia="宋体" w:hAnsi="Times New Roman" w:cs="Times New Roman" w:hint="eastAsia"/>
          <w:sz w:val="24"/>
          <w:szCs w:val="24"/>
        </w:rPr>
        <w:t>Internal standard curve of glycerol</w:t>
      </w:r>
    </w:p>
    <w:p w14:paraId="0F399B75" w14:textId="23F39B75" w:rsidR="0076075A" w:rsidRPr="00DD01A2" w:rsidRDefault="00000000" w:rsidP="00DD01A2">
      <w:pPr>
        <w:spacing w:line="400" w:lineRule="exact"/>
        <w:jc w:val="center"/>
        <w:rPr>
          <w:rFonts w:ascii="Times New Roman" w:eastAsia="宋体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="宋体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="宋体" w:hAnsi="Cambria Math" w:cs="Times New Roman"/>
                  <w:sz w:val="24"/>
                  <w:szCs w:val="24"/>
                </w:rPr>
                <m:t>Y</m:t>
              </m:r>
            </m:e>
            <m:sub>
              <m:r>
                <w:rPr>
                  <w:rFonts w:ascii="Cambria Math" w:eastAsia="宋体" w:hAnsi="Cambria Math" w:cs="Times New Roman"/>
                  <w:sz w:val="24"/>
                  <w:szCs w:val="24"/>
                </w:rPr>
                <m:t>1</m:t>
              </m:r>
            </m:sub>
          </m:sSub>
          <m:r>
            <w:rPr>
              <w:rFonts w:ascii="Cambria Math" w:eastAsia="宋体" w:hAnsi="Cambria Math" w:cs="Times New Roman"/>
              <w:sz w:val="24"/>
              <w:szCs w:val="24"/>
            </w:rPr>
            <m:t>=0.20535x+0.00549</m:t>
          </m:r>
        </m:oMath>
      </m:oMathPara>
    </w:p>
    <w:p w14:paraId="551FDD1E" w14:textId="108A9218" w:rsidR="00DD01A2" w:rsidRDefault="00DD01A2" w:rsidP="00AE5C21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A4278AE" wp14:editId="54FDE7A0">
            <wp:extent cx="3710495" cy="3087426"/>
            <wp:effectExtent l="0" t="0" r="4445" b="0"/>
            <wp:docPr id="12248497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849793" name="图片 3"/>
                    <pic:cNvPicPr/>
                  </pic:nvPicPr>
                  <pic:blipFill>
                    <a:blip r:embed="rId8"/>
                    <a:srcRect l="4007" r="4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495" cy="3087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F9EEB" w14:textId="308477FF" w:rsidR="00DD01A2" w:rsidRDefault="0076075A" w:rsidP="001C2730">
      <w:pPr>
        <w:spacing w:line="36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76075A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Fig</w:t>
      </w:r>
      <w:r w:rsidR="00CD5E31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DD01A2" w:rsidRPr="0076075A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S2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252619">
        <w:rPr>
          <w:rFonts w:ascii="Times New Roman" w:eastAsia="宋体" w:hAnsi="Times New Roman" w:cs="Times New Roman" w:hint="eastAsia"/>
          <w:sz w:val="24"/>
          <w:szCs w:val="24"/>
        </w:rPr>
        <w:t>Internal standard curve of glycer</w:t>
      </w:r>
      <w:r w:rsidR="006B646F" w:rsidRPr="00252619">
        <w:rPr>
          <w:rFonts w:ascii="Times New Roman" w:eastAsia="宋体" w:hAnsi="Times New Roman" w:cs="Times New Roman" w:hint="eastAsia"/>
          <w:sz w:val="24"/>
          <w:szCs w:val="24"/>
        </w:rPr>
        <w:t>o</w:t>
      </w:r>
      <w:r w:rsidRPr="00252619">
        <w:rPr>
          <w:rFonts w:ascii="Times New Roman" w:eastAsia="宋体" w:hAnsi="Times New Roman" w:cs="Times New Roman" w:hint="eastAsia"/>
          <w:sz w:val="24"/>
          <w:szCs w:val="24"/>
        </w:rPr>
        <w:t>l carbonate</w:t>
      </w:r>
    </w:p>
    <w:p w14:paraId="00DC99E6" w14:textId="0130592D" w:rsidR="0076075A" w:rsidRPr="008B1D60" w:rsidRDefault="00000000" w:rsidP="0076075A">
      <w:pPr>
        <w:spacing w:line="400" w:lineRule="exact"/>
        <w:jc w:val="center"/>
        <w:rPr>
          <w:rFonts w:ascii="Times New Roman" w:eastAsia="宋体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="宋体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="宋体" w:hAnsi="Cambria Math" w:cs="Times New Roman"/>
                  <w:sz w:val="24"/>
                  <w:szCs w:val="24"/>
                </w:rPr>
                <m:t>Y</m:t>
              </m:r>
            </m:e>
            <m:sub>
              <m:r>
                <w:rPr>
                  <w:rFonts w:ascii="Cambria Math" w:eastAsia="宋体" w:hAnsi="Cambria Math" w:cs="Times New Roman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eastAsia="宋体" w:hAnsi="Cambria Math" w:cs="Times New Roman"/>
              <w:sz w:val="24"/>
              <w:szCs w:val="24"/>
            </w:rPr>
            <m:t>=1.30251x+0.20779</m:t>
          </m:r>
        </m:oMath>
      </m:oMathPara>
    </w:p>
    <w:p w14:paraId="0BA85B4C" w14:textId="77777777" w:rsidR="008B1D60" w:rsidRPr="000E5E3D" w:rsidRDefault="008B1D60" w:rsidP="0076075A">
      <w:pPr>
        <w:spacing w:line="400" w:lineRule="exact"/>
        <w:jc w:val="center"/>
        <w:rPr>
          <w:rFonts w:ascii="Times New Roman" w:eastAsia="宋体" w:hAnsi="Times New Roman" w:cs="Times New Roman"/>
          <w:sz w:val="24"/>
          <w:szCs w:val="24"/>
        </w:rPr>
      </w:pPr>
    </w:p>
    <w:p w14:paraId="14DB633A" w14:textId="4238C4CD" w:rsidR="000E5E3D" w:rsidRPr="002C6996" w:rsidRDefault="00000000" w:rsidP="000E5E3D">
      <w:pPr>
        <w:jc w:val="center"/>
        <w:rPr>
          <w:rFonts w:ascii="Times New Roman" w:eastAsia="宋体" w:hAnsi="Times New Roman" w:cs="Times New Roman"/>
          <w:sz w:val="24"/>
          <w:szCs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  <w:szCs w:val="24"/>
                </w:rPr>
              </m:ctrlPr>
            </m:eqArrPr>
            <m:e>
              <m:r>
                <w:rPr>
                  <w:rFonts w:ascii="Cambria Math" w:eastAsia="宋体" w:hAnsi="Cambria Math" w:cs="Times New Roman"/>
                  <w:sz w:val="24"/>
                  <w:szCs w:val="24"/>
                </w:rPr>
                <m:t>Conversion%=</m:t>
              </m:r>
              <m:f>
                <m:fPr>
                  <m:ctrlPr>
                    <w:rPr>
                      <w:rFonts w:ascii="Cambria Math" w:eastAsia="宋体" w:hAnsi="Cambria Math" w:cs="Times New Roman"/>
                      <w:i/>
                      <w:sz w:val="24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sz w:val="24"/>
                              <w:szCs w:val="24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sz w:val="24"/>
                              <w:szCs w:val="24"/>
                            </w:rPr>
                            <m:t>glycerol</m:t>
                          </m:r>
                        </m:sub>
                      </m:sSub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-Y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1</m:t>
                      </m:r>
                    </m:sub>
                  </m:sSub>
                  <m:r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  <m:t>⋅</m:t>
                  </m:r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Internal standard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glycerol</m:t>
                      </m:r>
                    </m:sub>
                  </m:sSub>
                </m:den>
              </m:f>
              <m:r>
                <w:rPr>
                  <w:rFonts w:ascii="Cambria Math" w:eastAsia="宋体" w:hAnsi="Cambria Math" w:cs="Times New Roman"/>
                  <w:sz w:val="24"/>
                  <w:szCs w:val="24"/>
                </w:rPr>
                <m:t>#</m:t>
              </m:r>
              <m:d>
                <m:dPr>
                  <m:ctrlPr>
                    <w:rPr>
                      <w:rFonts w:ascii="Cambria Math" w:eastAsia="宋体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  <m:t>1</m:t>
                  </m:r>
                </m:e>
              </m:d>
            </m:e>
          </m:eqArr>
        </m:oMath>
      </m:oMathPara>
    </w:p>
    <w:p w14:paraId="6A011FB9" w14:textId="77777777" w:rsidR="00347A07" w:rsidRPr="00DD01A2" w:rsidRDefault="00347A07" w:rsidP="000E5E3D">
      <w:pPr>
        <w:jc w:val="center"/>
        <w:rPr>
          <w:rFonts w:ascii="Times New Roman" w:eastAsia="宋体" w:hAnsi="Times New Roman" w:cs="Times New Roman"/>
          <w:sz w:val="24"/>
          <w:szCs w:val="24"/>
        </w:rPr>
      </w:pPr>
    </w:p>
    <w:p w14:paraId="36F8C64F" w14:textId="2EE7FDA3" w:rsidR="0076075A" w:rsidRPr="00A00A9D" w:rsidRDefault="00000000" w:rsidP="00453652">
      <w:pPr>
        <w:jc w:val="center"/>
        <w:rPr>
          <w:rFonts w:ascii="Times New Roman" w:eastAsia="宋体" w:hAnsi="Times New Roman" w:cs="Times New Roman"/>
          <w:sz w:val="24"/>
          <w:szCs w:val="24"/>
        </w:rPr>
      </w:pPr>
      <m:oMathPara>
        <m:oMath>
          <m:eqArr>
            <m:eqArrPr>
              <m:maxDist m:val="1"/>
              <m:ctrlPr>
                <w:rPr>
                  <w:rFonts w:ascii="Cambria Math" w:eastAsia="宋体" w:hAnsi="Cambria Math" w:cs="Times New Roman"/>
                  <w:i/>
                  <w:sz w:val="24"/>
                  <w:szCs w:val="24"/>
                </w:rPr>
              </m:ctrlPr>
            </m:eqArrPr>
            <m:e>
              <m:r>
                <w:rPr>
                  <w:rFonts w:ascii="Cambria Math" w:eastAsia="宋体" w:hAnsi="Cambria Math" w:cs="Times New Roman"/>
                  <w:sz w:val="24"/>
                  <w:szCs w:val="24"/>
                </w:rPr>
                <m:t>Selectivity%=</m:t>
              </m:r>
              <m:f>
                <m:fPr>
                  <m:ctrlPr>
                    <w:rPr>
                      <w:rFonts w:ascii="Cambria Math" w:eastAsia="宋体" w:hAnsi="Cambria Math" w:cs="Times New Roman"/>
                      <w:i/>
                      <w:sz w:val="24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Y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2</m:t>
                      </m:r>
                    </m:sub>
                  </m:sSub>
                  <m:r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  <m:t>∙</m:t>
                  </m:r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Internal standard</m:t>
                      </m:r>
                    </m:sub>
                  </m:sSub>
                  <m:r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  <m:t>∙</m:t>
                  </m:r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glycerol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glycerol</m:t>
                      </m:r>
                      <m:r>
                        <w:rPr>
                          <w:rFonts w:ascii="Cambria Math" w:eastAsia="宋体" w:hAnsi="Cambria Math" w:cs="Times New Roman" w:hint="eastAsia"/>
                          <w:sz w:val="24"/>
                          <w:szCs w:val="24"/>
                        </w:rPr>
                        <m:t>·</m:t>
                      </m:r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carbonate</m:t>
                      </m:r>
                    </m:sub>
                  </m:sSub>
                  <m:d>
                    <m:dPr>
                      <m:ctrlPr>
                        <w:rPr>
                          <w:rFonts w:ascii="Cambria Math" w:eastAsia="宋体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sz w:val="24"/>
                              <w:szCs w:val="24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sz w:val="24"/>
                              <w:szCs w:val="24"/>
                            </w:rPr>
                            <m:t>glycerol</m:t>
                          </m:r>
                        </m:sub>
                      </m:sSub>
                      <m:r>
                        <w:rPr>
                          <w:rFonts w:ascii="Cambria Math" w:eastAsia="宋体" w:hAnsi="Cambria Math" w:cs="Times New Roman"/>
                          <w:sz w:val="24"/>
                          <w:szCs w:val="24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sz w:val="24"/>
                              <w:szCs w:val="24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sz w:val="24"/>
                              <w:szCs w:val="24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eastAsia="宋体" w:hAnsi="Cambria Math" w:cs="Times New Roman" w:hint="eastAsia"/>
                          <w:sz w:val="24"/>
                          <w:szCs w:val="24"/>
                        </w:rPr>
                        <m:t>·</m:t>
                      </m:r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sz w:val="24"/>
                              <w:szCs w:val="24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sz w:val="24"/>
                              <w:szCs w:val="24"/>
                            </w:rPr>
                            <m:t>Internal standard</m:t>
                          </m:r>
                        </m:sub>
                      </m:sSub>
                    </m:e>
                  </m:d>
                </m:den>
              </m:f>
              <m:r>
                <w:rPr>
                  <w:rFonts w:ascii="Cambria Math" w:eastAsia="宋体" w:hAnsi="Cambria Math" w:cs="Times New Roman"/>
                  <w:sz w:val="24"/>
                  <w:szCs w:val="24"/>
                </w:rPr>
                <m:t>#</m:t>
              </m:r>
              <m:d>
                <m:dPr>
                  <m:ctrlPr>
                    <w:rPr>
                      <w:rFonts w:ascii="Cambria Math" w:eastAsia="宋体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="宋体" w:hAnsi="Cambria Math" w:cs="Times New Roman"/>
                      <w:sz w:val="24"/>
                      <w:szCs w:val="24"/>
                    </w:rPr>
                    <m:t>2</m:t>
                  </m:r>
                </m:e>
              </m:d>
            </m:e>
          </m:eqArr>
        </m:oMath>
      </m:oMathPara>
    </w:p>
    <w:p w14:paraId="171428A0" w14:textId="77777777" w:rsidR="00945043" w:rsidRPr="00945043" w:rsidRDefault="00945043" w:rsidP="00A00A9D">
      <w:pPr>
        <w:rPr>
          <w:rFonts w:ascii="Times New Roman" w:eastAsia="宋体" w:hAnsi="Times New Roman" w:cs="Times New Roman"/>
          <w:sz w:val="24"/>
          <w:szCs w:val="24"/>
        </w:rPr>
      </w:pPr>
      <w:r w:rsidRPr="00945043">
        <w:rPr>
          <w:rFonts w:ascii="Times New Roman" w:eastAsia="宋体" w:hAnsi="Times New Roman" w:cs="Times New Roman"/>
          <w:sz w:val="24"/>
          <w:szCs w:val="24"/>
        </w:rPr>
        <w:t>Among them,</w:t>
      </w:r>
    </w:p>
    <w:p w14:paraId="342534CC" w14:textId="2887196F" w:rsidR="00A00A9D" w:rsidRPr="00945043" w:rsidRDefault="00A00A9D" w:rsidP="00A00A9D">
      <w:pPr>
        <w:rPr>
          <w:rFonts w:ascii="Times New Roman" w:eastAsia="宋体" w:hAnsi="Times New Roman" w:cs="Times New Roman"/>
          <w:sz w:val="24"/>
          <w:szCs w:val="24"/>
        </w:rPr>
      </w:pPr>
      <w:r w:rsidRPr="00945043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Pr="00945043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glycerol</w:t>
      </w:r>
      <w:r w:rsidR="00945043" w:rsidRPr="00945043">
        <w:rPr>
          <w:rFonts w:ascii="Times New Roman" w:eastAsia="宋体" w:hAnsi="Times New Roman" w:cs="Times New Roman"/>
          <w:sz w:val="24"/>
          <w:szCs w:val="24"/>
        </w:rPr>
        <w:t xml:space="preserve"> denotes the feed amount of glycerol</w:t>
      </w:r>
      <w:r w:rsidR="00875486" w:rsidRPr="00875486">
        <w:rPr>
          <w:rFonts w:ascii="Times New Roman" w:eastAsia="宋体" w:hAnsi="Times New Roman" w:cs="Times New Roman"/>
          <w:sz w:val="24"/>
          <w:szCs w:val="24"/>
        </w:rPr>
        <w:t>;</w:t>
      </w:r>
    </w:p>
    <w:p w14:paraId="7ED01FEB" w14:textId="7D2069C2" w:rsidR="00A00A9D" w:rsidRPr="00945043" w:rsidRDefault="00A00A9D" w:rsidP="00A00A9D">
      <w:pPr>
        <w:rPr>
          <w:rFonts w:ascii="Times New Roman" w:eastAsia="宋体" w:hAnsi="Times New Roman" w:cs="Times New Roman"/>
          <w:sz w:val="24"/>
          <w:szCs w:val="24"/>
        </w:rPr>
      </w:pPr>
      <w:r w:rsidRPr="00945043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Pr="00945043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Internal standard</w:t>
      </w:r>
      <w:r w:rsidR="00875486" w:rsidRPr="0094504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875486" w:rsidRPr="00875486">
        <w:rPr>
          <w:rFonts w:ascii="Times New Roman" w:eastAsia="宋体" w:hAnsi="Times New Roman" w:cs="Times New Roman"/>
          <w:sz w:val="24"/>
          <w:szCs w:val="24"/>
        </w:rPr>
        <w:t>denotes the mass of the internal standard;</w:t>
      </w:r>
    </w:p>
    <w:p w14:paraId="7D9D26D9" w14:textId="13B6E679" w:rsidR="00A00A9D" w:rsidRPr="00945043" w:rsidRDefault="00A00A9D" w:rsidP="00875486">
      <w:pPr>
        <w:rPr>
          <w:rFonts w:ascii="Times New Roman" w:eastAsia="宋体" w:hAnsi="Times New Roman" w:cs="Times New Roman"/>
          <w:sz w:val="24"/>
          <w:szCs w:val="24"/>
        </w:rPr>
      </w:pPr>
      <w:r w:rsidRPr="00945043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Pr="00945043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glycerol</w:t>
      </w:r>
      <w:r w:rsidR="00875486" w:rsidRPr="0094504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875486" w:rsidRPr="00875486">
        <w:rPr>
          <w:rFonts w:ascii="Times New Roman" w:eastAsia="宋体" w:hAnsi="Times New Roman" w:cs="Times New Roman"/>
          <w:sz w:val="24"/>
          <w:szCs w:val="24"/>
        </w:rPr>
        <w:t>denotes the molecular weight of glycerol;</w:t>
      </w:r>
    </w:p>
    <w:p w14:paraId="0EF7638D" w14:textId="16E2BA07" w:rsidR="00A00A9D" w:rsidRPr="00DD01A2" w:rsidRDefault="00A00A9D" w:rsidP="00A00A9D">
      <w:pPr>
        <w:rPr>
          <w:rFonts w:ascii="Times New Roman" w:eastAsia="宋体" w:hAnsi="Times New Roman" w:cs="Times New Roman"/>
          <w:sz w:val="24"/>
          <w:szCs w:val="24"/>
        </w:rPr>
      </w:pPr>
      <w:r w:rsidRPr="00945043">
        <w:rPr>
          <w:rFonts w:ascii="Times New Roman" w:eastAsia="宋体" w:hAnsi="Times New Roman" w:cs="Times New Roman" w:hint="eastAsia"/>
          <w:sz w:val="24"/>
          <w:szCs w:val="24"/>
        </w:rPr>
        <w:t>M</w:t>
      </w:r>
      <w:r w:rsidRPr="00945043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 xml:space="preserve">glycerol </w:t>
      </w:r>
      <w:r w:rsidR="00823C3B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c</w:t>
      </w:r>
      <w:r w:rsidRPr="00945043">
        <w:rPr>
          <w:rFonts w:ascii="Times New Roman" w:eastAsia="宋体" w:hAnsi="Times New Roman" w:cs="Times New Roman" w:hint="eastAsia"/>
          <w:sz w:val="24"/>
          <w:szCs w:val="24"/>
          <w:vertAlign w:val="subscript"/>
        </w:rPr>
        <w:t>arbonate</w:t>
      </w:r>
      <w:r w:rsidR="00875486" w:rsidRPr="0094504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CC6E3E" w:rsidRPr="00CC6E3E">
        <w:rPr>
          <w:rFonts w:ascii="Times New Roman" w:eastAsia="宋体" w:hAnsi="Times New Roman" w:cs="Times New Roman"/>
          <w:sz w:val="24"/>
          <w:szCs w:val="24"/>
        </w:rPr>
        <w:t>denotes the molecular weight of glycerol carbonate.</w:t>
      </w:r>
    </w:p>
    <w:p w14:paraId="14A328B2" w14:textId="4E5BAF45" w:rsidR="00AE5C21" w:rsidRPr="00AE6EC5" w:rsidRDefault="00AE6EC5" w:rsidP="00AE5C21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E5FD511" wp14:editId="357ABCA7">
            <wp:extent cx="4349888" cy="3611366"/>
            <wp:effectExtent l="0" t="0" r="0" b="8255"/>
            <wp:docPr id="19323357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335785" name="图片 193233578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54739" cy="361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1BBE7" w14:textId="6B025386" w:rsidR="00AE5C21" w:rsidRDefault="0076075A" w:rsidP="001C2730">
      <w:pPr>
        <w:spacing w:line="36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F5234C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Fig</w:t>
      </w:r>
      <w:r w:rsidR="00DB5216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.</w:t>
      </w:r>
      <w:r w:rsidR="00AE5C21" w:rsidRPr="00F5234C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S</w:t>
      </w:r>
      <w:r w:rsidR="0006728B" w:rsidRPr="00F5234C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9139C5" w:rsidRPr="009139C5">
        <w:rPr>
          <w:rFonts w:ascii="Times New Roman" w:eastAsia="宋体" w:hAnsi="Times New Roman" w:cs="Times New Roman" w:hint="eastAsia"/>
          <w:sz w:val="24"/>
          <w:szCs w:val="24"/>
        </w:rPr>
        <w:t>The optimization of the Pd/CCS-Cu-MOF catalyst regarding (a) amount, (b) temperature, (c) pressure, (d) time</w:t>
      </w:r>
    </w:p>
    <w:p w14:paraId="7CD34AB9" w14:textId="77777777" w:rsidR="00C21E0C" w:rsidRDefault="00C21E0C" w:rsidP="003C3CD6">
      <w:pPr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14:paraId="37F2B382" w14:textId="50E6A167" w:rsidR="00532884" w:rsidRPr="005C7250" w:rsidRDefault="005C7250" w:rsidP="003C3CD6">
      <w:pPr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5C7250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References</w:t>
      </w:r>
    </w:p>
    <w:p w14:paraId="18576533" w14:textId="2C8D02BD" w:rsidR="00057EA2" w:rsidRPr="00731997" w:rsidRDefault="00C059C1" w:rsidP="001C2730">
      <w:pPr>
        <w:pStyle w:val="a8"/>
        <w:numPr>
          <w:ilvl w:val="0"/>
          <w:numId w:val="1"/>
        </w:numPr>
        <w:spacing w:line="400" w:lineRule="exact"/>
        <w:ind w:left="442" w:firstLineChars="0" w:hanging="442"/>
        <w:rPr>
          <w:rFonts w:ascii="Times New Roman" w:eastAsia="宋体" w:hAnsi="Times New Roman" w:cs="Times New Roman"/>
          <w:szCs w:val="21"/>
        </w:rPr>
      </w:pPr>
      <w:r w:rsidRPr="00731997">
        <w:rPr>
          <w:rFonts w:ascii="Times New Roman" w:hAnsi="Times New Roman" w:cs="Times New Roman"/>
        </w:rPr>
        <w:t xml:space="preserve">Z. Lv, P. Huang, P. Zhang, M. Fan, P. Jiang, Y. Leng, Efficient synthesis of glycerol carbonate by doping metallic copper in palladium-catalyzed glycerol system for carbonylation reaction, </w:t>
      </w:r>
      <w:r w:rsidR="003A4098" w:rsidRPr="003A4098">
        <w:rPr>
          <w:rFonts w:ascii="Times New Roman" w:hAnsi="Times New Roman" w:cs="Times New Roman" w:hint="eastAsia"/>
        </w:rPr>
        <w:t>Catalysis Science &amp; Technology</w:t>
      </w:r>
      <w:r w:rsidRPr="00731997">
        <w:rPr>
          <w:rFonts w:ascii="Times New Roman" w:hAnsi="Times New Roman" w:cs="Times New Roman"/>
        </w:rPr>
        <w:t xml:space="preserve"> 14 (2024) 145</w:t>
      </w:r>
      <w:r w:rsidR="003A4098">
        <w:rPr>
          <w:rFonts w:ascii="Times New Roman" w:hAnsi="Times New Roman" w:cs="Times New Roman" w:hint="eastAsia"/>
        </w:rPr>
        <w:t>-</w:t>
      </w:r>
      <w:r w:rsidRPr="00731997">
        <w:rPr>
          <w:rFonts w:ascii="Times New Roman" w:hAnsi="Times New Roman" w:cs="Times New Roman"/>
        </w:rPr>
        <w:t>152. https://doi.org/10.1039/D3CY01189E.</w:t>
      </w:r>
    </w:p>
    <w:p w14:paraId="0A5FD476" w14:textId="3546D33A" w:rsidR="00036153" w:rsidRPr="00731997" w:rsidRDefault="00731997" w:rsidP="00C565BE">
      <w:pPr>
        <w:pStyle w:val="ab"/>
        <w:numPr>
          <w:ilvl w:val="0"/>
          <w:numId w:val="1"/>
        </w:numPr>
        <w:tabs>
          <w:tab w:val="left" w:pos="504"/>
        </w:tabs>
        <w:spacing w:line="400" w:lineRule="exact"/>
        <w:rPr>
          <w:rFonts w:ascii="Times New Roman" w:eastAsia="宋体" w:hAnsi="Times New Roman" w:cs="Times New Roman"/>
          <w:szCs w:val="21"/>
        </w:rPr>
      </w:pPr>
      <w:r w:rsidRPr="00731997">
        <w:rPr>
          <w:rFonts w:ascii="Times New Roman" w:eastAsia="宋体" w:hAnsi="Times New Roman" w:cs="Times New Roman" w:hint="eastAsia"/>
          <w:szCs w:val="21"/>
        </w:rPr>
        <w:t xml:space="preserve">J. Zhang, Z. Lv, P. Zhang, M. Fan, P. Jiang, Y. Leng, Confinement of Ultrasmall Pd Clusters Within Nanosized ZIF-8-Derived Cu-N-C Materials for Efficient and Stable Synthesis of Glycerol Carbonate from Glycerol, </w:t>
      </w:r>
      <w:r w:rsidR="003A4098" w:rsidRPr="003A4098">
        <w:rPr>
          <w:rFonts w:ascii="Times New Roman" w:eastAsia="宋体" w:hAnsi="Times New Roman" w:cs="Times New Roman" w:hint="eastAsia"/>
          <w:szCs w:val="21"/>
        </w:rPr>
        <w:t>Catalysis Letters</w:t>
      </w:r>
      <w:r w:rsidRPr="00731997">
        <w:rPr>
          <w:rFonts w:ascii="Times New Roman" w:eastAsia="宋体" w:hAnsi="Times New Roman" w:cs="Times New Roman" w:hint="eastAsia"/>
          <w:szCs w:val="21"/>
        </w:rPr>
        <w:t xml:space="preserve"> 154 (2024) 6389</w:t>
      </w:r>
      <w:r w:rsidR="003A4098">
        <w:rPr>
          <w:rFonts w:ascii="Times New Roman" w:eastAsia="宋体" w:hAnsi="Times New Roman" w:cs="Times New Roman" w:hint="eastAsia"/>
          <w:szCs w:val="21"/>
        </w:rPr>
        <w:t>-</w:t>
      </w:r>
      <w:r w:rsidRPr="00731997">
        <w:rPr>
          <w:rFonts w:ascii="Times New Roman" w:eastAsia="宋体" w:hAnsi="Times New Roman" w:cs="Times New Roman" w:hint="eastAsia"/>
          <w:szCs w:val="21"/>
        </w:rPr>
        <w:t>6399. https://doi.org/10.1007/s10562-024-04799-4.</w:t>
      </w:r>
    </w:p>
    <w:p w14:paraId="116E67A4" w14:textId="5EEB6C33" w:rsidR="00C059C1" w:rsidRPr="00C059C1" w:rsidRDefault="00C059C1" w:rsidP="00C059C1">
      <w:pPr>
        <w:rPr>
          <w:rFonts w:hint="eastAsia"/>
        </w:rPr>
      </w:pPr>
    </w:p>
    <w:sectPr w:rsidR="00C059C1" w:rsidRPr="00C059C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D53016" w14:textId="77777777" w:rsidR="00DB3295" w:rsidRDefault="00DB3295" w:rsidP="00AE5C21">
      <w:pPr>
        <w:rPr>
          <w:rFonts w:hint="eastAsia"/>
        </w:rPr>
      </w:pPr>
      <w:r>
        <w:separator/>
      </w:r>
    </w:p>
  </w:endnote>
  <w:endnote w:type="continuationSeparator" w:id="0">
    <w:p w14:paraId="4C8D17EF" w14:textId="77777777" w:rsidR="00DB3295" w:rsidRDefault="00DB3295" w:rsidP="00AE5C21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222913" w14:textId="77777777" w:rsidR="00DB3295" w:rsidRDefault="00DB3295" w:rsidP="00AE5C21">
      <w:pPr>
        <w:rPr>
          <w:rFonts w:hint="eastAsia"/>
        </w:rPr>
      </w:pPr>
      <w:r>
        <w:separator/>
      </w:r>
    </w:p>
  </w:footnote>
  <w:footnote w:type="continuationSeparator" w:id="0">
    <w:p w14:paraId="3840871E" w14:textId="77777777" w:rsidR="00DB3295" w:rsidRDefault="00DB3295" w:rsidP="00AE5C21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366854"/>
    <w:multiLevelType w:val="hybridMultilevel"/>
    <w:tmpl w:val="52120304"/>
    <w:lvl w:ilvl="0" w:tplc="0AEEB506">
      <w:start w:val="1"/>
      <w:numFmt w:val="decimal"/>
      <w:lvlText w:val="[%1]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776F1E3A"/>
    <w:multiLevelType w:val="hybridMultilevel"/>
    <w:tmpl w:val="B4AE0FCA"/>
    <w:lvl w:ilvl="0" w:tplc="E7DECEF2">
      <w:start w:val="1"/>
      <w:numFmt w:val="decimal"/>
      <w:lvlText w:val="[%1]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608850979">
    <w:abstractNumId w:val="0"/>
  </w:num>
  <w:num w:numId="2" w16cid:durableId="137003385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0BED"/>
    <w:rsid w:val="000161CA"/>
    <w:rsid w:val="000313B1"/>
    <w:rsid w:val="00036153"/>
    <w:rsid w:val="00057260"/>
    <w:rsid w:val="00057EA2"/>
    <w:rsid w:val="00061E48"/>
    <w:rsid w:val="00062AC9"/>
    <w:rsid w:val="0006693C"/>
    <w:rsid w:val="0006728B"/>
    <w:rsid w:val="000756F6"/>
    <w:rsid w:val="00081B64"/>
    <w:rsid w:val="000A1C0A"/>
    <w:rsid w:val="000A2B25"/>
    <w:rsid w:val="000A5B3D"/>
    <w:rsid w:val="000B2E09"/>
    <w:rsid w:val="000C174F"/>
    <w:rsid w:val="000C77C3"/>
    <w:rsid w:val="000D34CC"/>
    <w:rsid w:val="000D38F7"/>
    <w:rsid w:val="000E5E3D"/>
    <w:rsid w:val="001104C5"/>
    <w:rsid w:val="00113922"/>
    <w:rsid w:val="00127303"/>
    <w:rsid w:val="00130A96"/>
    <w:rsid w:val="001321A9"/>
    <w:rsid w:val="00143BD5"/>
    <w:rsid w:val="00150174"/>
    <w:rsid w:val="00150D61"/>
    <w:rsid w:val="00177ADD"/>
    <w:rsid w:val="001862A3"/>
    <w:rsid w:val="00186ACB"/>
    <w:rsid w:val="001B79E7"/>
    <w:rsid w:val="001C2730"/>
    <w:rsid w:val="001D22C5"/>
    <w:rsid w:val="001E06D6"/>
    <w:rsid w:val="00225F9E"/>
    <w:rsid w:val="00244422"/>
    <w:rsid w:val="00252619"/>
    <w:rsid w:val="00253864"/>
    <w:rsid w:val="00265852"/>
    <w:rsid w:val="00275517"/>
    <w:rsid w:val="00290FDB"/>
    <w:rsid w:val="00292B02"/>
    <w:rsid w:val="002B3657"/>
    <w:rsid w:val="002B72BB"/>
    <w:rsid w:val="002C1CEA"/>
    <w:rsid w:val="002C6996"/>
    <w:rsid w:val="002E494D"/>
    <w:rsid w:val="003003C3"/>
    <w:rsid w:val="0033091B"/>
    <w:rsid w:val="00347A07"/>
    <w:rsid w:val="00351B5A"/>
    <w:rsid w:val="003614DD"/>
    <w:rsid w:val="00374CB2"/>
    <w:rsid w:val="00380A95"/>
    <w:rsid w:val="003908E3"/>
    <w:rsid w:val="003935F4"/>
    <w:rsid w:val="0039547E"/>
    <w:rsid w:val="003A4098"/>
    <w:rsid w:val="003B2497"/>
    <w:rsid w:val="003B3BBA"/>
    <w:rsid w:val="003C2002"/>
    <w:rsid w:val="003C3CD6"/>
    <w:rsid w:val="003F4327"/>
    <w:rsid w:val="003F638E"/>
    <w:rsid w:val="00412C07"/>
    <w:rsid w:val="004166A6"/>
    <w:rsid w:val="004427F9"/>
    <w:rsid w:val="00447B42"/>
    <w:rsid w:val="0045201E"/>
    <w:rsid w:val="00453652"/>
    <w:rsid w:val="004709A0"/>
    <w:rsid w:val="00470BED"/>
    <w:rsid w:val="004A2FA6"/>
    <w:rsid w:val="004B0370"/>
    <w:rsid w:val="004C5760"/>
    <w:rsid w:val="004D2757"/>
    <w:rsid w:val="004E5764"/>
    <w:rsid w:val="00502A08"/>
    <w:rsid w:val="0050314F"/>
    <w:rsid w:val="005073B6"/>
    <w:rsid w:val="00511E72"/>
    <w:rsid w:val="005135AA"/>
    <w:rsid w:val="00514863"/>
    <w:rsid w:val="005313C4"/>
    <w:rsid w:val="00532884"/>
    <w:rsid w:val="00535264"/>
    <w:rsid w:val="005403D1"/>
    <w:rsid w:val="0055363C"/>
    <w:rsid w:val="00556A56"/>
    <w:rsid w:val="00575188"/>
    <w:rsid w:val="005777D1"/>
    <w:rsid w:val="00582DAB"/>
    <w:rsid w:val="005A43FA"/>
    <w:rsid w:val="005C3896"/>
    <w:rsid w:val="005C7250"/>
    <w:rsid w:val="005F0DB6"/>
    <w:rsid w:val="005F6835"/>
    <w:rsid w:val="005F7F26"/>
    <w:rsid w:val="00611982"/>
    <w:rsid w:val="00627495"/>
    <w:rsid w:val="006350CC"/>
    <w:rsid w:val="006427DE"/>
    <w:rsid w:val="00652C44"/>
    <w:rsid w:val="006552F6"/>
    <w:rsid w:val="00672552"/>
    <w:rsid w:val="00676C9C"/>
    <w:rsid w:val="00677FF7"/>
    <w:rsid w:val="0069076C"/>
    <w:rsid w:val="00695C47"/>
    <w:rsid w:val="00696890"/>
    <w:rsid w:val="006A6291"/>
    <w:rsid w:val="006B646F"/>
    <w:rsid w:val="006C5A5D"/>
    <w:rsid w:val="006D6C78"/>
    <w:rsid w:val="006D7628"/>
    <w:rsid w:val="00702C30"/>
    <w:rsid w:val="00704D3B"/>
    <w:rsid w:val="0070766D"/>
    <w:rsid w:val="00710198"/>
    <w:rsid w:val="00711F02"/>
    <w:rsid w:val="00731997"/>
    <w:rsid w:val="0074412A"/>
    <w:rsid w:val="00746C00"/>
    <w:rsid w:val="0076075A"/>
    <w:rsid w:val="007A27D3"/>
    <w:rsid w:val="007C6502"/>
    <w:rsid w:val="007D6C39"/>
    <w:rsid w:val="00800364"/>
    <w:rsid w:val="0080072F"/>
    <w:rsid w:val="00805AA1"/>
    <w:rsid w:val="00817D5C"/>
    <w:rsid w:val="00823C3B"/>
    <w:rsid w:val="008277C8"/>
    <w:rsid w:val="008404FF"/>
    <w:rsid w:val="00847465"/>
    <w:rsid w:val="00864627"/>
    <w:rsid w:val="00864BA9"/>
    <w:rsid w:val="00867DE0"/>
    <w:rsid w:val="00875486"/>
    <w:rsid w:val="00881F40"/>
    <w:rsid w:val="00897B82"/>
    <w:rsid w:val="008B1D60"/>
    <w:rsid w:val="008C030E"/>
    <w:rsid w:val="008D7E81"/>
    <w:rsid w:val="008E40CA"/>
    <w:rsid w:val="008F2302"/>
    <w:rsid w:val="008F66F2"/>
    <w:rsid w:val="009015EB"/>
    <w:rsid w:val="00905859"/>
    <w:rsid w:val="00907192"/>
    <w:rsid w:val="009139C5"/>
    <w:rsid w:val="00915525"/>
    <w:rsid w:val="00923CB0"/>
    <w:rsid w:val="009252B3"/>
    <w:rsid w:val="00932135"/>
    <w:rsid w:val="009343F3"/>
    <w:rsid w:val="00936281"/>
    <w:rsid w:val="00945043"/>
    <w:rsid w:val="00951E58"/>
    <w:rsid w:val="009B4EF8"/>
    <w:rsid w:val="009B5F98"/>
    <w:rsid w:val="00A0015C"/>
    <w:rsid w:val="00A00A9D"/>
    <w:rsid w:val="00A029AB"/>
    <w:rsid w:val="00A0592B"/>
    <w:rsid w:val="00A26E74"/>
    <w:rsid w:val="00A56C93"/>
    <w:rsid w:val="00A77C86"/>
    <w:rsid w:val="00A86396"/>
    <w:rsid w:val="00AA7CF4"/>
    <w:rsid w:val="00AC3D9A"/>
    <w:rsid w:val="00AD7DD1"/>
    <w:rsid w:val="00AE5C21"/>
    <w:rsid w:val="00AE6EC5"/>
    <w:rsid w:val="00AF35A1"/>
    <w:rsid w:val="00B1282B"/>
    <w:rsid w:val="00B16CDE"/>
    <w:rsid w:val="00B2461A"/>
    <w:rsid w:val="00B314AF"/>
    <w:rsid w:val="00B4407A"/>
    <w:rsid w:val="00B45AD0"/>
    <w:rsid w:val="00B57650"/>
    <w:rsid w:val="00B60712"/>
    <w:rsid w:val="00B62217"/>
    <w:rsid w:val="00B73ACA"/>
    <w:rsid w:val="00B931CF"/>
    <w:rsid w:val="00B9534D"/>
    <w:rsid w:val="00BA4899"/>
    <w:rsid w:val="00BB4543"/>
    <w:rsid w:val="00BE0118"/>
    <w:rsid w:val="00BF70E5"/>
    <w:rsid w:val="00C059C1"/>
    <w:rsid w:val="00C063CF"/>
    <w:rsid w:val="00C06F1B"/>
    <w:rsid w:val="00C21E0C"/>
    <w:rsid w:val="00C2531E"/>
    <w:rsid w:val="00C34E52"/>
    <w:rsid w:val="00C4743D"/>
    <w:rsid w:val="00C565BE"/>
    <w:rsid w:val="00C61013"/>
    <w:rsid w:val="00CB054E"/>
    <w:rsid w:val="00CC1A4A"/>
    <w:rsid w:val="00CC501A"/>
    <w:rsid w:val="00CC6E3E"/>
    <w:rsid w:val="00CD5E31"/>
    <w:rsid w:val="00CE0B38"/>
    <w:rsid w:val="00CF5F07"/>
    <w:rsid w:val="00D01EBF"/>
    <w:rsid w:val="00D22367"/>
    <w:rsid w:val="00D26657"/>
    <w:rsid w:val="00D378C1"/>
    <w:rsid w:val="00D61344"/>
    <w:rsid w:val="00D6391A"/>
    <w:rsid w:val="00D704C8"/>
    <w:rsid w:val="00D91879"/>
    <w:rsid w:val="00D961B5"/>
    <w:rsid w:val="00DA0AEB"/>
    <w:rsid w:val="00DA53CD"/>
    <w:rsid w:val="00DA7836"/>
    <w:rsid w:val="00DB3295"/>
    <w:rsid w:val="00DB3C35"/>
    <w:rsid w:val="00DB5216"/>
    <w:rsid w:val="00DD01A2"/>
    <w:rsid w:val="00DD395D"/>
    <w:rsid w:val="00DE73FC"/>
    <w:rsid w:val="00DF1FD6"/>
    <w:rsid w:val="00DF5BAB"/>
    <w:rsid w:val="00DF7872"/>
    <w:rsid w:val="00E01ADD"/>
    <w:rsid w:val="00E04C6D"/>
    <w:rsid w:val="00E058B9"/>
    <w:rsid w:val="00E06F8E"/>
    <w:rsid w:val="00E163C6"/>
    <w:rsid w:val="00E40352"/>
    <w:rsid w:val="00E63B13"/>
    <w:rsid w:val="00E82C48"/>
    <w:rsid w:val="00E8306D"/>
    <w:rsid w:val="00E93F86"/>
    <w:rsid w:val="00EA1176"/>
    <w:rsid w:val="00EA5308"/>
    <w:rsid w:val="00EB1E18"/>
    <w:rsid w:val="00EB50AB"/>
    <w:rsid w:val="00EE4F28"/>
    <w:rsid w:val="00EF6F81"/>
    <w:rsid w:val="00F06B31"/>
    <w:rsid w:val="00F13132"/>
    <w:rsid w:val="00F25FFA"/>
    <w:rsid w:val="00F44A63"/>
    <w:rsid w:val="00F5234C"/>
    <w:rsid w:val="00F57A2F"/>
    <w:rsid w:val="00FB6D94"/>
    <w:rsid w:val="00FB7792"/>
    <w:rsid w:val="00FC1BE0"/>
    <w:rsid w:val="00FC28FE"/>
    <w:rsid w:val="00FE0119"/>
    <w:rsid w:val="00FE3E01"/>
    <w:rsid w:val="00FE7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4DBA839"/>
  <w14:defaultImageDpi w14:val="32767"/>
  <w15:chartTrackingRefBased/>
  <w15:docId w15:val="{2B1DB668-F70E-428A-80CF-4A318EDD8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E5C21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E5C2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E5C2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E5C21"/>
    <w:rPr>
      <w:sz w:val="18"/>
      <w:szCs w:val="18"/>
    </w:rPr>
  </w:style>
  <w:style w:type="character" w:styleId="a7">
    <w:name w:val="Placeholder Text"/>
    <w:basedOn w:val="a0"/>
    <w:uiPriority w:val="99"/>
    <w:semiHidden/>
    <w:rsid w:val="0076075A"/>
    <w:rPr>
      <w:color w:val="666666"/>
    </w:rPr>
  </w:style>
  <w:style w:type="paragraph" w:styleId="a8">
    <w:name w:val="List Paragraph"/>
    <w:basedOn w:val="a"/>
    <w:uiPriority w:val="34"/>
    <w:qFormat/>
    <w:rsid w:val="002B3657"/>
    <w:pPr>
      <w:ind w:firstLineChars="200" w:firstLine="420"/>
    </w:pPr>
  </w:style>
  <w:style w:type="character" w:styleId="a9">
    <w:name w:val="Hyperlink"/>
    <w:basedOn w:val="a0"/>
    <w:uiPriority w:val="99"/>
    <w:unhideWhenUsed/>
    <w:rsid w:val="00062AC9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062AC9"/>
    <w:rPr>
      <w:color w:val="605E5C"/>
      <w:shd w:val="clear" w:color="auto" w:fill="E1DFDD"/>
    </w:rPr>
  </w:style>
  <w:style w:type="paragraph" w:styleId="ab">
    <w:name w:val="Bibliography"/>
    <w:basedOn w:val="a"/>
    <w:next w:val="a"/>
    <w:uiPriority w:val="37"/>
    <w:unhideWhenUsed/>
    <w:rsid w:val="00C565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83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68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89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92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564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0414573">
                  <w:marLeft w:val="360"/>
                  <w:marRight w:val="96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226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2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30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20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52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18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827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92992">
                  <w:marLeft w:val="360"/>
                  <w:marRight w:val="96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337</TotalTime>
  <Pages>5</Pages>
  <Words>715</Words>
  <Characters>4410</Characters>
  <Application>Microsoft Office Word</Application>
  <DocSecurity>0</DocSecurity>
  <Lines>93</Lines>
  <Paragraphs>31</Paragraphs>
  <ScaleCrop>false</ScaleCrop>
  <Company/>
  <LinksUpToDate>false</LinksUpToDate>
  <CharactersWithSpaces>5094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淑琪 齐</dc:creator>
  <cp:keywords/>
  <dc:description/>
  <cp:lastModifiedBy>淑琪 齐</cp:lastModifiedBy>
  <cp:revision>195</cp:revision>
  <dcterms:created xsi:type="dcterms:W3CDTF">2024-08-08T04:44:00Z</dcterms:created>
  <dcterms:modified xsi:type="dcterms:W3CDTF">2025-04-10T01:46:00Z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98d35f1e496d018a2b7e8855ef783a17ddaf7ea04729c8b5e853382db425f4d0</vt:lpwstr>
  </property>
  <property fmtid="{D5CDD505-2E9C-101B-9397-08002B2CF9AE}" pid="3" name="ZOTERO_PREF_1">
    <vt:lpwstr>&lt;data data-version="3" zotero-version="6.0.36"&gt;&lt;session id="eDTqRneC"/&gt;&lt;style id="http://www.zotero.org/styles/international-journal-of-biological-macromolecules" hasBibliography="1" bibliographyStyleHasBeenSet="0"/&gt;&lt;prefs&gt;&lt;pref name="fieldType" value="Fi</vt:lpwstr>
  </property>
  <property fmtid="{D5CDD505-2E9C-101B-9397-08002B2CF9AE}" pid="4" name="ZOTERO_PREF_2">
    <vt:lpwstr>eld"/&gt;&lt;/prefs&gt;&lt;/data&gt;</vt:lpwstr>
  </property>
</Properties>
</file>