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171"/>
        <w:tblW w:w="11028" w:type="dxa"/>
        <w:tblLook w:val="04A0" w:firstRow="1" w:lastRow="0" w:firstColumn="1" w:lastColumn="0" w:noHBand="0" w:noVBand="1"/>
      </w:tblPr>
      <w:tblGrid>
        <w:gridCol w:w="2875"/>
        <w:gridCol w:w="8153"/>
      </w:tblGrid>
      <w:tr w:rsidR="008B04E6" w:rsidRPr="005B561C" w14:paraId="3E2FA0ED" w14:textId="77777777" w:rsidTr="002427FF">
        <w:trPr>
          <w:trHeight w:val="181"/>
        </w:trPr>
        <w:tc>
          <w:tcPr>
            <w:tcW w:w="2875" w:type="dxa"/>
          </w:tcPr>
          <w:p w14:paraId="2FA20C3F" w14:textId="77777777" w:rsidR="008B04E6" w:rsidRPr="005B561C" w:rsidRDefault="008B04E6" w:rsidP="002427FF">
            <w:pPr>
              <w:rPr>
                <w:rFonts w:ascii="Times New Roman" w:hAnsi="Times New Roman" w:cs="Times New Roman"/>
                <w:b/>
                <w:bCs/>
                <w:i/>
                <w:iCs/>
                <w:sz w:val="16"/>
                <w:szCs w:val="16"/>
              </w:rPr>
            </w:pPr>
            <w:r w:rsidRPr="005B561C">
              <w:rPr>
                <w:rFonts w:ascii="Times New Roman" w:hAnsi="Times New Roman" w:cs="Times New Roman"/>
                <w:b/>
                <w:bCs/>
                <w:i/>
                <w:iCs/>
                <w:sz w:val="16"/>
                <w:szCs w:val="16"/>
              </w:rPr>
              <w:t>Variable Name</w:t>
            </w:r>
          </w:p>
        </w:tc>
        <w:tc>
          <w:tcPr>
            <w:tcW w:w="8153" w:type="dxa"/>
          </w:tcPr>
          <w:p w14:paraId="76BCA5C0" w14:textId="77777777" w:rsidR="008B04E6" w:rsidRPr="005B561C" w:rsidRDefault="008B04E6" w:rsidP="002427FF">
            <w:pPr>
              <w:rPr>
                <w:rFonts w:ascii="Times New Roman" w:hAnsi="Times New Roman" w:cs="Times New Roman"/>
                <w:b/>
                <w:bCs/>
                <w:i/>
                <w:iCs/>
                <w:sz w:val="16"/>
                <w:szCs w:val="16"/>
              </w:rPr>
            </w:pPr>
            <w:r w:rsidRPr="005B561C">
              <w:rPr>
                <w:rFonts w:ascii="Times New Roman" w:hAnsi="Times New Roman" w:cs="Times New Roman"/>
                <w:b/>
                <w:bCs/>
                <w:i/>
                <w:iCs/>
                <w:sz w:val="16"/>
                <w:szCs w:val="16"/>
              </w:rPr>
              <w:t>Variable Description</w:t>
            </w:r>
          </w:p>
        </w:tc>
      </w:tr>
      <w:tr w:rsidR="008B04E6" w:rsidRPr="005B561C" w14:paraId="33C8BCA5" w14:textId="77777777" w:rsidTr="002427FF">
        <w:trPr>
          <w:trHeight w:val="605"/>
        </w:trPr>
        <w:tc>
          <w:tcPr>
            <w:tcW w:w="2875" w:type="dxa"/>
          </w:tcPr>
          <w:p w14:paraId="443D6669"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Youth Age</w:t>
            </w:r>
          </w:p>
        </w:tc>
        <w:tc>
          <w:tcPr>
            <w:tcW w:w="8153" w:type="dxa"/>
          </w:tcPr>
          <w:p w14:paraId="028E9A79"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 xml:space="preserve">Screener question: “How old are you?”; Response options were in years and ranged from “11 years or younger” to “22 years or older”; Respondents were screened out of the survey if they responded “11 years or younger” or “22 years or older” due to study eligibility criteria (ages 12-21). </w:t>
            </w:r>
          </w:p>
        </w:tc>
      </w:tr>
      <w:tr w:rsidR="008B04E6" w:rsidRPr="005B561C" w14:paraId="71EA33DD" w14:textId="77777777" w:rsidTr="005B561C">
        <w:trPr>
          <w:trHeight w:val="406"/>
        </w:trPr>
        <w:tc>
          <w:tcPr>
            <w:tcW w:w="2875" w:type="dxa"/>
          </w:tcPr>
          <w:p w14:paraId="36F9D19F"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Youth Sex</w:t>
            </w:r>
          </w:p>
        </w:tc>
        <w:tc>
          <w:tcPr>
            <w:tcW w:w="8153" w:type="dxa"/>
          </w:tcPr>
          <w:p w14:paraId="28EB9CC7" w14:textId="5E3B09C3"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 xml:space="preserve">In the demographic information section (Part VI) at the end of the survey, respondents answered whether their sex was male (coded as 1) or female (coded as 0). </w:t>
            </w:r>
          </w:p>
        </w:tc>
      </w:tr>
      <w:tr w:rsidR="008B04E6" w:rsidRPr="005B561C" w14:paraId="245FA1DE" w14:textId="77777777" w:rsidTr="002427FF">
        <w:trPr>
          <w:trHeight w:val="755"/>
        </w:trPr>
        <w:tc>
          <w:tcPr>
            <w:tcW w:w="2875" w:type="dxa"/>
          </w:tcPr>
          <w:p w14:paraId="40D4A09E"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Youth LGBQ</w:t>
            </w:r>
          </w:p>
        </w:tc>
        <w:tc>
          <w:tcPr>
            <w:tcW w:w="8153" w:type="dxa"/>
          </w:tcPr>
          <w:p w14:paraId="3822A6A4" w14:textId="05A5A883"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In the demographic information section (Part VI) at the end of the survey, respondents were asked “What best describes your sexual orientation? 1) heterosexual/straight, 2) homosexual/gay, 3) bisexual, 4) other (fill in the blank), 5) prefer not to say, and 6) unsure. Youth</w:t>
            </w:r>
            <w:r w:rsidR="00DE2AD2" w:rsidRPr="005B561C">
              <w:rPr>
                <w:rFonts w:ascii="Times New Roman" w:hAnsi="Times New Roman" w:cs="Times New Roman"/>
                <w:sz w:val="16"/>
                <w:szCs w:val="16"/>
              </w:rPr>
              <w:t xml:space="preserve"> who</w:t>
            </w:r>
            <w:r w:rsidRPr="005B561C">
              <w:rPr>
                <w:rFonts w:ascii="Times New Roman" w:hAnsi="Times New Roman" w:cs="Times New Roman"/>
                <w:sz w:val="16"/>
                <w:szCs w:val="16"/>
              </w:rPr>
              <w:t xml:space="preserve"> responded “prefer not to say” were coded as missing; otherwise, youth with non-heterosexual responses were coded as LGBQ. Open-ended responses varied, but most commonly were queer or pansexual.</w:t>
            </w:r>
            <w:r w:rsidR="00B13387">
              <w:rPr>
                <w:rFonts w:ascii="Times New Roman" w:hAnsi="Times New Roman" w:cs="Times New Roman"/>
                <w:sz w:val="16"/>
                <w:szCs w:val="16"/>
              </w:rPr>
              <w:t xml:space="preserve"> </w:t>
            </w:r>
          </w:p>
        </w:tc>
      </w:tr>
      <w:tr w:rsidR="00C47CD3" w:rsidRPr="005B561C" w14:paraId="1504284D" w14:textId="77777777" w:rsidTr="002427FF">
        <w:trPr>
          <w:trHeight w:val="181"/>
        </w:trPr>
        <w:tc>
          <w:tcPr>
            <w:tcW w:w="2875" w:type="dxa"/>
          </w:tcPr>
          <w:p w14:paraId="2F06F111" w14:textId="46AB60AA" w:rsidR="00C47CD3" w:rsidRPr="005B561C" w:rsidRDefault="00C47CD3" w:rsidP="002427FF">
            <w:pPr>
              <w:rPr>
                <w:rFonts w:ascii="Times New Roman" w:hAnsi="Times New Roman" w:cs="Times New Roman"/>
                <w:sz w:val="16"/>
                <w:szCs w:val="16"/>
              </w:rPr>
            </w:pPr>
            <w:r>
              <w:rPr>
                <w:rFonts w:ascii="Times New Roman" w:hAnsi="Times New Roman" w:cs="Times New Roman"/>
                <w:sz w:val="16"/>
                <w:szCs w:val="16"/>
              </w:rPr>
              <w:t>Youth Disconnection</w:t>
            </w:r>
          </w:p>
        </w:tc>
        <w:tc>
          <w:tcPr>
            <w:tcW w:w="8153" w:type="dxa"/>
          </w:tcPr>
          <w:p w14:paraId="385AF8B6" w14:textId="6A860333" w:rsidR="00C47CD3" w:rsidRPr="005B561C" w:rsidRDefault="00C47CD3" w:rsidP="002427FF">
            <w:pPr>
              <w:rPr>
                <w:rFonts w:ascii="Times New Roman" w:hAnsi="Times New Roman" w:cs="Times New Roman"/>
                <w:sz w:val="16"/>
                <w:szCs w:val="16"/>
              </w:rPr>
            </w:pPr>
            <w:r w:rsidRPr="005B561C">
              <w:rPr>
                <w:rFonts w:ascii="Times New Roman" w:hAnsi="Times New Roman" w:cs="Times New Roman"/>
                <w:sz w:val="16"/>
                <w:szCs w:val="16"/>
              </w:rPr>
              <w:t>In the demographic information section (Part VI) at the end of the survey</w:t>
            </w:r>
            <w:r>
              <w:rPr>
                <w:rFonts w:ascii="Times New Roman" w:hAnsi="Times New Roman" w:cs="Times New Roman"/>
                <w:sz w:val="16"/>
                <w:szCs w:val="16"/>
              </w:rPr>
              <w:t xml:space="preserve">, respondents were asked about whether they were currently employed or in school. Those who responded that they were neither employed (part-time or full-time) or in school were designated as disconnected and assigned a value of 1; otherwise, respondents were assigned a value of 0. </w:t>
            </w:r>
          </w:p>
        </w:tc>
      </w:tr>
      <w:tr w:rsidR="008B04E6" w:rsidRPr="005B561C" w14:paraId="6F01A78B" w14:textId="77777777" w:rsidTr="002427FF">
        <w:trPr>
          <w:trHeight w:val="181"/>
        </w:trPr>
        <w:tc>
          <w:tcPr>
            <w:tcW w:w="2875" w:type="dxa"/>
          </w:tcPr>
          <w:p w14:paraId="03D195A6"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Youth Multiracial</w:t>
            </w:r>
          </w:p>
        </w:tc>
        <w:tc>
          <w:tcPr>
            <w:tcW w:w="8153" w:type="dxa"/>
          </w:tcPr>
          <w:p w14:paraId="1A66A62C" w14:textId="3F3E530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Screener question: What is your race or ethnicity (SELECT ALL THATY APPLY); Response options included “Black or African American” “Hispanic or Latino/a” “White” “Asian or Pacific Islander” “American Indian or Alaskan Native” and “Other, please specify”; Respondents were screen</w:t>
            </w:r>
            <w:r w:rsidR="005B561C" w:rsidRPr="005B561C">
              <w:rPr>
                <w:rFonts w:ascii="Times New Roman" w:hAnsi="Times New Roman" w:cs="Times New Roman"/>
                <w:sz w:val="16"/>
                <w:szCs w:val="16"/>
              </w:rPr>
              <w:t>ed</w:t>
            </w:r>
            <w:r w:rsidRPr="005B561C">
              <w:rPr>
                <w:rFonts w:ascii="Times New Roman" w:hAnsi="Times New Roman" w:cs="Times New Roman"/>
                <w:sz w:val="16"/>
                <w:szCs w:val="16"/>
              </w:rPr>
              <w:t xml:space="preserve"> out of the survey if they did not select “Black or African American”, as this was an explicit eligibility criterion of the study. However, youth were permitted to select other races and ethnicities with which they identify. If youth selected any of the other racial or ethnic categories in addition to Black or African American, they were coded as multiracial (1); otherwise, they were coded as a 0 on this variable. </w:t>
            </w:r>
          </w:p>
        </w:tc>
      </w:tr>
      <w:tr w:rsidR="008B04E6" w:rsidRPr="005B561C" w14:paraId="39928255" w14:textId="77777777" w:rsidTr="002427FF">
        <w:trPr>
          <w:trHeight w:val="181"/>
        </w:trPr>
        <w:tc>
          <w:tcPr>
            <w:tcW w:w="2875" w:type="dxa"/>
          </w:tcPr>
          <w:p w14:paraId="25C785FE"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Neighborhood Disorder</w:t>
            </w:r>
          </w:p>
        </w:tc>
        <w:tc>
          <w:tcPr>
            <w:tcW w:w="8153" w:type="dxa"/>
          </w:tcPr>
          <w:p w14:paraId="726C2348" w14:textId="1D666C0F" w:rsidR="008B04E6" w:rsidRPr="004F17DC" w:rsidRDefault="008B04E6" w:rsidP="002427FF">
            <w:pPr>
              <w:tabs>
                <w:tab w:val="left" w:pos="1395"/>
              </w:tabs>
              <w:rPr>
                <w:rFonts w:ascii="Times New Roman" w:hAnsi="Times New Roman" w:cs="Times New Roman"/>
                <w:sz w:val="16"/>
                <w:szCs w:val="16"/>
                <w:vertAlign w:val="superscript"/>
              </w:rPr>
            </w:pPr>
            <w:r w:rsidRPr="005B561C">
              <w:rPr>
                <w:rFonts w:ascii="Times New Roman" w:hAnsi="Times New Roman" w:cs="Times New Roman"/>
                <w:sz w:val="16"/>
                <w:szCs w:val="16"/>
              </w:rPr>
              <w:t>This measure is comprised of three items taken from the National Survey of Children’s Health.</w:t>
            </w:r>
            <w:r w:rsidRPr="005B561C">
              <w:rPr>
                <w:rFonts w:ascii="Times New Roman" w:hAnsi="Times New Roman" w:cs="Times New Roman"/>
                <w:sz w:val="16"/>
                <w:szCs w:val="16"/>
                <w:vertAlign w:val="superscript"/>
              </w:rPr>
              <w:t xml:space="preserve"> </w:t>
            </w:r>
            <w:r w:rsidRPr="005B561C">
              <w:rPr>
                <w:rFonts w:ascii="Times New Roman" w:hAnsi="Times New Roman" w:cs="Times New Roman"/>
                <w:sz w:val="16"/>
                <w:szCs w:val="16"/>
              </w:rPr>
              <w:t xml:space="preserve">Specifically, youth were asked, “In your neighborhood, is there 1) Litter or garbage on the street or </w:t>
            </w:r>
            <w:proofErr w:type="gramStart"/>
            <w:r w:rsidRPr="005B561C">
              <w:rPr>
                <w:rFonts w:ascii="Times New Roman" w:hAnsi="Times New Roman" w:cs="Times New Roman"/>
                <w:sz w:val="16"/>
                <w:szCs w:val="16"/>
              </w:rPr>
              <w:t>sidewalk?,</w:t>
            </w:r>
            <w:proofErr w:type="gramEnd"/>
            <w:r w:rsidRPr="005B561C">
              <w:rPr>
                <w:rFonts w:ascii="Times New Roman" w:hAnsi="Times New Roman" w:cs="Times New Roman"/>
                <w:sz w:val="16"/>
                <w:szCs w:val="16"/>
              </w:rPr>
              <w:t xml:space="preserve"> 2) Rundown housing like buildings with boarded up windows?, 3) Broken windows or graffiti?” Youth were permitted to endorse each item (yes) or not</w:t>
            </w:r>
            <w:r w:rsidR="00C47CD3">
              <w:rPr>
                <w:rFonts w:ascii="Times New Roman" w:hAnsi="Times New Roman" w:cs="Times New Roman"/>
                <w:sz w:val="16"/>
                <w:szCs w:val="16"/>
              </w:rPr>
              <w:t>. S</w:t>
            </w:r>
            <w:r w:rsidRPr="005B561C">
              <w:rPr>
                <w:rFonts w:ascii="Times New Roman" w:hAnsi="Times New Roman" w:cs="Times New Roman"/>
                <w:sz w:val="16"/>
                <w:szCs w:val="16"/>
              </w:rPr>
              <w:t xml:space="preserve">cores were summed for the analysis to range from 0-3. </w:t>
            </w:r>
          </w:p>
        </w:tc>
      </w:tr>
      <w:tr w:rsidR="008B04E6" w:rsidRPr="005B561C" w14:paraId="04CDB509" w14:textId="77777777" w:rsidTr="002427FF">
        <w:trPr>
          <w:trHeight w:val="181"/>
        </w:trPr>
        <w:tc>
          <w:tcPr>
            <w:tcW w:w="2875" w:type="dxa"/>
          </w:tcPr>
          <w:p w14:paraId="449ED66A"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Bio Parents Married</w:t>
            </w:r>
          </w:p>
        </w:tc>
        <w:tc>
          <w:tcPr>
            <w:tcW w:w="8153" w:type="dxa"/>
          </w:tcPr>
          <w:p w14:paraId="1C946AB0" w14:textId="6C43450B"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In the demographic information section (Part VI) at the end of the survey, respondents answered whether their biological or birth parents were married to each other at the time of the survey. Respondent</w:t>
            </w:r>
            <w:r w:rsidR="00432AFB" w:rsidRPr="005B561C">
              <w:rPr>
                <w:rFonts w:ascii="Times New Roman" w:hAnsi="Times New Roman" w:cs="Times New Roman"/>
                <w:sz w:val="16"/>
                <w:szCs w:val="16"/>
              </w:rPr>
              <w:t>s</w:t>
            </w:r>
            <w:r w:rsidRPr="005B561C">
              <w:rPr>
                <w:rFonts w:ascii="Times New Roman" w:hAnsi="Times New Roman" w:cs="Times New Roman"/>
                <w:sz w:val="16"/>
                <w:szCs w:val="16"/>
              </w:rPr>
              <w:t xml:space="preserve"> answering yes were coded as 1, respondents answering no were coded as 0. </w:t>
            </w:r>
          </w:p>
        </w:tc>
      </w:tr>
      <w:tr w:rsidR="008B04E6" w:rsidRPr="005B561C" w14:paraId="19162C3E" w14:textId="77777777" w:rsidTr="002427FF">
        <w:trPr>
          <w:trHeight w:val="181"/>
        </w:trPr>
        <w:tc>
          <w:tcPr>
            <w:tcW w:w="2875" w:type="dxa"/>
          </w:tcPr>
          <w:p w14:paraId="62A6DE9A"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Bio Parents Cohabiting</w:t>
            </w:r>
          </w:p>
        </w:tc>
        <w:tc>
          <w:tcPr>
            <w:tcW w:w="8153" w:type="dxa"/>
          </w:tcPr>
          <w:p w14:paraId="36B6ACF6" w14:textId="27A8CCA4"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 xml:space="preserve">In the demographic information section (Part VI) at the end of the survey, respondents answered whether their biological or birth parents were living together (but not married to each other) at the time of the survey. </w:t>
            </w:r>
            <w:r w:rsidR="00432AFB" w:rsidRPr="005B561C">
              <w:rPr>
                <w:rFonts w:ascii="Times New Roman" w:hAnsi="Times New Roman" w:cs="Times New Roman"/>
                <w:sz w:val="16"/>
                <w:szCs w:val="16"/>
              </w:rPr>
              <w:t>Respondents</w:t>
            </w:r>
            <w:r w:rsidRPr="005B561C">
              <w:rPr>
                <w:rFonts w:ascii="Times New Roman" w:hAnsi="Times New Roman" w:cs="Times New Roman"/>
                <w:sz w:val="16"/>
                <w:szCs w:val="16"/>
              </w:rPr>
              <w:t xml:space="preserve"> answering yes were coded as 1, respondents answering no were coded as 0. </w:t>
            </w:r>
          </w:p>
        </w:tc>
      </w:tr>
      <w:tr w:rsidR="008B04E6" w:rsidRPr="005B561C" w14:paraId="299380C8" w14:textId="77777777" w:rsidTr="002427FF">
        <w:trPr>
          <w:trHeight w:val="181"/>
        </w:trPr>
        <w:tc>
          <w:tcPr>
            <w:tcW w:w="2875" w:type="dxa"/>
          </w:tcPr>
          <w:p w14:paraId="02ABF5F5"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Bio Parent Immigrant</w:t>
            </w:r>
          </w:p>
        </w:tc>
        <w:tc>
          <w:tcPr>
            <w:tcW w:w="8153" w:type="dxa"/>
          </w:tcPr>
          <w:p w14:paraId="1A076AA8" w14:textId="5C44A798"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In the demographic information section (Part VI) at the end of the survey, respondents were asked, “Were both of your parents born in the United States?” If they answered no, they were coded as a 1; otherwise, they were coded as 0.</w:t>
            </w:r>
          </w:p>
        </w:tc>
      </w:tr>
      <w:tr w:rsidR="008B04E6" w:rsidRPr="005B561C" w14:paraId="0709467F" w14:textId="77777777" w:rsidTr="002427FF">
        <w:trPr>
          <w:trHeight w:val="181"/>
        </w:trPr>
        <w:tc>
          <w:tcPr>
            <w:tcW w:w="2875" w:type="dxa"/>
          </w:tcPr>
          <w:p w14:paraId="1AC049A8"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Maternal Education</w:t>
            </w:r>
          </w:p>
        </w:tc>
        <w:tc>
          <w:tcPr>
            <w:tcW w:w="8153" w:type="dxa"/>
          </w:tcPr>
          <w:p w14:paraId="5DD67311" w14:textId="383F0E96"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 xml:space="preserve">In the demographic information section (Part VI) at the end of the survey, respondents were asked, “What is your mother’s highest level of education? If you are unsure, please provide your best guess” </w:t>
            </w:r>
            <w:r w:rsidR="00DE2AD2" w:rsidRPr="005B561C">
              <w:rPr>
                <w:rFonts w:ascii="Times New Roman" w:hAnsi="Times New Roman" w:cs="Times New Roman"/>
                <w:sz w:val="16"/>
                <w:szCs w:val="16"/>
              </w:rPr>
              <w:t>R</w:t>
            </w:r>
            <w:r w:rsidRPr="005B561C">
              <w:rPr>
                <w:rFonts w:ascii="Times New Roman" w:hAnsi="Times New Roman" w:cs="Times New Roman"/>
                <w:sz w:val="16"/>
                <w:szCs w:val="16"/>
              </w:rPr>
              <w:t xml:space="preserve">esponse options </w:t>
            </w:r>
            <w:r w:rsidR="00DE2AD2" w:rsidRPr="005B561C">
              <w:rPr>
                <w:rFonts w:ascii="Times New Roman" w:hAnsi="Times New Roman" w:cs="Times New Roman"/>
                <w:sz w:val="16"/>
                <w:szCs w:val="16"/>
              </w:rPr>
              <w:t>included</w:t>
            </w:r>
            <w:r w:rsidRPr="005B561C">
              <w:rPr>
                <w:rFonts w:ascii="Times New Roman" w:hAnsi="Times New Roman" w:cs="Times New Roman"/>
                <w:sz w:val="16"/>
                <w:szCs w:val="16"/>
              </w:rPr>
              <w:t xml:space="preserve"> “less than high school”</w:t>
            </w:r>
            <w:r w:rsidR="00DE2AD2" w:rsidRPr="005B561C">
              <w:rPr>
                <w:rFonts w:ascii="Times New Roman" w:hAnsi="Times New Roman" w:cs="Times New Roman"/>
                <w:sz w:val="16"/>
                <w:szCs w:val="16"/>
              </w:rPr>
              <w:t xml:space="preserve">, “some high school but no diploma”, “High school graduate/GED”, “Trade of vocational training”, “some college”, “completed college”, “some graduate degree”, </w:t>
            </w:r>
            <w:r w:rsidRPr="005B561C">
              <w:rPr>
                <w:rFonts w:ascii="Times New Roman" w:hAnsi="Times New Roman" w:cs="Times New Roman"/>
                <w:sz w:val="16"/>
                <w:szCs w:val="16"/>
              </w:rPr>
              <w:t>“completed graduate degree”.</w:t>
            </w:r>
            <w:r w:rsidR="00DE2AD2" w:rsidRPr="005B561C">
              <w:rPr>
                <w:rFonts w:ascii="Times New Roman" w:hAnsi="Times New Roman" w:cs="Times New Roman"/>
                <w:sz w:val="16"/>
                <w:szCs w:val="16"/>
              </w:rPr>
              <w:t xml:space="preserve"> The final </w:t>
            </w:r>
            <w:proofErr w:type="gramStart"/>
            <w:r w:rsidR="00DE2AD2" w:rsidRPr="005B561C">
              <w:rPr>
                <w:rFonts w:ascii="Times New Roman" w:hAnsi="Times New Roman" w:cs="Times New Roman"/>
                <w:sz w:val="16"/>
                <w:szCs w:val="16"/>
              </w:rPr>
              <w:t>item</w:t>
            </w:r>
            <w:proofErr w:type="gramEnd"/>
            <w:r w:rsidR="00DE2AD2" w:rsidRPr="005B561C">
              <w:rPr>
                <w:rFonts w:ascii="Times New Roman" w:hAnsi="Times New Roman" w:cs="Times New Roman"/>
                <w:sz w:val="16"/>
                <w:szCs w:val="16"/>
              </w:rPr>
              <w:t xml:space="preserve"> ranged from 1-8. </w:t>
            </w:r>
          </w:p>
        </w:tc>
      </w:tr>
      <w:tr w:rsidR="008B04E6" w:rsidRPr="005B561C" w14:paraId="502CC19E" w14:textId="77777777" w:rsidTr="002427FF">
        <w:trPr>
          <w:trHeight w:val="166"/>
        </w:trPr>
        <w:tc>
          <w:tcPr>
            <w:tcW w:w="2875" w:type="dxa"/>
          </w:tcPr>
          <w:p w14:paraId="09E21828" w14:textId="77777777" w:rsidR="008B04E6" w:rsidRPr="005B561C" w:rsidRDefault="008B04E6" w:rsidP="002427FF">
            <w:pPr>
              <w:rPr>
                <w:rFonts w:ascii="Times New Roman" w:hAnsi="Times New Roman" w:cs="Times New Roman"/>
                <w:sz w:val="16"/>
                <w:szCs w:val="16"/>
              </w:rPr>
            </w:pPr>
            <w:r w:rsidRPr="005B561C">
              <w:rPr>
                <w:rFonts w:ascii="Times New Roman" w:hAnsi="Times New Roman" w:cs="Times New Roman"/>
                <w:sz w:val="16"/>
                <w:szCs w:val="16"/>
              </w:rPr>
              <w:t>Household Size</w:t>
            </w:r>
          </w:p>
        </w:tc>
        <w:tc>
          <w:tcPr>
            <w:tcW w:w="8153" w:type="dxa"/>
          </w:tcPr>
          <w:p w14:paraId="41C57BD7" w14:textId="2B73BDFA" w:rsidR="008B04E6" w:rsidRPr="005B561C" w:rsidRDefault="00DE2AD2" w:rsidP="002427FF">
            <w:pPr>
              <w:rPr>
                <w:rFonts w:ascii="Times New Roman" w:hAnsi="Times New Roman" w:cs="Times New Roman"/>
                <w:sz w:val="16"/>
                <w:szCs w:val="16"/>
              </w:rPr>
            </w:pPr>
            <w:r w:rsidRPr="005B561C">
              <w:rPr>
                <w:rFonts w:ascii="Times New Roman" w:hAnsi="Times New Roman" w:cs="Times New Roman"/>
                <w:sz w:val="16"/>
                <w:szCs w:val="16"/>
              </w:rPr>
              <w:t>Youth were asked how many people (including them) live in their current household. Response options range from 1 (1) to more than 10 (10).</w:t>
            </w:r>
          </w:p>
        </w:tc>
      </w:tr>
    </w:tbl>
    <w:p w14:paraId="5A45C12F" w14:textId="7D4C3F42" w:rsidR="004F17DC" w:rsidRPr="00C47CD3" w:rsidRDefault="004F17DC" w:rsidP="00C47CD3">
      <w:pPr>
        <w:rPr>
          <w:rFonts w:ascii="Times New Roman" w:hAnsi="Times New Roman" w:cs="Times New Roman"/>
          <w:sz w:val="16"/>
          <w:szCs w:val="16"/>
        </w:rPr>
      </w:pPr>
    </w:p>
    <w:sectPr w:rsidR="004F17DC" w:rsidRPr="00C47CD3" w:rsidSect="00B51DF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6EFE" w14:textId="77777777" w:rsidR="00A7080C" w:rsidRDefault="00A7080C" w:rsidP="00B13387">
      <w:pPr>
        <w:spacing w:after="0" w:line="240" w:lineRule="auto"/>
      </w:pPr>
      <w:r>
        <w:separator/>
      </w:r>
    </w:p>
  </w:endnote>
  <w:endnote w:type="continuationSeparator" w:id="0">
    <w:p w14:paraId="67A44E24" w14:textId="77777777" w:rsidR="00A7080C" w:rsidRDefault="00A7080C" w:rsidP="00B1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932B" w14:textId="77777777" w:rsidR="00A7080C" w:rsidRDefault="00A7080C" w:rsidP="00B13387">
      <w:pPr>
        <w:spacing w:after="0" w:line="240" w:lineRule="auto"/>
      </w:pPr>
      <w:r>
        <w:separator/>
      </w:r>
    </w:p>
  </w:footnote>
  <w:footnote w:type="continuationSeparator" w:id="0">
    <w:p w14:paraId="608317FD" w14:textId="77777777" w:rsidR="00A7080C" w:rsidRDefault="00A7080C" w:rsidP="00B13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A5BF" w14:textId="23D1D979" w:rsidR="00B13387" w:rsidRPr="00B13387" w:rsidRDefault="00B13387" w:rsidP="00B13387">
    <w:pPr>
      <w:pStyle w:val="Header"/>
      <w:jc w:val="center"/>
      <w:rPr>
        <w:rFonts w:ascii="Times New Roman" w:hAnsi="Times New Roman" w:cs="Times New Roman"/>
        <w:sz w:val="24"/>
        <w:szCs w:val="24"/>
      </w:rPr>
    </w:pPr>
    <w:r w:rsidRPr="00B13387">
      <w:rPr>
        <w:rFonts w:ascii="Times New Roman" w:hAnsi="Times New Roman" w:cs="Times New Roman"/>
        <w:sz w:val="24"/>
        <w:szCs w:val="24"/>
      </w:rPr>
      <w:t xml:space="preserve">Appendix: Measurement of Study </w:t>
    </w:r>
    <w:r w:rsidR="00C47CD3">
      <w:rPr>
        <w:rFonts w:ascii="Times New Roman" w:hAnsi="Times New Roman" w:cs="Times New Roman"/>
        <w:sz w:val="24"/>
        <w:szCs w:val="24"/>
      </w:rPr>
      <w:t>Covariates</w:t>
    </w:r>
  </w:p>
  <w:p w14:paraId="12D7815C" w14:textId="77777777" w:rsidR="00B13387" w:rsidRDefault="00B13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41795"/>
    <w:multiLevelType w:val="hybridMultilevel"/>
    <w:tmpl w:val="2A36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366B4"/>
    <w:multiLevelType w:val="hybridMultilevel"/>
    <w:tmpl w:val="E726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523148">
    <w:abstractNumId w:val="0"/>
  </w:num>
  <w:num w:numId="2" w16cid:durableId="199382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7"/>
    <w:rsid w:val="000019D3"/>
    <w:rsid w:val="00182DAE"/>
    <w:rsid w:val="001F0A8B"/>
    <w:rsid w:val="002427FF"/>
    <w:rsid w:val="002C6199"/>
    <w:rsid w:val="0036280C"/>
    <w:rsid w:val="00432AFB"/>
    <w:rsid w:val="004F17DC"/>
    <w:rsid w:val="00542A98"/>
    <w:rsid w:val="00594D7F"/>
    <w:rsid w:val="005B561C"/>
    <w:rsid w:val="006373E7"/>
    <w:rsid w:val="0069033D"/>
    <w:rsid w:val="006F6F7C"/>
    <w:rsid w:val="007A5A74"/>
    <w:rsid w:val="008B04E6"/>
    <w:rsid w:val="008C7EB7"/>
    <w:rsid w:val="008D7E05"/>
    <w:rsid w:val="0098158A"/>
    <w:rsid w:val="00A7080C"/>
    <w:rsid w:val="00A845D8"/>
    <w:rsid w:val="00B13387"/>
    <w:rsid w:val="00B51DFA"/>
    <w:rsid w:val="00BF45AF"/>
    <w:rsid w:val="00C47CD3"/>
    <w:rsid w:val="00C66269"/>
    <w:rsid w:val="00C847D4"/>
    <w:rsid w:val="00D17E90"/>
    <w:rsid w:val="00D755A2"/>
    <w:rsid w:val="00DD2147"/>
    <w:rsid w:val="00DE2AD2"/>
    <w:rsid w:val="00E0606C"/>
    <w:rsid w:val="00F31E76"/>
    <w:rsid w:val="00FC2474"/>
    <w:rsid w:val="00FF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E58F"/>
  <w15:chartTrackingRefBased/>
  <w15:docId w15:val="{FE4918F2-C962-401B-A6C9-1163E894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387"/>
  </w:style>
  <w:style w:type="paragraph" w:styleId="Footer">
    <w:name w:val="footer"/>
    <w:basedOn w:val="Normal"/>
    <w:link w:val="FooterChar"/>
    <w:uiPriority w:val="99"/>
    <w:unhideWhenUsed/>
    <w:rsid w:val="00B13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387"/>
  </w:style>
  <w:style w:type="paragraph" w:styleId="ListParagraph">
    <w:name w:val="List Paragraph"/>
    <w:basedOn w:val="Normal"/>
    <w:uiPriority w:val="34"/>
    <w:qFormat/>
    <w:rsid w:val="00B1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Jackson</dc:creator>
  <cp:keywords/>
  <dc:description/>
  <cp:lastModifiedBy>Dylan Jackson</cp:lastModifiedBy>
  <cp:revision>3</cp:revision>
  <dcterms:created xsi:type="dcterms:W3CDTF">2025-02-11T22:06:00Z</dcterms:created>
  <dcterms:modified xsi:type="dcterms:W3CDTF">2025-02-11T22:14:00Z</dcterms:modified>
</cp:coreProperties>
</file>