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BA46ED" w14:textId="77777777" w:rsidR="008A06C2" w:rsidRPr="00F20282" w:rsidRDefault="008A06C2" w:rsidP="008A06C2">
      <w:pPr>
        <w:pStyle w:val="Caption"/>
        <w:keepNext/>
        <w:spacing w:after="0" w:line="360" w:lineRule="auto"/>
        <w:ind w:right="48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F2028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Table VI: </w:t>
      </w:r>
      <w:r w:rsidRPr="00F2028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Analysis of the Strengths and Weaknesses of Disease Management Systems with Epidemic Potential in Guinea in 2024</w:t>
      </w:r>
      <w:r w:rsidRPr="00F2028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.</w:t>
      </w:r>
    </w:p>
    <w:tbl>
      <w:tblPr>
        <w:tblStyle w:val="TableGrid"/>
        <w:tblW w:w="9419" w:type="dxa"/>
        <w:jc w:val="center"/>
        <w:tblInd w:w="0" w:type="dxa"/>
        <w:tblCellMar>
          <w:top w:w="56" w:type="dxa"/>
          <w:right w:w="60" w:type="dxa"/>
        </w:tblCellMar>
        <w:tblLook w:val="04A0" w:firstRow="1" w:lastRow="0" w:firstColumn="1" w:lastColumn="0" w:noHBand="0" w:noVBand="1"/>
      </w:tblPr>
      <w:tblGrid>
        <w:gridCol w:w="2127"/>
        <w:gridCol w:w="4252"/>
        <w:gridCol w:w="3040"/>
      </w:tblGrid>
      <w:tr w:rsidR="008A06C2" w:rsidRPr="00DC269F" w14:paraId="68595529" w14:textId="77777777" w:rsidTr="007C33FA">
        <w:trPr>
          <w:trHeight w:val="452"/>
          <w:jc w:val="center"/>
        </w:trPr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E3FF6CC" w14:textId="77777777" w:rsidR="008A06C2" w:rsidRPr="00DC269F" w:rsidRDefault="008A06C2" w:rsidP="007C33FA">
            <w:pPr>
              <w:spacing w:after="0" w:line="259" w:lineRule="auto"/>
              <w:ind w:left="122" w:right="0" w:firstLine="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53FA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Components</w:t>
            </w:r>
            <w:r w:rsidRPr="00DC269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6EBBDF6" w14:textId="77777777" w:rsidR="008A06C2" w:rsidRPr="00DC269F" w:rsidRDefault="008A06C2" w:rsidP="007C33FA">
            <w:pPr>
              <w:spacing w:after="0" w:line="259" w:lineRule="auto"/>
              <w:ind w:left="0" w:right="0" w:firstLin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53FA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Strengths</w:t>
            </w:r>
          </w:p>
        </w:tc>
        <w:tc>
          <w:tcPr>
            <w:tcW w:w="30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CE355A4" w14:textId="77777777" w:rsidR="008A06C2" w:rsidRPr="00DC269F" w:rsidRDefault="008A06C2" w:rsidP="007C33FA">
            <w:pPr>
              <w:spacing w:after="0" w:line="259" w:lineRule="auto"/>
              <w:ind w:left="0" w:right="0" w:firstLin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53FA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Weaknesses</w:t>
            </w:r>
          </w:p>
        </w:tc>
      </w:tr>
      <w:tr w:rsidR="008A06C2" w:rsidRPr="00F23EE2" w14:paraId="0AE041C1" w14:textId="77777777" w:rsidTr="007C33FA">
        <w:trPr>
          <w:trHeight w:val="410"/>
          <w:jc w:val="center"/>
        </w:trPr>
        <w:tc>
          <w:tcPr>
            <w:tcW w:w="212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624E4FA" w14:textId="77777777" w:rsidR="008A06C2" w:rsidRPr="00111BE8" w:rsidRDefault="008A06C2" w:rsidP="007C33FA">
            <w:pPr>
              <w:spacing w:after="0" w:line="259" w:lineRule="auto"/>
              <w:ind w:left="122" w:right="0" w:firstLine="0"/>
              <w:jc w:val="left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153FA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Structure (61%)</w:t>
            </w:r>
          </w:p>
        </w:tc>
        <w:tc>
          <w:tcPr>
            <w:tcW w:w="425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07137EB" w14:textId="77777777" w:rsidR="008A06C2" w:rsidRPr="00F20282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F2028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Availability of trained personnel for MPE management in CTEPIs and laboratories;</w:t>
            </w:r>
          </w:p>
          <w:p w14:paraId="627AF7D4" w14:textId="77777777" w:rsidR="008A06C2" w:rsidRPr="00F20282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F2028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Presence of an operational isolation site;</w:t>
            </w:r>
          </w:p>
          <w:p w14:paraId="22826878" w14:textId="77777777" w:rsidR="008A06C2" w:rsidRPr="00F20282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F2028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Availability of necessary medications and inputs in CTEPIs;</w:t>
            </w:r>
          </w:p>
          <w:p w14:paraId="7FEE7F02" w14:textId="77777777" w:rsidR="008A06C2" w:rsidRPr="00F20282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F2028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Existence of a laboratory dedicated to MPE diagnosis;</w:t>
            </w:r>
          </w:p>
          <w:p w14:paraId="7B8B7180" w14:textId="77777777" w:rsidR="008A06C2" w:rsidRPr="00F20282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F2028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Availability of rabies vaccines for dog bite cases;</w:t>
            </w:r>
          </w:p>
          <w:p w14:paraId="2F8E2C6B" w14:textId="77777777" w:rsidR="008A06C2" w:rsidRPr="00F20282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F2028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Availability of functional logistical means;</w:t>
            </w:r>
          </w:p>
          <w:p w14:paraId="7C4AD484" w14:textId="77777777" w:rsidR="008A06C2" w:rsidRPr="00F20282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F2028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Presence of energy and water sources in CTEPIs;</w:t>
            </w:r>
          </w:p>
          <w:p w14:paraId="5DC7CF60" w14:textId="77777777" w:rsidR="008A06C2" w:rsidRPr="00F20282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028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Availability of infection prevention and control (IPC) kits.</w:t>
            </w:r>
          </w:p>
        </w:tc>
        <w:tc>
          <w:tcPr>
            <w:tcW w:w="304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56B86CA" w14:textId="77777777" w:rsidR="008A06C2" w:rsidRPr="00F20282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381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0282">
              <w:rPr>
                <w:rFonts w:ascii="Times New Roman" w:eastAsia="Times New Roman" w:hAnsi="Times New Roman"/>
                <w:sz w:val="24"/>
                <w:szCs w:val="24"/>
              </w:rPr>
              <w:t>Insufficient personnel in CTEPIs;</w:t>
            </w:r>
          </w:p>
          <w:p w14:paraId="191EE953" w14:textId="77777777" w:rsidR="008A06C2" w:rsidRPr="00F20282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381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F2028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Lack of laboratory kits for MPE diagnosis;</w:t>
            </w:r>
          </w:p>
          <w:p w14:paraId="51E9C4E2" w14:textId="77777777" w:rsidR="008A06C2" w:rsidRPr="00F20282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381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F2028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Absence of dedicated funding for management activities;</w:t>
            </w:r>
          </w:p>
          <w:p w14:paraId="1032E0A1" w14:textId="77777777" w:rsidR="008A06C2" w:rsidRPr="00F20282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381" w:right="0" w:hanging="284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028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Unavailability of antivenom serum for snakebite cases.</w:t>
            </w:r>
          </w:p>
        </w:tc>
      </w:tr>
      <w:tr w:rsidR="008A06C2" w:rsidRPr="00F23EE2" w14:paraId="0F16EA5D" w14:textId="77777777" w:rsidTr="007C33FA">
        <w:trPr>
          <w:trHeight w:val="460"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vAlign w:val="center"/>
          </w:tcPr>
          <w:p w14:paraId="5847449B" w14:textId="77777777" w:rsidR="008A06C2" w:rsidRPr="00111BE8" w:rsidRDefault="008A06C2" w:rsidP="007C33FA">
            <w:pPr>
              <w:spacing w:after="0" w:line="259" w:lineRule="auto"/>
              <w:ind w:left="122" w:right="0" w:firstLine="0"/>
              <w:jc w:val="left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153FA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Process (67%)</w:t>
            </w:r>
          </w:p>
        </w:tc>
        <w:tc>
          <w:tcPr>
            <w:tcW w:w="4252" w:type="dxa"/>
            <w:tcBorders>
              <w:top w:val="nil"/>
              <w:left w:val="nil"/>
              <w:right w:val="nil"/>
            </w:tcBorders>
          </w:tcPr>
          <w:p w14:paraId="411FD0B1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Good participation in the management of epidemic-prone diseases (MPE);</w:t>
            </w:r>
          </w:p>
          <w:p w14:paraId="7C95DCBB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Good participation in MPE surveillance;</w:t>
            </w:r>
          </w:p>
          <w:p w14:paraId="1C41E83F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Good participation in MPE management meetings;</w:t>
            </w:r>
          </w:p>
          <w:p w14:paraId="27778B89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Good participation in crisis meetings;</w:t>
            </w:r>
          </w:p>
          <w:p w14:paraId="3030C7A9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Average contribution to vaccination activities for MPEs;</w:t>
            </w:r>
          </w:p>
          <w:p w14:paraId="5A685D68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Good participation in investigations around cases;</w:t>
            </w:r>
          </w:p>
          <w:p w14:paraId="70D455C4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Existence of case reporting mechanisms;</w:t>
            </w:r>
          </w:p>
          <w:p w14:paraId="1CEB2B21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Good involvement of local actors in MPE surveillance and investigation activities around confirmed cases;</w:t>
            </w:r>
          </w:p>
          <w:p w14:paraId="04E24C43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Participation in reporting health information;</w:t>
            </w:r>
          </w:p>
          <w:p w14:paraId="78944D73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lastRenderedPageBreak/>
              <w:t>Good involvement in community awareness for MPE prevention and management;</w:t>
            </w:r>
          </w:p>
          <w:p w14:paraId="6C6C2DEF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Good involvement in monitoring contacts of diagnosed MPE patients. </w:t>
            </w:r>
          </w:p>
        </w:tc>
        <w:tc>
          <w:tcPr>
            <w:tcW w:w="3040" w:type="dxa"/>
            <w:tcBorders>
              <w:top w:val="nil"/>
              <w:left w:val="nil"/>
              <w:right w:val="nil"/>
            </w:tcBorders>
          </w:tcPr>
          <w:p w14:paraId="0D2B1F17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381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lastRenderedPageBreak/>
              <w:t>Low contribution of local actors to training and supervision;</w:t>
            </w:r>
          </w:p>
          <w:p w14:paraId="4A54732C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381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Low involvement of local actors in the development of training and supervision plans;</w:t>
            </w:r>
          </w:p>
          <w:p w14:paraId="24D33335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381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Low participation of local actors in writing protocols and other SOPs (standard operating procedures);</w:t>
            </w:r>
          </w:p>
          <w:p w14:paraId="55603206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381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Low participation of local actors in continuity of care plans for cured patients with complications;</w:t>
            </w:r>
          </w:p>
          <w:p w14:paraId="666BEBBD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381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Low participation of local actors in developing input supply plans;</w:t>
            </w:r>
          </w:p>
          <w:p w14:paraId="553FB083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381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lastRenderedPageBreak/>
              <w:t>Low participation of local actors in developing CTEPI rehabilitation plans;</w:t>
            </w:r>
          </w:p>
          <w:p w14:paraId="07637F4A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381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Low participation of local actors in estimating response needs.</w:t>
            </w:r>
          </w:p>
        </w:tc>
      </w:tr>
      <w:tr w:rsidR="008A06C2" w:rsidRPr="00F23EE2" w14:paraId="669FC604" w14:textId="77777777" w:rsidTr="007C33FA">
        <w:trPr>
          <w:trHeight w:val="498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29B943" w14:textId="77777777" w:rsidR="008A06C2" w:rsidRPr="00111BE8" w:rsidRDefault="008A06C2" w:rsidP="007C33FA">
            <w:pPr>
              <w:spacing w:after="0" w:line="259" w:lineRule="auto"/>
              <w:ind w:left="122" w:right="0" w:firstLine="0"/>
              <w:jc w:val="left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153FA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lastRenderedPageBreak/>
              <w:t>Results (88%)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B54A7B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Improvement in MPE management indicators;</w:t>
            </w:r>
          </w:p>
          <w:p w14:paraId="79F7365C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Improvement in surveillance indicators in DHIS2;</w:t>
            </w:r>
          </w:p>
          <w:p w14:paraId="1BED53EC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Increase in the recovery rate of cases treated in CTEPIs;</w:t>
            </w:r>
          </w:p>
          <w:p w14:paraId="7AB938CE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Improvement in laboratory indicators;</w:t>
            </w:r>
          </w:p>
          <w:p w14:paraId="2EC54041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2" w:right="0" w:hanging="284"/>
              <w:jc w:val="lef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Higher patient satisfaction in MPE management.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3EDC8C" w14:textId="77777777" w:rsidR="008A06C2" w:rsidRPr="00153FA9" w:rsidRDefault="008A06C2" w:rsidP="008A06C2">
            <w:pPr>
              <w:pStyle w:val="ListParagraph"/>
              <w:numPr>
                <w:ilvl w:val="0"/>
                <w:numId w:val="1"/>
              </w:numPr>
              <w:spacing w:after="0" w:line="259" w:lineRule="auto"/>
              <w:ind w:left="455" w:right="0" w:hanging="284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53FA9">
              <w:rPr>
                <w:rFonts w:ascii="Times New Roman" w:hAnsi="Times New Roman"/>
                <w:sz w:val="24"/>
                <w:szCs w:val="24"/>
                <w:lang w:val="en-US"/>
              </w:rPr>
              <w:t>Increase in mortality related to envenomations caused by snakebites.</w:t>
            </w:r>
          </w:p>
        </w:tc>
      </w:tr>
    </w:tbl>
    <w:p w14:paraId="1A7C7B85" w14:textId="77777777" w:rsidR="008A06C2" w:rsidRPr="00F23EE2" w:rsidRDefault="008A06C2" w:rsidP="008A06C2">
      <w:pPr>
        <w:spacing w:after="0" w:line="259" w:lineRule="auto"/>
        <w:ind w:left="32" w:right="0" w:firstLine="0"/>
        <w:jc w:val="left"/>
        <w:rPr>
          <w:rFonts w:ascii="Times New Roman" w:hAnsi="Times New Roman" w:cs="Times New Roman"/>
          <w:color w:val="auto"/>
          <w:sz w:val="20"/>
          <w:szCs w:val="20"/>
          <w:lang w:val="en-US"/>
        </w:rPr>
      </w:pPr>
      <w:r w:rsidRPr="00F23EE2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CTEPI: </w:t>
      </w:r>
      <w:r w:rsidRPr="00F23EE2">
        <w:rPr>
          <w:rFonts w:ascii="Times New Roman" w:hAnsi="Times New Roman" w:cs="Times New Roman"/>
          <w:color w:val="auto"/>
          <w:sz w:val="20"/>
          <w:szCs w:val="20"/>
          <w:lang w:val="en-US"/>
        </w:rPr>
        <w:t xml:space="preserve">Epidemic Treatment Center   </w:t>
      </w:r>
    </w:p>
    <w:p w14:paraId="7E7666D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05559"/>
    <w:multiLevelType w:val="hybridMultilevel"/>
    <w:tmpl w:val="0F4EA348"/>
    <w:lvl w:ilvl="0" w:tplc="040C0005">
      <w:start w:val="1"/>
      <w:numFmt w:val="bullet"/>
      <w:lvlText w:val=""/>
      <w:lvlJc w:val="left"/>
      <w:pPr>
        <w:ind w:left="99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53" w:hanging="360"/>
      </w:pPr>
      <w:rPr>
        <w:rFonts w:ascii="Wingdings" w:hAnsi="Wingdings" w:hint="default"/>
      </w:rPr>
    </w:lvl>
  </w:abstractNum>
  <w:num w:numId="1" w16cid:durableId="2054963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6C2"/>
    <w:rsid w:val="00331A6B"/>
    <w:rsid w:val="00755780"/>
    <w:rsid w:val="00857596"/>
    <w:rsid w:val="008A06C2"/>
    <w:rsid w:val="00C025DD"/>
    <w:rsid w:val="00F0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C44A6"/>
  <w15:chartTrackingRefBased/>
  <w15:docId w15:val="{9DBBFDCD-5B88-4923-8538-343BC0676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6C2"/>
    <w:pPr>
      <w:spacing w:after="3" w:line="361" w:lineRule="auto"/>
      <w:ind w:left="42" w:right="536" w:hanging="10"/>
      <w:jc w:val="both"/>
    </w:pPr>
    <w:rPr>
      <w:rFonts w:ascii="Candara" w:eastAsia="Candara" w:hAnsi="Candara" w:cs="Candara"/>
      <w:color w:val="000000"/>
      <w:sz w:val="22"/>
      <w:szCs w:val="22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0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0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0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0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0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06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06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06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06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0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0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0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0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0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0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0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0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0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06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0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0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0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0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06C2"/>
    <w:rPr>
      <w:i/>
      <w:iCs/>
      <w:color w:val="404040" w:themeColor="text1" w:themeTint="BF"/>
    </w:rPr>
  </w:style>
  <w:style w:type="paragraph" w:styleId="ListParagraph">
    <w:name w:val="List Paragraph"/>
    <w:aliases w:val="References,Paragraphe de liste1,List Paragraph1,Liste couleur - Accent 11,Liste couleur - Accent 111,Paragraphe de liste3,List Paragraph2,Titre1,Bullets,List Paragraph nowy,Numbered List Paragraph,Text,Citation List"/>
    <w:basedOn w:val="Normal"/>
    <w:link w:val="ListParagraphChar"/>
    <w:uiPriority w:val="34"/>
    <w:qFormat/>
    <w:rsid w:val="008A0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0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0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0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06C2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8A06C2"/>
    <w:pPr>
      <w:spacing w:after="0" w:line="240" w:lineRule="auto"/>
    </w:pPr>
    <w:rPr>
      <w:rFonts w:eastAsiaTheme="minorEastAsia"/>
      <w:sz w:val="22"/>
      <w:szCs w:val="22"/>
      <w:lang w:val="fr-FR"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ListParagraphChar">
    <w:name w:val="List Paragraph Char"/>
    <w:aliases w:val="References Char,Paragraphe de liste1 Char,List Paragraph1 Char,Liste couleur - Accent 11 Char,Liste couleur - Accent 111 Char,Paragraphe de liste3 Char,List Paragraph2 Char,Titre1 Char,Bullets Char,List Paragraph nowy Char,Text Char"/>
    <w:link w:val="ListParagraph"/>
    <w:uiPriority w:val="34"/>
    <w:locked/>
    <w:rsid w:val="008A06C2"/>
  </w:style>
  <w:style w:type="paragraph" w:styleId="Caption">
    <w:name w:val="caption"/>
    <w:basedOn w:val="Normal"/>
    <w:next w:val="Normal"/>
    <w:uiPriority w:val="35"/>
    <w:unhideWhenUsed/>
    <w:qFormat/>
    <w:rsid w:val="008A06C2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354</Words>
  <Characters>2024</Characters>
  <Application>Microsoft Office Word</Application>
  <DocSecurity>0</DocSecurity>
  <Lines>16</Lines>
  <Paragraphs>4</Paragraphs>
  <ScaleCrop>false</ScaleCrop>
  <Company>Springer Nature</Company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2025-04-10T06:33:00Z</dcterms:created>
  <dcterms:modified xsi:type="dcterms:W3CDTF">2025-04-10T06:33:00Z</dcterms:modified>
</cp:coreProperties>
</file>