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2F85" w:rsidRDefault="00BE2F85" w:rsidP="00BE2F85">
      <w:pPr>
        <w:spacing w:line="480" w:lineRule="auto"/>
        <w:rPr>
          <w:lang w:val="en-US"/>
        </w:rPr>
      </w:pPr>
      <w:r>
        <w:rPr>
          <w:b/>
          <w:bCs/>
          <w:lang w:val="en-US"/>
        </w:rPr>
        <w:t xml:space="preserve">Additional file 1 </w:t>
      </w:r>
      <w:r w:rsidRPr="002C6398">
        <w:rPr>
          <w:lang w:val="en-US"/>
        </w:rPr>
        <w:t>detailed methods and results of validation</w:t>
      </w:r>
    </w:p>
    <w:p w:rsidR="00BE2F85" w:rsidRDefault="00BE2F85" w:rsidP="00BE2F85">
      <w:pPr>
        <w:spacing w:line="276" w:lineRule="auto"/>
        <w:jc w:val="both"/>
        <w:rPr>
          <w:rFonts w:eastAsia="Microsoft YaHei"/>
          <w:color w:val="000000" w:themeColor="text1"/>
          <w:lang w:val="en-US"/>
        </w:rPr>
      </w:pPr>
      <w:r>
        <w:rPr>
          <w:rFonts w:eastAsia="Microsoft YaHei"/>
          <w:color w:val="000000" w:themeColor="text1"/>
          <w:lang w:val="en-US"/>
        </w:rPr>
        <w:t>Included to the Jet-iStar 800 is test device, detection buffer and calibration curve. Test device consists of HBP monoclonal antibody, goat anti-rabbit IgG and a nitrocellulose membrane found on the reaction plate. The detection buffer is pre-aliquoted in tubes containing 0.15mL fluorescently labeled HBP monoclonal antibody, fluorescently labeled rabbit IgG and phosphate buffer (</w:t>
      </w:r>
      <w:r w:rsidRPr="00F7702F">
        <w:rPr>
          <w:rFonts w:eastAsia="Microsoft YaHei"/>
          <w:color w:val="000000" w:themeColor="text1"/>
          <w:lang w:val="en-US"/>
        </w:rPr>
        <w:t>pH 7.4). For calibrating the kit, only the provided calibration curve found as a QR code is necessary.</w:t>
      </w:r>
    </w:p>
    <w:p w:rsidR="00BE2F85" w:rsidRDefault="00BE2F85" w:rsidP="00BE2F85">
      <w:pPr>
        <w:spacing w:line="276" w:lineRule="auto"/>
        <w:jc w:val="both"/>
        <w:rPr>
          <w:rFonts w:eastAsia="Microsoft YaHei"/>
          <w:color w:val="000000" w:themeColor="text1"/>
          <w:lang w:val="en-US"/>
        </w:rPr>
      </w:pPr>
      <w:r>
        <w:rPr>
          <w:rFonts w:eastAsia="Microsoft YaHei"/>
          <w:color w:val="000000" w:themeColor="text1"/>
          <w:lang w:val="en-US"/>
        </w:rPr>
        <w:t>Before analyzing the plasma samples all reagents should be equilibrated to room temperature. Following, 50</w:t>
      </w:r>
      <w:r>
        <w:rPr>
          <w:rFonts w:ascii="Symbol" w:eastAsia="Symbol" w:hAnsi="Symbol" w:cs="Symbol"/>
          <w:color w:val="000000" w:themeColor="text1"/>
          <w:lang w:val="en-US"/>
        </w:rPr>
        <w:t></w:t>
      </w:r>
      <w:r>
        <w:rPr>
          <w:rFonts w:eastAsia="Microsoft YaHei"/>
          <w:color w:val="000000" w:themeColor="text1"/>
          <w:lang w:val="en-US"/>
        </w:rPr>
        <w:t>L of homogenized plasma was pipetted into the detection buffer tube and thoroughly mixed by inverting. From the detection buffer tube 100</w:t>
      </w:r>
      <w:r>
        <w:rPr>
          <w:rFonts w:ascii="Symbol" w:eastAsia="Symbol" w:hAnsi="Symbol" w:cs="Symbol"/>
          <w:color w:val="000000" w:themeColor="text1"/>
          <w:lang w:val="en-US"/>
        </w:rPr>
        <w:t></w:t>
      </w:r>
      <w:r>
        <w:rPr>
          <w:rFonts w:eastAsia="Microsoft YaHei"/>
          <w:color w:val="000000" w:themeColor="text1"/>
          <w:lang w:val="en-US"/>
        </w:rPr>
        <w:t xml:space="preserve">L of mixture was added vertically to the well of the reaction plate. Mixture was set for incubation for 18 min. During incubation the mixture diffuses into the nitrocellulose membrane by capillary action and is captured by the paired antibody immobilized by the membrane. Prior to inserting the reaction plate into the machine, the QR code should be scanned and the project- and product basic information should be confirmed. On the screen of the Jet-iStar 800 the sample type is selected, and the reading starts by clicking on the </w:t>
      </w:r>
      <w:r w:rsidRPr="00A912C9">
        <w:rPr>
          <w:rFonts w:eastAsia="Microsoft YaHei"/>
          <w:i/>
          <w:iCs/>
          <w:color w:val="000000" w:themeColor="text1"/>
          <w:lang w:val="en-US"/>
        </w:rPr>
        <w:t>Quick test</w:t>
      </w:r>
      <w:r>
        <w:rPr>
          <w:rFonts w:eastAsia="Microsoft YaHei"/>
          <w:i/>
          <w:iCs/>
          <w:color w:val="000000" w:themeColor="text1"/>
          <w:lang w:val="en-US"/>
        </w:rPr>
        <w:t xml:space="preserve"> button. </w:t>
      </w:r>
      <w:r>
        <w:rPr>
          <w:rFonts w:eastAsia="Microsoft YaHei"/>
          <w:color w:val="000000" w:themeColor="text1"/>
          <w:lang w:val="en-US"/>
        </w:rPr>
        <w:t xml:space="preserve">The intensity of the fluorescent antibody reflects the amount of antigen captured and the HBP concentration found in the plasma sample is determined by immunoassay analysis. The Jet-iStar 800 analyzer instant report detected concentration for each sample in the range between 5.90ng/mL- 300.00 ng/mL HBP. Multiple drugs have been tested for interference with the Jet-iStar 800, many of which show no obvious effect on the test results at tested concentrations. However, some interference was found when analyzing hemoglobin (4.0mg/mL), Triglyceride (8.5mg/mL) and Bilirubin (0.2mg/mL). </w:t>
      </w:r>
    </w:p>
    <w:p w:rsidR="00BE2F85" w:rsidRDefault="00BE2F85" w:rsidP="00BE2F85">
      <w:pPr>
        <w:spacing w:line="276" w:lineRule="auto"/>
        <w:jc w:val="both"/>
        <w:rPr>
          <w:rFonts w:eastAsia="Microsoft YaHei"/>
          <w:color w:val="000000" w:themeColor="text1"/>
          <w:lang w:val="en-US"/>
        </w:rPr>
      </w:pPr>
    </w:p>
    <w:p w:rsidR="00A76C17" w:rsidRPr="00DC69E0" w:rsidRDefault="00BE2F85" w:rsidP="00A76C17">
      <w:pPr>
        <w:spacing w:line="480" w:lineRule="auto"/>
        <w:rPr>
          <w:sz w:val="24"/>
          <w:szCs w:val="24"/>
          <w:lang w:val="en-US"/>
        </w:rPr>
      </w:pPr>
      <w:r>
        <w:rPr>
          <w:b/>
          <w:bCs/>
          <w:sz w:val="24"/>
          <w:szCs w:val="24"/>
          <w:lang w:val="en-US"/>
        </w:rPr>
        <w:t>Additional</w:t>
      </w:r>
      <w:r w:rsidR="00A76C17" w:rsidRPr="00DC69E0">
        <w:rPr>
          <w:b/>
          <w:bCs/>
          <w:sz w:val="24"/>
          <w:szCs w:val="24"/>
          <w:lang w:val="en-US"/>
        </w:rPr>
        <w:t xml:space="preserve"> table 1</w:t>
      </w:r>
      <w:r w:rsidR="00A76C17">
        <w:rPr>
          <w:b/>
          <w:bCs/>
          <w:sz w:val="24"/>
          <w:szCs w:val="24"/>
          <w:lang w:val="en-US"/>
        </w:rPr>
        <w:t>.</w:t>
      </w:r>
      <w:r w:rsidR="00A76C17" w:rsidRPr="00DC69E0">
        <w:rPr>
          <w:b/>
          <w:sz w:val="24"/>
          <w:szCs w:val="24"/>
          <w:lang w:val="en-US"/>
        </w:rPr>
        <w:t xml:space="preserve"> Validation of performance for Jet-iStar 800 point of care test for </w:t>
      </w:r>
      <w:r w:rsidR="00A76C17">
        <w:rPr>
          <w:b/>
          <w:sz w:val="24"/>
          <w:szCs w:val="24"/>
          <w:lang w:val="en-US"/>
        </w:rPr>
        <w:t xml:space="preserve">plasma </w:t>
      </w:r>
      <w:r w:rsidR="00A76C17" w:rsidRPr="00DC69E0">
        <w:rPr>
          <w:b/>
          <w:sz w:val="24"/>
          <w:szCs w:val="24"/>
          <w:lang w:val="en-US"/>
        </w:rPr>
        <w:t>HBP</w:t>
      </w:r>
    </w:p>
    <w:tbl>
      <w:tblPr>
        <w:tblStyle w:val="Tabellrutnt"/>
        <w:tblW w:w="9731" w:type="dxa"/>
        <w:tblLook w:val="04A0" w:firstRow="1" w:lastRow="0" w:firstColumn="1" w:lastColumn="0" w:noHBand="0" w:noVBand="1"/>
      </w:tblPr>
      <w:tblGrid>
        <w:gridCol w:w="2201"/>
        <w:gridCol w:w="1931"/>
        <w:gridCol w:w="5599"/>
      </w:tblGrid>
      <w:tr w:rsidR="00A76C17" w:rsidRPr="00BE2F85" w:rsidTr="004474E7">
        <w:trPr>
          <w:trHeight w:val="551"/>
        </w:trPr>
        <w:tc>
          <w:tcPr>
            <w:tcW w:w="2201" w:type="dxa"/>
          </w:tcPr>
          <w:p w:rsidR="00A76C17" w:rsidRPr="006B7448" w:rsidRDefault="00A76C17" w:rsidP="004474E7">
            <w:pPr>
              <w:spacing w:line="276" w:lineRule="auto"/>
              <w:jc w:val="both"/>
              <w:rPr>
                <w:b/>
                <w:bCs/>
                <w:lang w:val="en-US"/>
              </w:rPr>
            </w:pPr>
            <w:r w:rsidRPr="006B7448">
              <w:rPr>
                <w:b/>
                <w:bCs/>
                <w:lang w:val="en-US"/>
              </w:rPr>
              <w:t>Test item</w:t>
            </w:r>
          </w:p>
        </w:tc>
        <w:tc>
          <w:tcPr>
            <w:tcW w:w="1931" w:type="dxa"/>
          </w:tcPr>
          <w:p w:rsidR="00A76C17" w:rsidRPr="006B7448" w:rsidRDefault="00A76C17" w:rsidP="004474E7">
            <w:pPr>
              <w:spacing w:line="276" w:lineRule="auto"/>
              <w:jc w:val="both"/>
              <w:rPr>
                <w:b/>
                <w:bCs/>
                <w:lang w:val="en-US"/>
              </w:rPr>
            </w:pPr>
            <w:r w:rsidRPr="006B7448">
              <w:rPr>
                <w:b/>
                <w:bCs/>
                <w:lang w:val="en-US"/>
              </w:rPr>
              <w:t xml:space="preserve">Tested value </w:t>
            </w:r>
          </w:p>
        </w:tc>
        <w:tc>
          <w:tcPr>
            <w:tcW w:w="5599" w:type="dxa"/>
          </w:tcPr>
          <w:p w:rsidR="00A76C17" w:rsidRPr="006B7448" w:rsidRDefault="00A76C17" w:rsidP="004474E7">
            <w:pPr>
              <w:spacing w:line="276" w:lineRule="auto"/>
              <w:jc w:val="both"/>
              <w:rPr>
                <w:b/>
                <w:bCs/>
                <w:lang w:val="en-US"/>
              </w:rPr>
            </w:pPr>
            <w:r>
              <w:rPr>
                <w:b/>
                <w:bCs/>
                <w:lang w:val="en-US"/>
              </w:rPr>
              <w:t>Target</w:t>
            </w:r>
            <w:r w:rsidRPr="006B7448">
              <w:rPr>
                <w:b/>
                <w:bCs/>
                <w:lang w:val="en-US"/>
              </w:rPr>
              <w:t xml:space="preserve"> value</w:t>
            </w:r>
            <w:r>
              <w:rPr>
                <w:b/>
                <w:bCs/>
                <w:lang w:val="en-US"/>
              </w:rPr>
              <w:t xml:space="preserve"> according to the manufacturer</w:t>
            </w:r>
          </w:p>
        </w:tc>
      </w:tr>
      <w:tr w:rsidR="00A76C17" w:rsidRPr="00BE2F85" w:rsidTr="004474E7">
        <w:trPr>
          <w:trHeight w:val="554"/>
        </w:trPr>
        <w:tc>
          <w:tcPr>
            <w:tcW w:w="2201" w:type="dxa"/>
          </w:tcPr>
          <w:p w:rsidR="00A76C17" w:rsidRDefault="00A76C17" w:rsidP="004474E7">
            <w:pPr>
              <w:spacing w:line="276" w:lineRule="auto"/>
              <w:jc w:val="both"/>
              <w:rPr>
                <w:lang w:val="en-US"/>
              </w:rPr>
            </w:pPr>
            <w:r>
              <w:rPr>
                <w:lang w:val="en-US"/>
              </w:rPr>
              <w:t>Accuracy</w:t>
            </w:r>
          </w:p>
        </w:tc>
        <w:tc>
          <w:tcPr>
            <w:tcW w:w="1931" w:type="dxa"/>
          </w:tcPr>
          <w:p w:rsidR="00A76C17" w:rsidRDefault="00A76C17" w:rsidP="004474E7">
            <w:pPr>
              <w:spacing w:line="276" w:lineRule="auto"/>
              <w:jc w:val="both"/>
              <w:rPr>
                <w:lang w:val="en-US"/>
              </w:rPr>
            </w:pPr>
            <w:r>
              <w:rPr>
                <w:lang w:val="en-US"/>
              </w:rPr>
              <w:t>R= 100.75%</w:t>
            </w:r>
          </w:p>
        </w:tc>
        <w:tc>
          <w:tcPr>
            <w:tcW w:w="5599" w:type="dxa"/>
          </w:tcPr>
          <w:p w:rsidR="00A76C17" w:rsidRDefault="00A76C17" w:rsidP="004474E7">
            <w:pPr>
              <w:spacing w:line="276" w:lineRule="auto"/>
              <w:jc w:val="both"/>
              <w:rPr>
                <w:lang w:val="en-US"/>
              </w:rPr>
            </w:pPr>
            <w:r>
              <w:rPr>
                <w:lang w:val="en-US"/>
              </w:rPr>
              <w:t>Recovery rate (R) should be within the range 85-115%</w:t>
            </w:r>
          </w:p>
        </w:tc>
      </w:tr>
      <w:tr w:rsidR="00A76C17" w:rsidRPr="00BE2F85" w:rsidTr="004474E7">
        <w:trPr>
          <w:trHeight w:val="582"/>
        </w:trPr>
        <w:tc>
          <w:tcPr>
            <w:tcW w:w="2201" w:type="dxa"/>
          </w:tcPr>
          <w:p w:rsidR="00A76C17" w:rsidRDefault="00A76C17" w:rsidP="004474E7">
            <w:pPr>
              <w:spacing w:line="276" w:lineRule="auto"/>
              <w:jc w:val="both"/>
              <w:rPr>
                <w:lang w:val="en-US"/>
              </w:rPr>
            </w:pPr>
            <w:r>
              <w:rPr>
                <w:lang w:val="en-US"/>
              </w:rPr>
              <w:t>Lower detection limit</w:t>
            </w:r>
          </w:p>
        </w:tc>
        <w:tc>
          <w:tcPr>
            <w:tcW w:w="1931" w:type="dxa"/>
          </w:tcPr>
          <w:p w:rsidR="00A76C17" w:rsidRDefault="00A76C17" w:rsidP="004474E7">
            <w:pPr>
              <w:spacing w:line="276" w:lineRule="auto"/>
              <w:jc w:val="both"/>
              <w:rPr>
                <w:lang w:val="en-US"/>
              </w:rPr>
            </w:pPr>
            <w:r>
              <w:rPr>
                <w:lang w:val="en-US"/>
              </w:rPr>
              <w:t>LOD &lt;5.90ng/mL</w:t>
            </w:r>
          </w:p>
        </w:tc>
        <w:tc>
          <w:tcPr>
            <w:tcW w:w="5599" w:type="dxa"/>
          </w:tcPr>
          <w:p w:rsidR="00A76C17" w:rsidRDefault="00A76C17" w:rsidP="004474E7">
            <w:pPr>
              <w:spacing w:line="276" w:lineRule="auto"/>
              <w:jc w:val="both"/>
              <w:rPr>
                <w:lang w:val="en-US"/>
              </w:rPr>
            </w:pPr>
            <w:r>
              <w:rPr>
                <w:lang w:val="en-US"/>
              </w:rPr>
              <w:t>Lower limit of detection (LOD) should be &lt;5.90ng/mL</w:t>
            </w:r>
          </w:p>
        </w:tc>
      </w:tr>
      <w:tr w:rsidR="00A76C17" w:rsidTr="004474E7">
        <w:trPr>
          <w:trHeight w:val="551"/>
        </w:trPr>
        <w:tc>
          <w:tcPr>
            <w:tcW w:w="2201" w:type="dxa"/>
          </w:tcPr>
          <w:p w:rsidR="00A76C17" w:rsidRDefault="00A76C17" w:rsidP="004474E7">
            <w:pPr>
              <w:spacing w:line="276" w:lineRule="auto"/>
              <w:jc w:val="both"/>
              <w:rPr>
                <w:lang w:val="en-US"/>
              </w:rPr>
            </w:pPr>
            <w:r>
              <w:rPr>
                <w:lang w:val="en-US"/>
              </w:rPr>
              <w:t>Linearity</w:t>
            </w:r>
          </w:p>
        </w:tc>
        <w:tc>
          <w:tcPr>
            <w:tcW w:w="1931" w:type="dxa"/>
          </w:tcPr>
          <w:p w:rsidR="00A76C17" w:rsidRDefault="00A76C17" w:rsidP="004474E7">
            <w:pPr>
              <w:spacing w:line="276" w:lineRule="auto"/>
              <w:jc w:val="both"/>
              <w:rPr>
                <w:lang w:val="en-US"/>
              </w:rPr>
            </w:pPr>
            <w:r>
              <w:rPr>
                <w:lang w:val="en-US"/>
              </w:rPr>
              <w:t>r= 0.99</w:t>
            </w:r>
          </w:p>
        </w:tc>
        <w:tc>
          <w:tcPr>
            <w:tcW w:w="5599" w:type="dxa"/>
          </w:tcPr>
          <w:p w:rsidR="00A76C17" w:rsidRDefault="00A76C17" w:rsidP="004474E7">
            <w:pPr>
              <w:spacing w:line="276" w:lineRule="auto"/>
              <w:jc w:val="both"/>
              <w:rPr>
                <w:lang w:val="en-US"/>
              </w:rPr>
            </w:pPr>
            <w:r>
              <w:rPr>
                <w:lang w:val="en-US"/>
              </w:rPr>
              <w:t>Correlation coefficient (r)&gt;0.990</w:t>
            </w:r>
          </w:p>
        </w:tc>
      </w:tr>
      <w:tr w:rsidR="00A76C17" w:rsidTr="004474E7">
        <w:trPr>
          <w:trHeight w:val="551"/>
        </w:trPr>
        <w:tc>
          <w:tcPr>
            <w:tcW w:w="2201" w:type="dxa"/>
          </w:tcPr>
          <w:p w:rsidR="00A76C17" w:rsidRDefault="00A76C17" w:rsidP="004474E7">
            <w:pPr>
              <w:spacing w:line="276" w:lineRule="auto"/>
              <w:jc w:val="both"/>
              <w:rPr>
                <w:lang w:val="en-US"/>
              </w:rPr>
            </w:pPr>
            <w:r>
              <w:rPr>
                <w:lang w:val="en-US"/>
              </w:rPr>
              <w:t>Precision</w:t>
            </w:r>
          </w:p>
        </w:tc>
        <w:tc>
          <w:tcPr>
            <w:tcW w:w="1931" w:type="dxa"/>
          </w:tcPr>
          <w:p w:rsidR="00A76C17" w:rsidRDefault="00A76C17" w:rsidP="004474E7">
            <w:pPr>
              <w:spacing w:line="276" w:lineRule="auto"/>
              <w:jc w:val="both"/>
              <w:rPr>
                <w:lang w:val="en-US"/>
              </w:rPr>
            </w:pPr>
            <w:r>
              <w:rPr>
                <w:lang w:val="en-US"/>
              </w:rPr>
              <w:t>CV= 4.36%</w:t>
            </w:r>
          </w:p>
        </w:tc>
        <w:tc>
          <w:tcPr>
            <w:tcW w:w="5599" w:type="dxa"/>
          </w:tcPr>
          <w:p w:rsidR="00A76C17" w:rsidRPr="0086461E" w:rsidRDefault="00A76C17" w:rsidP="004474E7">
            <w:r>
              <w:rPr>
                <w:lang w:val="en-US"/>
              </w:rPr>
              <w:t xml:space="preserve">Coefficient </w:t>
            </w:r>
            <w:r w:rsidRPr="0086461E">
              <w:rPr>
                <w:color w:val="000000" w:themeColor="text1"/>
                <w:lang w:val="en-US"/>
              </w:rPr>
              <w:t xml:space="preserve">of variation (CV) </w:t>
            </w:r>
            <w:r w:rsidRPr="0086461E">
              <w:rPr>
                <w:color w:val="000000" w:themeColor="text1"/>
                <w:sz w:val="21"/>
                <w:szCs w:val="21"/>
                <w:shd w:val="clear" w:color="auto" w:fill="FFFFFF"/>
              </w:rPr>
              <w:t>≤10%</w:t>
            </w:r>
          </w:p>
        </w:tc>
      </w:tr>
    </w:tbl>
    <w:p w:rsidR="00F1381B" w:rsidRPr="00A76C17" w:rsidRDefault="0068651C" w:rsidP="00BE2F85">
      <w:pPr>
        <w:spacing w:line="480" w:lineRule="auto"/>
        <w:rPr>
          <w:lang w:val="en-US"/>
        </w:rPr>
      </w:pPr>
      <w:bookmarkStart w:id="0" w:name="_GoBack"/>
      <w:bookmarkEnd w:id="0"/>
    </w:p>
    <w:sectPr w:rsidR="00F1381B" w:rsidRPr="00A76C17" w:rsidSect="00583B7B">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YaHei">
    <w:panose1 w:val="020B0503020204020204"/>
    <w:charset w:val="86"/>
    <w:family w:val="swiss"/>
    <w:pitch w:val="variable"/>
    <w:sig w:usb0="80000287" w:usb1="28CF3C52" w:usb2="00000016" w:usb3="00000000" w:csb0="0004001F" w:csb1="00000000"/>
  </w:font>
  <w:font w:name="Symbol">
    <w:panose1 w:val="05050102010706020507"/>
    <w:charset w:val="4D"/>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9"/>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E19"/>
    <w:rsid w:val="00116754"/>
    <w:rsid w:val="001266DD"/>
    <w:rsid w:val="00192D66"/>
    <w:rsid w:val="00216EE6"/>
    <w:rsid w:val="002235EB"/>
    <w:rsid w:val="00255461"/>
    <w:rsid w:val="002C6B71"/>
    <w:rsid w:val="002E7753"/>
    <w:rsid w:val="00320B00"/>
    <w:rsid w:val="003B2650"/>
    <w:rsid w:val="004419C0"/>
    <w:rsid w:val="004F274F"/>
    <w:rsid w:val="00500125"/>
    <w:rsid w:val="00583B7B"/>
    <w:rsid w:val="005D1EFC"/>
    <w:rsid w:val="005F29D4"/>
    <w:rsid w:val="0068651C"/>
    <w:rsid w:val="006C7A20"/>
    <w:rsid w:val="0071298F"/>
    <w:rsid w:val="00752A4C"/>
    <w:rsid w:val="00842C96"/>
    <w:rsid w:val="008814EE"/>
    <w:rsid w:val="008A752A"/>
    <w:rsid w:val="008F4638"/>
    <w:rsid w:val="00922255"/>
    <w:rsid w:val="00934143"/>
    <w:rsid w:val="00994EF0"/>
    <w:rsid w:val="00A76C17"/>
    <w:rsid w:val="00AA048B"/>
    <w:rsid w:val="00AA6D5C"/>
    <w:rsid w:val="00B15468"/>
    <w:rsid w:val="00B5065D"/>
    <w:rsid w:val="00BB2329"/>
    <w:rsid w:val="00BC23C1"/>
    <w:rsid w:val="00BE2F85"/>
    <w:rsid w:val="00C348A3"/>
    <w:rsid w:val="00CF0508"/>
    <w:rsid w:val="00D03210"/>
    <w:rsid w:val="00D37B46"/>
    <w:rsid w:val="00D735DE"/>
    <w:rsid w:val="00D91781"/>
    <w:rsid w:val="00DB02AD"/>
    <w:rsid w:val="00EA1E4F"/>
    <w:rsid w:val="00EB10BA"/>
    <w:rsid w:val="00F026F9"/>
    <w:rsid w:val="00F45C39"/>
    <w:rsid w:val="00FA6E19"/>
    <w:rsid w:val="00FA729C"/>
    <w:rsid w:val="00FB58E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54C0882E"/>
  <w14:defaultImageDpi w14:val="32767"/>
  <w15:chartTrackingRefBased/>
  <w15:docId w15:val="{C8FC1DD7-AAA5-4D4A-9070-0999C2E76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76C17"/>
    <w:pPr>
      <w:spacing w:after="160" w:line="259" w:lineRule="auto"/>
    </w:pPr>
    <w:rPr>
      <w:sz w:val="22"/>
      <w:szCs w:val="22"/>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uiPriority w:val="99"/>
    <w:semiHidden/>
    <w:unhideWhenUsed/>
    <w:rsid w:val="00A76C17"/>
    <w:pPr>
      <w:spacing w:after="0" w:line="240" w:lineRule="auto"/>
    </w:pPr>
    <w:rPr>
      <w:rFonts w:ascii="Times New Roman" w:hAnsi="Times New Roman" w:cs="Times New Roman"/>
      <w:sz w:val="18"/>
      <w:szCs w:val="18"/>
    </w:rPr>
  </w:style>
  <w:style w:type="character" w:customStyle="1" w:styleId="BallongtextChar">
    <w:name w:val="Ballongtext Char"/>
    <w:basedOn w:val="Standardstycketeckensnitt"/>
    <w:link w:val="Ballongtext"/>
    <w:uiPriority w:val="99"/>
    <w:semiHidden/>
    <w:rsid w:val="00A76C17"/>
    <w:rPr>
      <w:rFonts w:ascii="Times New Roman" w:hAnsi="Times New Roman" w:cs="Times New Roman"/>
      <w:sz w:val="18"/>
      <w:szCs w:val="18"/>
    </w:rPr>
  </w:style>
  <w:style w:type="character" w:styleId="Kommentarsreferens">
    <w:name w:val="annotation reference"/>
    <w:basedOn w:val="Standardstycketeckensnitt"/>
    <w:uiPriority w:val="99"/>
    <w:semiHidden/>
    <w:unhideWhenUsed/>
    <w:rsid w:val="00A76C17"/>
    <w:rPr>
      <w:sz w:val="16"/>
      <w:szCs w:val="16"/>
    </w:rPr>
  </w:style>
  <w:style w:type="paragraph" w:styleId="Kommentarer">
    <w:name w:val="annotation text"/>
    <w:basedOn w:val="Normal"/>
    <w:link w:val="KommentarerChar"/>
    <w:uiPriority w:val="99"/>
    <w:semiHidden/>
    <w:unhideWhenUsed/>
    <w:rsid w:val="00A76C17"/>
    <w:pPr>
      <w:spacing w:line="240" w:lineRule="auto"/>
    </w:pPr>
    <w:rPr>
      <w:sz w:val="20"/>
      <w:szCs w:val="20"/>
    </w:rPr>
  </w:style>
  <w:style w:type="character" w:customStyle="1" w:styleId="KommentarerChar">
    <w:name w:val="Kommentarer Char"/>
    <w:basedOn w:val="Standardstycketeckensnitt"/>
    <w:link w:val="Kommentarer"/>
    <w:uiPriority w:val="99"/>
    <w:semiHidden/>
    <w:rsid w:val="00A76C17"/>
    <w:rPr>
      <w:sz w:val="20"/>
      <w:szCs w:val="20"/>
    </w:rPr>
  </w:style>
  <w:style w:type="table" w:styleId="Tabellrutnt">
    <w:name w:val="Table Grid"/>
    <w:basedOn w:val="Normaltabell"/>
    <w:uiPriority w:val="39"/>
    <w:rsid w:val="00A76C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376</Words>
  <Characters>1994</Characters>
  <Application>Microsoft Office Word</Application>
  <DocSecurity>0</DocSecurity>
  <Lines>16</Lines>
  <Paragraphs>4</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Thelaus</dc:creator>
  <cp:keywords/>
  <dc:description/>
  <cp:lastModifiedBy>Microsoft Office User</cp:lastModifiedBy>
  <cp:revision>3</cp:revision>
  <dcterms:created xsi:type="dcterms:W3CDTF">2020-08-21T12:40:00Z</dcterms:created>
  <dcterms:modified xsi:type="dcterms:W3CDTF">2020-08-27T19:24:00Z</dcterms:modified>
</cp:coreProperties>
</file>