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left"/>
        <w:textAlignment w:val="center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0" w:name="_Hlk31896165"/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Supplemental Fig. 1 Quality evaluation of included studies</w:t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849360" cy="3745230"/>
            <wp:effectExtent l="0" t="0" r="2540" b="1270"/>
            <wp:docPr id="3" name="图片 3" descr="Fig.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.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49360" cy="374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uto"/>
        <w:jc w:val="left"/>
        <w:textAlignment w:val="center"/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uto"/>
        <w:jc w:val="left"/>
        <w:textAlignment w:val="center"/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uto"/>
        <w:jc w:val="left"/>
        <w:textAlignment w:val="center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Supplemental Fig. 2 Quality assessment of included studies</w:t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973580" cy="4799330"/>
            <wp:effectExtent l="0" t="0" r="7620" b="1270"/>
            <wp:docPr id="5" name="图片 5" descr="Fig.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.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73580" cy="479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Supplemental Fig. 3A Subgroup analysis of Major adverse cardiovascular events</w:t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542915" cy="4777105"/>
            <wp:effectExtent l="0" t="0" r="6985" b="10795"/>
            <wp:docPr id="1" name="图片 1" descr="S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3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477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Supplemental Fig. 3B Subgroup analysis of Cardiovascular death</w:t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等线" w:cs="Times New Roman"/>
          <w:b/>
          <w:bCs/>
          <w:color w:val="000000"/>
          <w:sz w:val="24"/>
        </w:rPr>
        <w:drawing>
          <wp:inline distT="0" distB="0" distL="114300" distR="114300">
            <wp:extent cx="5927725" cy="4712970"/>
            <wp:effectExtent l="0" t="0" r="3175" b="11430"/>
            <wp:docPr id="4" name="图片 4" descr="S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3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27725" cy="471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Supplemental Fig. 3C Subgroup analysis of Myocardial infarction</w:t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580380" cy="4738370"/>
            <wp:effectExtent l="0" t="0" r="7620" b="11430"/>
            <wp:docPr id="10" name="图片 10" descr="S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3C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73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Supplemental Fig. 3D Subgroup analysis of Ischemic stroke</w:t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640705" cy="4726305"/>
            <wp:effectExtent l="0" t="0" r="10795" b="10795"/>
            <wp:docPr id="11" name="图片 11" descr="S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3D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40705" cy="472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Supplemental Fig. 3E Subgroup analysis of All</w:t>
      </w: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cause death</w:t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636895" cy="4756785"/>
            <wp:effectExtent l="0" t="0" r="1905" b="5715"/>
            <wp:docPr id="12" name="图片 12" descr="S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S3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36895" cy="475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Supplemental Fig. 3F Subgroup analysis of Stent thrombosis</w:t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679565" cy="4662170"/>
            <wp:effectExtent l="0" t="0" r="635" b="11430"/>
            <wp:docPr id="13" name="图片 13" descr="ST-F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T-FM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79565" cy="4662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Supplemental Fig. 3G Subgroup analysis of TIMI major bleeding</w:t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  <w:r>
        <w:rPr>
          <w:rFonts w:hint="eastAsia" w:ascii="Times New Roman" w:hAnsi="Times New Roman" w:eastAsia="等线" w:cs="Times New Roman"/>
          <w:b/>
          <w:bCs/>
          <w:color w:val="000000"/>
          <w:sz w:val="24"/>
        </w:rPr>
        <w:drawing>
          <wp:inline distT="0" distB="0" distL="114300" distR="114300">
            <wp:extent cx="6028690" cy="4606290"/>
            <wp:effectExtent l="0" t="0" r="3810" b="3810"/>
            <wp:docPr id="15" name="图片 15" descr="S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S3F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28690" cy="460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Supplemental Fig. 3H Subgroup analysis of TIMI minor bleeding</w:t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  <w:r>
        <w:rPr>
          <w:rFonts w:hint="eastAsia" w:ascii="Times New Roman" w:hAnsi="Times New Roman" w:eastAsia="等线" w:cs="Times New Roman"/>
          <w:b/>
          <w:bCs/>
          <w:color w:val="000000"/>
          <w:sz w:val="24"/>
        </w:rPr>
        <w:drawing>
          <wp:inline distT="0" distB="0" distL="114300" distR="114300">
            <wp:extent cx="6156325" cy="4605655"/>
            <wp:effectExtent l="0" t="0" r="3175" b="4445"/>
            <wp:docPr id="16" name="图片 16" descr="S3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S3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56325" cy="4605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Supplemental Fig. 3I Subgroup analysis of ISTH major bleeding</w:t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  <w:r>
        <w:rPr>
          <w:rFonts w:hint="eastAsia" w:ascii="Times New Roman" w:hAnsi="Times New Roman" w:eastAsia="等线" w:cs="Times New Roman"/>
          <w:b/>
          <w:bCs/>
          <w:color w:val="000000"/>
          <w:sz w:val="24"/>
        </w:rPr>
        <w:drawing>
          <wp:inline distT="0" distB="0" distL="114300" distR="114300">
            <wp:extent cx="5786755" cy="4605020"/>
            <wp:effectExtent l="0" t="0" r="4445" b="5080"/>
            <wp:docPr id="19" name="图片 19" descr="ISTH-F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STH-FM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86755" cy="460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1" w:name="OLE_LINK5"/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Supplemental</w:t>
      </w:r>
      <w:bookmarkEnd w:id="1"/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Fig. 3J Subgroup analysis of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Intracranial hemorrhage</w:t>
      </w:r>
    </w:p>
    <w:p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hint="eastAsia" w:ascii="Times New Roman" w:hAnsi="Times New Roman" w:cs="Times New Roman"/>
          <w:b/>
          <w:sz w:val="20"/>
          <w:szCs w:val="20"/>
        </w:rPr>
        <w:drawing>
          <wp:inline distT="0" distB="0" distL="114300" distR="114300">
            <wp:extent cx="5972175" cy="4669155"/>
            <wp:effectExtent l="0" t="0" r="9525" b="4445"/>
            <wp:docPr id="20" name="图片 20" descr="IM-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-RM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466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</w:p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Supplemental </w:t>
      </w:r>
      <w:r>
        <w:rPr>
          <w:rFonts w:hint="eastAsia" w:ascii="Times New Roman" w:hAnsi="Times New Roman" w:eastAsia="等线" w:cs="Times New Roman"/>
          <w:b/>
          <w:bCs/>
          <w:color w:val="000000"/>
          <w:sz w:val="24"/>
        </w:rPr>
        <w:t>Fig. 4A Sensitivity analysis of the rate of TIMI major bleeding</w:t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  <w:r>
        <w:rPr>
          <w:rFonts w:ascii="Times New Roman" w:hAnsi="Times New Roman" w:eastAsia="等线" w:cs="Times New Roman"/>
          <w:b/>
          <w:bCs/>
          <w:color w:val="000000"/>
          <w:sz w:val="24"/>
        </w:rPr>
        <w:drawing>
          <wp:inline distT="0" distB="0" distL="114300" distR="114300">
            <wp:extent cx="6127115" cy="4384040"/>
            <wp:effectExtent l="0" t="0" r="6985" b="10160"/>
            <wp:docPr id="6" name="图片 6" descr="Fig. 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. 6A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27115" cy="438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Supplemental </w:t>
      </w:r>
      <w:r>
        <w:rPr>
          <w:rFonts w:hint="eastAsia" w:ascii="Times New Roman" w:hAnsi="Times New Roman" w:eastAsia="等线" w:cs="Times New Roman"/>
          <w:b/>
          <w:bCs/>
          <w:color w:val="000000"/>
          <w:sz w:val="24"/>
        </w:rPr>
        <w:t>Fig. 4B Sensitivity analysis of the rate of TIMI minor bleeding</w:t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  <w:r>
        <w:rPr>
          <w:rFonts w:hint="eastAsia" w:ascii="Times New Roman" w:hAnsi="Times New Roman" w:eastAsia="等线" w:cs="Times New Roman"/>
          <w:b/>
          <w:bCs/>
          <w:color w:val="000000"/>
          <w:sz w:val="24"/>
        </w:rPr>
        <w:drawing>
          <wp:inline distT="0" distB="0" distL="114300" distR="114300">
            <wp:extent cx="6832600" cy="4768850"/>
            <wp:effectExtent l="0" t="0" r="0" b="6350"/>
            <wp:docPr id="7" name="图片 7" descr="Fig. 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. 6B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32600" cy="476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  <w:bookmarkStart w:id="2" w:name="OLE_LINK4"/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Supplemental </w:t>
      </w:r>
      <w:r>
        <w:rPr>
          <w:rFonts w:hint="eastAsia" w:ascii="Times New Roman" w:hAnsi="Times New Roman" w:eastAsia="等线" w:cs="Times New Roman"/>
          <w:b/>
          <w:bCs/>
          <w:color w:val="000000"/>
          <w:sz w:val="24"/>
        </w:rPr>
        <w:t>Fig. 4C Sensitivity analysis of the rate of ISTH major bleeding</w:t>
      </w:r>
    </w:p>
    <w:bookmarkEnd w:id="2"/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  <w:r>
        <w:rPr>
          <w:rFonts w:hint="eastAsia" w:ascii="Times New Roman" w:hAnsi="Times New Roman" w:eastAsia="等线" w:cs="Times New Roman"/>
          <w:b/>
          <w:bCs/>
          <w:color w:val="000000"/>
          <w:sz w:val="24"/>
        </w:rPr>
        <w:drawing>
          <wp:inline distT="0" distB="0" distL="114300" distR="114300">
            <wp:extent cx="5796915" cy="4610735"/>
            <wp:effectExtent l="0" t="0" r="6985" b="12065"/>
            <wp:docPr id="8" name="图片 8" descr="Fig. 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ig. 6C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96915" cy="461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  <w:bookmarkStart w:id="3" w:name="OLE_LINK6"/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Supplemental </w:t>
      </w:r>
      <w:r>
        <w:rPr>
          <w:rFonts w:hint="eastAsia" w:ascii="Times New Roman" w:hAnsi="Times New Roman" w:eastAsia="等线" w:cs="Times New Roman"/>
          <w:b/>
          <w:bCs/>
          <w:color w:val="000000"/>
          <w:sz w:val="24"/>
        </w:rPr>
        <w:t xml:space="preserve">Fig. 4D Sensitivity analysis of the rate of Intracranial hemorrhage </w:t>
      </w:r>
    </w:p>
    <w:bookmarkEnd w:id="3"/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  <w:r>
        <w:rPr>
          <w:rFonts w:ascii="Times New Roman" w:hAnsi="Times New Roman" w:eastAsia="等线" w:cs="Times New Roman"/>
          <w:b/>
          <w:bCs/>
          <w:color w:val="000000"/>
          <w:sz w:val="24"/>
        </w:rPr>
        <w:drawing>
          <wp:inline distT="0" distB="0" distL="114300" distR="114300">
            <wp:extent cx="6122035" cy="4792345"/>
            <wp:effectExtent l="0" t="0" r="12065" b="8255"/>
            <wp:docPr id="9" name="图片 9" descr="Fig. 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. 6D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22035" cy="4792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Supplemental </w:t>
      </w:r>
      <w:r>
        <w:rPr>
          <w:rFonts w:hint="eastAsia" w:ascii="Times New Roman" w:hAnsi="Times New Roman" w:eastAsia="等线" w:cs="Times New Roman"/>
          <w:b/>
          <w:bCs/>
          <w:color w:val="000000"/>
          <w:sz w:val="24"/>
        </w:rPr>
        <w:t xml:space="preserve">Fig. 5A The result of Major adverse cardiovascular events with Random-Effect Model </w:t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  <w:r>
        <w:rPr>
          <w:rFonts w:ascii="Times New Roman" w:hAnsi="Times New Roman" w:eastAsia="等线" w:cs="Times New Roman"/>
          <w:b/>
          <w:bCs/>
          <w:color w:val="000000"/>
          <w:sz w:val="24"/>
        </w:rPr>
        <w:drawing>
          <wp:inline distT="0" distB="0" distL="114300" distR="114300">
            <wp:extent cx="5518785" cy="4739640"/>
            <wp:effectExtent l="0" t="0" r="5715" b="10160"/>
            <wp:docPr id="21" name="图片 21" descr="MACE-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MACE-RM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18785" cy="473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Supplemental </w:t>
      </w:r>
      <w:r>
        <w:rPr>
          <w:rFonts w:hint="eastAsia" w:ascii="Times New Roman" w:hAnsi="Times New Roman" w:eastAsia="等线" w:cs="Times New Roman"/>
          <w:b/>
          <w:bCs/>
          <w:color w:val="000000"/>
          <w:sz w:val="24"/>
        </w:rPr>
        <w:t xml:space="preserve">Fig. 5B The result of Cardiovascular death with Random-Effect Model </w:t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  <w:r>
        <w:rPr>
          <w:rFonts w:hint="eastAsia" w:ascii="Times New Roman" w:hAnsi="Times New Roman" w:eastAsia="等线" w:cs="Times New Roman"/>
          <w:b/>
          <w:bCs/>
          <w:color w:val="000000"/>
          <w:sz w:val="24"/>
        </w:rPr>
        <w:drawing>
          <wp:inline distT="0" distB="0" distL="114300" distR="114300">
            <wp:extent cx="5986145" cy="4757420"/>
            <wp:effectExtent l="0" t="0" r="8255" b="5080"/>
            <wp:docPr id="22" name="图片 22" descr="CD-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CD-RM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86145" cy="475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Supplemental </w:t>
      </w:r>
      <w:r>
        <w:rPr>
          <w:rFonts w:hint="eastAsia" w:ascii="Times New Roman" w:hAnsi="Times New Roman" w:eastAsia="等线" w:cs="Times New Roman"/>
          <w:b/>
          <w:bCs/>
          <w:color w:val="000000"/>
          <w:sz w:val="24"/>
        </w:rPr>
        <w:t xml:space="preserve">Fig. 5C The result of Myocardial infarction with Random-Effect Model </w:t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  <w:r>
        <w:rPr>
          <w:rFonts w:hint="eastAsia" w:ascii="Times New Roman" w:hAnsi="Times New Roman" w:eastAsia="等线" w:cs="Times New Roman"/>
          <w:b/>
          <w:bCs/>
          <w:color w:val="000000"/>
          <w:sz w:val="24"/>
        </w:rPr>
        <w:drawing>
          <wp:inline distT="0" distB="0" distL="114300" distR="114300">
            <wp:extent cx="5622290" cy="4773295"/>
            <wp:effectExtent l="0" t="0" r="3810" b="1905"/>
            <wp:docPr id="23" name="图片 23" descr="MI-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MI-RM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622290" cy="477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Supplemental </w:t>
      </w:r>
      <w:r>
        <w:rPr>
          <w:rFonts w:hint="eastAsia" w:ascii="Times New Roman" w:hAnsi="Times New Roman" w:eastAsia="等线" w:cs="Times New Roman"/>
          <w:b/>
          <w:bCs/>
          <w:color w:val="000000"/>
          <w:sz w:val="24"/>
        </w:rPr>
        <w:t xml:space="preserve">Fig. 5D The result of Ischemic stroke with Random-Effect Model </w:t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  <w:r>
        <w:rPr>
          <w:rFonts w:hint="eastAsia" w:ascii="Times New Roman" w:hAnsi="Times New Roman" w:eastAsia="等线" w:cs="Times New Roman"/>
          <w:b/>
          <w:bCs/>
          <w:color w:val="000000"/>
          <w:sz w:val="24"/>
        </w:rPr>
        <w:drawing>
          <wp:inline distT="0" distB="0" distL="114300" distR="114300">
            <wp:extent cx="5550535" cy="4703445"/>
            <wp:effectExtent l="0" t="0" r="12065" b="8255"/>
            <wp:docPr id="24" name="图片 24" descr="stoke-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stoke-RM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550535" cy="470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Supplemental </w:t>
      </w:r>
      <w:r>
        <w:rPr>
          <w:rFonts w:hint="eastAsia" w:ascii="Times New Roman" w:hAnsi="Times New Roman" w:eastAsia="等线" w:cs="Times New Roman"/>
          <w:b/>
          <w:bCs/>
          <w:color w:val="000000"/>
          <w:sz w:val="24"/>
        </w:rPr>
        <w:t>Fig. 5</w:t>
      </w:r>
      <w:r>
        <w:rPr>
          <w:rFonts w:ascii="Times New Roman" w:hAnsi="Times New Roman" w:eastAsia="等线" w:cs="Times New Roman"/>
          <w:b/>
          <w:bCs/>
          <w:color w:val="000000"/>
          <w:sz w:val="24"/>
        </w:rPr>
        <w:t>E</w:t>
      </w:r>
      <w:r>
        <w:rPr>
          <w:rFonts w:hint="eastAsia" w:ascii="Times New Roman" w:hAnsi="Times New Roman" w:eastAsia="等线" w:cs="Times New Roman"/>
          <w:b/>
          <w:bCs/>
          <w:color w:val="000000"/>
          <w:sz w:val="24"/>
        </w:rPr>
        <w:t xml:space="preserve"> The result of </w:t>
      </w:r>
      <w:r>
        <w:rPr>
          <w:rFonts w:ascii="Times New Roman" w:hAnsi="Times New Roman" w:eastAsia="等线" w:cs="Times New Roman"/>
          <w:b/>
          <w:bCs/>
          <w:color w:val="000000"/>
          <w:sz w:val="24"/>
        </w:rPr>
        <w:t>All-cause death</w:t>
      </w:r>
      <w:r>
        <w:rPr>
          <w:rFonts w:hint="eastAsia" w:ascii="Times New Roman" w:hAnsi="Times New Roman" w:eastAsia="等线" w:cs="Times New Roman"/>
          <w:b/>
          <w:bCs/>
          <w:color w:val="000000"/>
          <w:sz w:val="24"/>
        </w:rPr>
        <w:t xml:space="preserve"> with Random-Effect Model</w:t>
      </w:r>
    </w:p>
    <w:p>
      <w:pPr>
        <w:widowControl/>
        <w:spacing w:line="480" w:lineRule="auto"/>
        <w:jc w:val="left"/>
        <w:textAlignment w:val="center"/>
        <w:rPr>
          <w:rFonts w:hint="eastAsia" w:ascii="Times New Roman" w:hAnsi="Times New Roman" w:eastAsia="等线" w:cs="Times New Roman"/>
          <w:b/>
          <w:bCs/>
          <w:color w:val="000000"/>
          <w:sz w:val="24"/>
        </w:rPr>
      </w:pPr>
      <w:r>
        <w:drawing>
          <wp:inline distT="0" distB="0" distL="0" distR="0">
            <wp:extent cx="5579745" cy="4709160"/>
            <wp:effectExtent l="0" t="0" r="190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07166" cy="4732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center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</w:p>
    <w:bookmarkEnd w:id="0"/>
    <w:p>
      <w:pPr>
        <w:spacing w:line="480" w:lineRule="auto"/>
        <w:jc w:val="left"/>
        <w:rPr>
          <w:rFonts w:ascii="Times New Roman" w:hAnsi="Times New Roman" w:cs="Times New Roman"/>
          <w:sz w:val="15"/>
          <w:szCs w:val="15"/>
        </w:rPr>
      </w:pPr>
    </w:p>
    <w:p>
      <w:pPr>
        <w:spacing w:line="480" w:lineRule="auto"/>
        <w:jc w:val="left"/>
        <w:rPr>
          <w:rFonts w:hint="eastAsia" w:ascii="Times New Roman" w:hAnsi="Times New Roman" w:cs="Times New Roman"/>
          <w:sz w:val="15"/>
          <w:szCs w:val="15"/>
        </w:rPr>
      </w:pPr>
    </w:p>
    <w:p>
      <w:pPr>
        <w:widowControl/>
        <w:spacing w:line="480" w:lineRule="auto"/>
        <w:jc w:val="center"/>
        <w:textAlignment w:val="top"/>
        <w:rPr>
          <w:rFonts w:ascii="Times New Roman" w:hAnsi="Times New Roman" w:eastAsia="等线" w:cs="Times New Roman"/>
          <w:b/>
          <w:bCs/>
          <w:color w:val="000000"/>
          <w:sz w:val="24"/>
        </w:rPr>
      </w:pPr>
      <w:r>
        <w:rPr>
          <w:rFonts w:ascii="Times New Roman" w:hAnsi="Times New Roman" w:eastAsia="等线" w:cs="Times New Roman"/>
          <w:b/>
          <w:bCs/>
          <w:color w:val="000000"/>
          <w:sz w:val="24"/>
        </w:rPr>
        <w:t xml:space="preserve">Table </w:t>
      </w:r>
      <w:r>
        <w:rPr>
          <w:rFonts w:hint="eastAsia" w:ascii="Times New Roman" w:hAnsi="Times New Roman" w:eastAsia="等线" w:cs="Times New Roman"/>
          <w:b/>
          <w:bCs/>
          <w:color w:val="000000"/>
          <w:sz w:val="24"/>
          <w:lang w:val="en-US" w:eastAsia="zh-CN"/>
        </w:rPr>
        <w:t>S1</w:t>
      </w:r>
      <w:r>
        <w:rPr>
          <w:rFonts w:ascii="Times New Roman" w:hAnsi="Times New Roman" w:eastAsia="等线" w:cs="Times New Roman"/>
          <w:b/>
          <w:bCs/>
          <w:color w:val="000000"/>
          <w:sz w:val="24"/>
        </w:rPr>
        <w:t xml:space="preserve">    Clinical Characteristics of the Included Participants</w:t>
      </w:r>
    </w:p>
    <w:tbl>
      <w:tblPr>
        <w:tblStyle w:val="4"/>
        <w:tblW w:w="5042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2"/>
        <w:gridCol w:w="920"/>
        <w:gridCol w:w="1049"/>
        <w:gridCol w:w="1021"/>
        <w:gridCol w:w="1550"/>
        <w:gridCol w:w="990"/>
        <w:gridCol w:w="2246"/>
        <w:gridCol w:w="2641"/>
        <w:gridCol w:w="16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06" w:type="pct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Study</w:t>
            </w:r>
          </w:p>
        </w:tc>
        <w:tc>
          <w:tcPr>
            <w:tcW w:w="326" w:type="pct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 xml:space="preserve">Age (years)  </w:t>
            </w:r>
          </w:p>
        </w:tc>
        <w:tc>
          <w:tcPr>
            <w:tcW w:w="372" w:type="pct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Female sex</w:t>
            </w:r>
          </w:p>
        </w:tc>
        <w:tc>
          <w:tcPr>
            <w:tcW w:w="362" w:type="pct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Hypertension</w:t>
            </w:r>
          </w:p>
        </w:tc>
        <w:tc>
          <w:tcPr>
            <w:tcW w:w="550" w:type="pct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Tobacco use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Diabetes</w:t>
            </w:r>
          </w:p>
        </w:tc>
        <w:tc>
          <w:tcPr>
            <w:tcW w:w="797" w:type="pct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Heart failure or LVEF≤40%</w:t>
            </w:r>
          </w:p>
        </w:tc>
        <w:tc>
          <w:tcPr>
            <w:tcW w:w="937" w:type="pct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Previous cereb</w:t>
            </w:r>
            <w:bookmarkStart w:id="6" w:name="_GoBack"/>
            <w:bookmarkEnd w:id="6"/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rovascular disease</w:t>
            </w:r>
          </w:p>
        </w:tc>
        <w:tc>
          <w:tcPr>
            <w:tcW w:w="598" w:type="pct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Previous peripheral disease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06" w:type="pct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 xml:space="preserve">COMPASS </w:t>
            </w:r>
          </w:p>
        </w:tc>
        <w:tc>
          <w:tcPr>
            <w:tcW w:w="326" w:type="pct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68.2</w:t>
            </w:r>
          </w:p>
        </w:tc>
        <w:tc>
          <w:tcPr>
            <w:tcW w:w="372" w:type="pct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22.00%</w:t>
            </w:r>
          </w:p>
        </w:tc>
        <w:tc>
          <w:tcPr>
            <w:tcW w:w="362" w:type="pct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75.50%</w:t>
            </w:r>
          </w:p>
        </w:tc>
        <w:tc>
          <w:tcPr>
            <w:tcW w:w="550" w:type="pct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21.40%</w:t>
            </w:r>
          </w:p>
        </w:tc>
        <w:tc>
          <w:tcPr>
            <w:tcW w:w="351" w:type="pct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37.70%</w:t>
            </w:r>
          </w:p>
        </w:tc>
        <w:tc>
          <w:tcPr>
            <w:tcW w:w="797" w:type="pct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21.50%</w:t>
            </w:r>
          </w:p>
        </w:tc>
        <w:tc>
          <w:tcPr>
            <w:tcW w:w="937" w:type="pct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3.80%</w:t>
            </w:r>
          </w:p>
        </w:tc>
        <w:tc>
          <w:tcPr>
            <w:tcW w:w="598" w:type="pct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27.30%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COMMANDER HF</w:t>
            </w:r>
          </w:p>
        </w:tc>
        <w:tc>
          <w:tcPr>
            <w:tcW w:w="3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66.4</w:t>
            </w:r>
          </w:p>
        </w:tc>
        <w:tc>
          <w:tcPr>
            <w:tcW w:w="3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22.90%</w:t>
            </w:r>
          </w:p>
        </w:tc>
        <w:tc>
          <w:tcPr>
            <w:tcW w:w="3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75.30%</w:t>
            </w:r>
          </w:p>
        </w:tc>
        <w:tc>
          <w:tcPr>
            <w:tcW w:w="5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40.90%</w:t>
            </w:r>
          </w:p>
        </w:tc>
        <w:tc>
          <w:tcPr>
            <w:tcW w:w="7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100%</w:t>
            </w:r>
          </w:p>
        </w:tc>
        <w:tc>
          <w:tcPr>
            <w:tcW w:w="9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9%</w:t>
            </w:r>
          </w:p>
        </w:tc>
        <w:tc>
          <w:tcPr>
            <w:tcW w:w="5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APPRAISE</w:t>
            </w:r>
          </w:p>
        </w:tc>
        <w:tc>
          <w:tcPr>
            <w:tcW w:w="3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61</w:t>
            </w:r>
          </w:p>
        </w:tc>
        <w:tc>
          <w:tcPr>
            <w:tcW w:w="3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24.10%</w:t>
            </w:r>
          </w:p>
        </w:tc>
        <w:tc>
          <w:tcPr>
            <w:tcW w:w="3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5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22.50%</w:t>
            </w:r>
          </w:p>
        </w:tc>
        <w:tc>
          <w:tcPr>
            <w:tcW w:w="7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11.90%</w:t>
            </w:r>
          </w:p>
        </w:tc>
        <w:tc>
          <w:tcPr>
            <w:tcW w:w="9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4.20%</w:t>
            </w:r>
          </w:p>
        </w:tc>
        <w:tc>
          <w:tcPr>
            <w:tcW w:w="5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4.90%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APPRAISE-2</w:t>
            </w:r>
          </w:p>
        </w:tc>
        <w:tc>
          <w:tcPr>
            <w:tcW w:w="3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67</w:t>
            </w:r>
          </w:p>
        </w:tc>
        <w:tc>
          <w:tcPr>
            <w:tcW w:w="3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32.20%</w:t>
            </w:r>
          </w:p>
        </w:tc>
        <w:tc>
          <w:tcPr>
            <w:tcW w:w="3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5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47.80%</w:t>
            </w:r>
          </w:p>
        </w:tc>
        <w:tc>
          <w:tcPr>
            <w:tcW w:w="7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28.10%</w:t>
            </w:r>
          </w:p>
        </w:tc>
        <w:tc>
          <w:tcPr>
            <w:tcW w:w="9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10.00%</w:t>
            </w:r>
          </w:p>
        </w:tc>
        <w:tc>
          <w:tcPr>
            <w:tcW w:w="5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18.10%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APPRAISE-J</w:t>
            </w:r>
          </w:p>
        </w:tc>
        <w:tc>
          <w:tcPr>
            <w:tcW w:w="3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64.6</w:t>
            </w:r>
          </w:p>
        </w:tc>
        <w:tc>
          <w:tcPr>
            <w:tcW w:w="3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13.20%</w:t>
            </w:r>
          </w:p>
        </w:tc>
        <w:tc>
          <w:tcPr>
            <w:tcW w:w="3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5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39.70%</w:t>
            </w:r>
          </w:p>
        </w:tc>
        <w:tc>
          <w:tcPr>
            <w:tcW w:w="7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9.30%</w:t>
            </w:r>
          </w:p>
        </w:tc>
        <w:tc>
          <w:tcPr>
            <w:tcW w:w="9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4%</w:t>
            </w:r>
          </w:p>
        </w:tc>
        <w:tc>
          <w:tcPr>
            <w:tcW w:w="5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1.30%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ATLAS ACS-TIMI 46</w:t>
            </w:r>
          </w:p>
        </w:tc>
        <w:tc>
          <w:tcPr>
            <w:tcW w:w="3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57.4</w:t>
            </w:r>
          </w:p>
        </w:tc>
        <w:tc>
          <w:tcPr>
            <w:tcW w:w="3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22.80%</w:t>
            </w:r>
          </w:p>
        </w:tc>
        <w:tc>
          <w:tcPr>
            <w:tcW w:w="3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57.20%</w:t>
            </w:r>
          </w:p>
        </w:tc>
        <w:tc>
          <w:tcPr>
            <w:tcW w:w="5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62.10%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19.30%</w:t>
            </w:r>
          </w:p>
        </w:tc>
        <w:tc>
          <w:tcPr>
            <w:tcW w:w="7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9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5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ATLAS ACS 2–TIMI 51</w:t>
            </w:r>
          </w:p>
        </w:tc>
        <w:tc>
          <w:tcPr>
            <w:tcW w:w="3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61.7</w:t>
            </w:r>
          </w:p>
        </w:tc>
        <w:tc>
          <w:tcPr>
            <w:tcW w:w="3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25.30%</w:t>
            </w:r>
          </w:p>
        </w:tc>
        <w:tc>
          <w:tcPr>
            <w:tcW w:w="3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67.40%</w:t>
            </w:r>
          </w:p>
        </w:tc>
        <w:tc>
          <w:tcPr>
            <w:tcW w:w="5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32%</w:t>
            </w:r>
          </w:p>
        </w:tc>
        <w:tc>
          <w:tcPr>
            <w:tcW w:w="7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9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5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GEMINI-ACS-1</w:t>
            </w:r>
          </w:p>
        </w:tc>
        <w:tc>
          <w:tcPr>
            <w:tcW w:w="3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62</w:t>
            </w:r>
          </w:p>
        </w:tc>
        <w:tc>
          <w:tcPr>
            <w:tcW w:w="3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25%</w:t>
            </w:r>
          </w:p>
        </w:tc>
        <w:tc>
          <w:tcPr>
            <w:tcW w:w="3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73%</w:t>
            </w:r>
          </w:p>
        </w:tc>
        <w:tc>
          <w:tcPr>
            <w:tcW w:w="5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33%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30%</w:t>
            </w:r>
          </w:p>
        </w:tc>
        <w:tc>
          <w:tcPr>
            <w:tcW w:w="7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10%</w:t>
            </w:r>
          </w:p>
        </w:tc>
        <w:tc>
          <w:tcPr>
            <w:tcW w:w="9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5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RE-DEEM</w:t>
            </w:r>
          </w:p>
        </w:tc>
        <w:tc>
          <w:tcPr>
            <w:tcW w:w="3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61.8</w:t>
            </w:r>
          </w:p>
        </w:tc>
        <w:tc>
          <w:tcPr>
            <w:tcW w:w="3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24%</w:t>
            </w:r>
          </w:p>
        </w:tc>
        <w:tc>
          <w:tcPr>
            <w:tcW w:w="3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66.60%</w:t>
            </w:r>
          </w:p>
        </w:tc>
        <w:tc>
          <w:tcPr>
            <w:tcW w:w="5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31.30%</w:t>
            </w:r>
          </w:p>
        </w:tc>
        <w:tc>
          <w:tcPr>
            <w:tcW w:w="7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11.70%</w:t>
            </w:r>
          </w:p>
        </w:tc>
        <w:tc>
          <w:tcPr>
            <w:tcW w:w="9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5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6.50%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RUBY-1</w:t>
            </w:r>
          </w:p>
        </w:tc>
        <w:tc>
          <w:tcPr>
            <w:tcW w:w="3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56.9</w:t>
            </w:r>
          </w:p>
        </w:tc>
        <w:tc>
          <w:tcPr>
            <w:tcW w:w="3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20.40%</w:t>
            </w:r>
          </w:p>
        </w:tc>
        <w:tc>
          <w:tcPr>
            <w:tcW w:w="3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60.40%</w:t>
            </w:r>
          </w:p>
        </w:tc>
        <w:tc>
          <w:tcPr>
            <w:tcW w:w="5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42.20%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22.00%</w:t>
            </w:r>
          </w:p>
        </w:tc>
        <w:tc>
          <w:tcPr>
            <w:tcW w:w="7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2.40%</w:t>
            </w:r>
          </w:p>
        </w:tc>
        <w:tc>
          <w:tcPr>
            <w:tcW w:w="9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2.90%</w:t>
            </w:r>
          </w:p>
        </w:tc>
        <w:tc>
          <w:tcPr>
            <w:tcW w:w="5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3.60%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SEPIA-ACS1 TIMI 42</w:t>
            </w:r>
          </w:p>
        </w:tc>
        <w:tc>
          <w:tcPr>
            <w:tcW w:w="3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61.4</w:t>
            </w:r>
          </w:p>
        </w:tc>
        <w:tc>
          <w:tcPr>
            <w:tcW w:w="3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30.60%</w:t>
            </w:r>
          </w:p>
        </w:tc>
        <w:tc>
          <w:tcPr>
            <w:tcW w:w="3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69%</w:t>
            </w:r>
          </w:p>
        </w:tc>
        <w:tc>
          <w:tcPr>
            <w:tcW w:w="5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31.50%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28.20%</w:t>
            </w:r>
          </w:p>
        </w:tc>
        <w:tc>
          <w:tcPr>
            <w:tcW w:w="7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9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5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TAO</w:t>
            </w:r>
          </w:p>
        </w:tc>
        <w:tc>
          <w:tcPr>
            <w:tcW w:w="3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62</w:t>
            </w:r>
          </w:p>
        </w:tc>
        <w:tc>
          <w:tcPr>
            <w:tcW w:w="3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30.10%</w:t>
            </w:r>
          </w:p>
        </w:tc>
        <w:tc>
          <w:tcPr>
            <w:tcW w:w="3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71.20%</w:t>
            </w:r>
          </w:p>
        </w:tc>
        <w:tc>
          <w:tcPr>
            <w:tcW w:w="5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33.40%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28.50%</w:t>
            </w:r>
          </w:p>
        </w:tc>
        <w:tc>
          <w:tcPr>
            <w:tcW w:w="7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9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5.20%</w:t>
            </w:r>
          </w:p>
        </w:tc>
        <w:tc>
          <w:tcPr>
            <w:tcW w:w="5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ESTEEM</w:t>
            </w:r>
          </w:p>
        </w:tc>
        <w:tc>
          <w:tcPr>
            <w:tcW w:w="3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68</w:t>
            </w:r>
          </w:p>
        </w:tc>
        <w:tc>
          <w:tcPr>
            <w:tcW w:w="3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31%</w:t>
            </w:r>
          </w:p>
        </w:tc>
        <w:tc>
          <w:tcPr>
            <w:tcW w:w="3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52.2%</w:t>
            </w:r>
          </w:p>
        </w:tc>
        <w:tc>
          <w:tcPr>
            <w:tcW w:w="5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26.5%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22.5%</w:t>
            </w:r>
          </w:p>
        </w:tc>
        <w:tc>
          <w:tcPr>
            <w:tcW w:w="7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9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4%</w:t>
            </w:r>
          </w:p>
        </w:tc>
        <w:tc>
          <w:tcPr>
            <w:tcW w:w="5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RE-DUAL PCI</w:t>
            </w:r>
          </w:p>
        </w:tc>
        <w:tc>
          <w:tcPr>
            <w:tcW w:w="3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71</w:t>
            </w:r>
          </w:p>
        </w:tc>
        <w:tc>
          <w:tcPr>
            <w:tcW w:w="3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25%</w:t>
            </w:r>
          </w:p>
        </w:tc>
        <w:tc>
          <w:tcPr>
            <w:tcW w:w="3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5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37.3%</w:t>
            </w:r>
          </w:p>
        </w:tc>
        <w:tc>
          <w:tcPr>
            <w:tcW w:w="7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9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8.9%</w:t>
            </w:r>
          </w:p>
        </w:tc>
        <w:tc>
          <w:tcPr>
            <w:tcW w:w="5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ENTRUST-AF PCI</w:t>
            </w:r>
          </w:p>
        </w:tc>
        <w:tc>
          <w:tcPr>
            <w:tcW w:w="3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70</w:t>
            </w:r>
          </w:p>
        </w:tc>
        <w:tc>
          <w:tcPr>
            <w:tcW w:w="3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25.6%</w:t>
            </w:r>
          </w:p>
        </w:tc>
        <w:tc>
          <w:tcPr>
            <w:tcW w:w="3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90.1%</w:t>
            </w:r>
          </w:p>
        </w:tc>
        <w:tc>
          <w:tcPr>
            <w:tcW w:w="5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34%</w:t>
            </w:r>
          </w:p>
        </w:tc>
        <w:tc>
          <w:tcPr>
            <w:tcW w:w="7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54.8%</w:t>
            </w:r>
          </w:p>
        </w:tc>
        <w:tc>
          <w:tcPr>
            <w:tcW w:w="9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12.5%</w:t>
            </w:r>
          </w:p>
        </w:tc>
        <w:tc>
          <w:tcPr>
            <w:tcW w:w="5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10.5%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AUGUSTUS</w:t>
            </w:r>
          </w:p>
        </w:tc>
        <w:tc>
          <w:tcPr>
            <w:tcW w:w="3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70.7</w:t>
            </w:r>
          </w:p>
        </w:tc>
        <w:tc>
          <w:tcPr>
            <w:tcW w:w="3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29%</w:t>
            </w:r>
          </w:p>
        </w:tc>
        <w:tc>
          <w:tcPr>
            <w:tcW w:w="3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88.3%</w:t>
            </w:r>
          </w:p>
        </w:tc>
        <w:tc>
          <w:tcPr>
            <w:tcW w:w="5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36.4%</w:t>
            </w:r>
          </w:p>
        </w:tc>
        <w:tc>
          <w:tcPr>
            <w:tcW w:w="7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42.8%</w:t>
            </w:r>
          </w:p>
        </w:tc>
        <w:tc>
          <w:tcPr>
            <w:tcW w:w="9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13.7%</w:t>
            </w:r>
          </w:p>
        </w:tc>
        <w:tc>
          <w:tcPr>
            <w:tcW w:w="5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PIONEER AF-PCI</w:t>
            </w:r>
          </w:p>
        </w:tc>
        <w:tc>
          <w:tcPr>
            <w:tcW w:w="3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0</w:t>
            </w:r>
          </w:p>
        </w:tc>
        <w:tc>
          <w:tcPr>
            <w:tcW w:w="3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5.5%</w:t>
            </w:r>
          </w:p>
        </w:tc>
        <w:tc>
          <w:tcPr>
            <w:tcW w:w="3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5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.6%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7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9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  <w:tc>
          <w:tcPr>
            <w:tcW w:w="5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</w:tcPr>
          <w:p>
            <w:pPr>
              <w:widowControl/>
              <w:spacing w:line="48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Not reported</w:t>
            </w:r>
          </w:p>
        </w:tc>
      </w:tr>
    </w:tbl>
    <w:p>
      <w:pPr>
        <w:spacing w:line="480" w:lineRule="auto"/>
        <w:rPr>
          <w:rFonts w:ascii="Times New Roman" w:hAnsi="Times New Roman" w:cs="Times New Roman"/>
          <w:sz w:val="15"/>
          <w:szCs w:val="15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15"/>
          <w:szCs w:val="15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15"/>
          <w:szCs w:val="15"/>
        </w:rPr>
      </w:pPr>
    </w:p>
    <w:p>
      <w:pPr>
        <w:widowControl/>
        <w:spacing w:line="480" w:lineRule="auto"/>
        <w:jc w:val="left"/>
        <w:textAlignment w:val="top"/>
        <w:rPr>
          <w:rFonts w:ascii="Times New Roman" w:hAnsi="Times New Roman" w:cs="Times New Roman"/>
          <w:sz w:val="15"/>
          <w:szCs w:val="15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15"/>
          <w:szCs w:val="15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15"/>
          <w:szCs w:val="15"/>
        </w:rPr>
      </w:pPr>
    </w:p>
    <w:p>
      <w:pPr>
        <w:widowControl/>
        <w:spacing w:line="480" w:lineRule="auto"/>
        <w:jc w:val="center"/>
        <w:textAlignment w:val="center"/>
        <w:rPr>
          <w:rFonts w:ascii="Times New Roman" w:hAnsi="Times New Roman" w:eastAsia="等线" w:cs="Times New Roman"/>
          <w:b/>
          <w:bCs/>
          <w:color w:val="000000"/>
          <w:sz w:val="24"/>
        </w:rPr>
      </w:pPr>
      <w:bookmarkStart w:id="4" w:name="_Hlk31896412"/>
      <w:r>
        <w:rPr>
          <w:rFonts w:ascii="Times New Roman" w:hAnsi="Times New Roman" w:eastAsia="等线" w:cs="Times New Roman"/>
          <w:b/>
          <w:bCs/>
          <w:color w:val="000000"/>
          <w:sz w:val="24"/>
        </w:rPr>
        <w:t xml:space="preserve">Table </w:t>
      </w:r>
      <w:r>
        <w:rPr>
          <w:rFonts w:hint="eastAsia" w:ascii="Times New Roman" w:hAnsi="Times New Roman" w:eastAsia="等线" w:cs="Times New Roman"/>
          <w:b/>
          <w:bCs/>
          <w:color w:val="000000"/>
          <w:sz w:val="24"/>
          <w:lang w:val="en-US" w:eastAsia="zh-CN"/>
        </w:rPr>
        <w:t>S2</w:t>
      </w:r>
      <w:r>
        <w:rPr>
          <w:rFonts w:ascii="Times New Roman" w:hAnsi="Times New Roman" w:eastAsia="等线" w:cs="Times New Roman"/>
          <w:b/>
          <w:bCs/>
          <w:color w:val="000000"/>
          <w:sz w:val="24"/>
        </w:rPr>
        <w:t xml:space="preserve">   Efficacy and Safety Endpoints of </w:t>
      </w:r>
      <w:r>
        <w:rPr>
          <w:rFonts w:hint="eastAsia" w:ascii="Times New Roman" w:hAnsi="Times New Roman" w:eastAsia="等线" w:cs="Times New Roman"/>
          <w:b/>
          <w:bCs/>
          <w:color w:val="000000"/>
          <w:sz w:val="24"/>
        </w:rPr>
        <w:t>I</w:t>
      </w:r>
      <w:r>
        <w:rPr>
          <w:rFonts w:ascii="Times New Roman" w:hAnsi="Times New Roman" w:eastAsia="等线" w:cs="Times New Roman"/>
          <w:b/>
          <w:bCs/>
          <w:color w:val="000000"/>
          <w:sz w:val="24"/>
        </w:rPr>
        <w:t xml:space="preserve">ncluded </w:t>
      </w:r>
      <w:r>
        <w:rPr>
          <w:rFonts w:hint="eastAsia" w:ascii="Times New Roman" w:hAnsi="Times New Roman" w:eastAsia="等线" w:cs="Times New Roman"/>
          <w:b/>
          <w:bCs/>
          <w:color w:val="000000"/>
          <w:sz w:val="24"/>
        </w:rPr>
        <w:t>S</w:t>
      </w:r>
      <w:r>
        <w:rPr>
          <w:rFonts w:ascii="Times New Roman" w:hAnsi="Times New Roman" w:eastAsia="等线" w:cs="Times New Roman"/>
          <w:b/>
          <w:bCs/>
          <w:color w:val="000000"/>
          <w:sz w:val="24"/>
        </w:rPr>
        <w:t>tudies</w:t>
      </w:r>
    </w:p>
    <w:tbl>
      <w:tblPr>
        <w:tblStyle w:val="4"/>
        <w:tblW w:w="14006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3"/>
        <w:gridCol w:w="462"/>
        <w:gridCol w:w="10273"/>
        <w:gridCol w:w="1658"/>
        <w:gridCol w:w="40"/>
        <w:gridCol w:w="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67" w:hRule="atLeast"/>
        </w:trPr>
        <w:tc>
          <w:tcPr>
            <w:tcW w:w="1533" w:type="dxa"/>
            <w:tcBorders>
              <w:top w:val="single" w:color="000000" w:sz="8" w:space="0"/>
              <w:left w:val="dotted" w:color="auto" w:sz="0" w:space="0"/>
              <w:bottom w:val="single" w:color="000000" w:sz="8" w:space="0"/>
              <w:right w:val="dotted" w:color="auto" w:sz="0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Study</w:t>
            </w:r>
          </w:p>
        </w:tc>
        <w:tc>
          <w:tcPr>
            <w:tcW w:w="462" w:type="dxa"/>
            <w:tcBorders>
              <w:top w:val="single" w:color="000000" w:sz="8" w:space="0"/>
              <w:left w:val="dotted" w:color="auto" w:sz="0" w:space="0"/>
              <w:bottom w:val="single" w:color="000000" w:sz="8" w:space="0"/>
              <w:right w:val="dotted" w:color="auto" w:sz="0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Year</w:t>
            </w:r>
          </w:p>
        </w:tc>
        <w:tc>
          <w:tcPr>
            <w:tcW w:w="10273" w:type="dxa"/>
            <w:tcBorders>
              <w:top w:val="single" w:color="000000" w:sz="8" w:space="0"/>
              <w:left w:val="dotted" w:color="auto" w:sz="0" w:space="0"/>
              <w:bottom w:val="single" w:color="000000" w:sz="8" w:space="0"/>
              <w:right w:val="dotted" w:color="auto" w:sz="0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The major efficacy endpoints</w:t>
            </w:r>
          </w:p>
        </w:tc>
        <w:tc>
          <w:tcPr>
            <w:tcW w:w="1658" w:type="dxa"/>
            <w:tcBorders>
              <w:top w:val="single" w:color="000000" w:sz="8" w:space="0"/>
              <w:left w:val="dotted" w:color="auto" w:sz="0" w:space="0"/>
              <w:bottom w:val="single" w:color="000000" w:sz="8" w:space="0"/>
              <w:right w:val="dotted" w:color="auto" w:sz="0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The major safety endpoints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67" w:hRule="atLeast"/>
        </w:trPr>
        <w:tc>
          <w:tcPr>
            <w:tcW w:w="1533" w:type="dxa"/>
            <w:tcBorders>
              <w:top w:val="single" w:color="000000" w:sz="8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 xml:space="preserve">COMPASS </w:t>
            </w:r>
          </w:p>
        </w:tc>
        <w:tc>
          <w:tcPr>
            <w:tcW w:w="462" w:type="dxa"/>
            <w:tcBorders>
              <w:top w:val="single" w:color="000000" w:sz="8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2017</w:t>
            </w:r>
          </w:p>
        </w:tc>
        <w:tc>
          <w:tcPr>
            <w:tcW w:w="10273" w:type="dxa"/>
            <w:tcBorders>
              <w:top w:val="single" w:color="000000" w:sz="8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the composite of cardiovascular death, stroke, or myocardial infarction</w:t>
            </w:r>
            <w:r>
              <w:rPr>
                <w:rStyle w:val="8"/>
                <w:rFonts w:ascii="Times New Roman" w:hAnsi="Times New Roman" w:eastAsia="等线" w:cs="Times New Roman"/>
                <w:sz w:val="15"/>
                <w:szCs w:val="15"/>
                <w:lang w:bidi="ar"/>
              </w:rPr>
              <w:t xml:space="preserve"> </w:t>
            </w:r>
          </w:p>
        </w:tc>
        <w:tc>
          <w:tcPr>
            <w:tcW w:w="1658" w:type="dxa"/>
            <w:tcBorders>
              <w:top w:val="single" w:color="000000" w:sz="8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ISTH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67" w:hRule="atLeast"/>
        </w:trPr>
        <w:tc>
          <w:tcPr>
            <w:tcW w:w="1533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COMMANDER HF</w:t>
            </w:r>
          </w:p>
        </w:tc>
        <w:tc>
          <w:tcPr>
            <w:tcW w:w="462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2018</w:t>
            </w:r>
          </w:p>
        </w:tc>
        <w:tc>
          <w:tcPr>
            <w:tcW w:w="10273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the composite of death from any cause, myocardial infarction, or stroke</w:t>
            </w:r>
          </w:p>
        </w:tc>
        <w:tc>
          <w:tcPr>
            <w:tcW w:w="1658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ISTH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67" w:hRule="atLeast"/>
        </w:trPr>
        <w:tc>
          <w:tcPr>
            <w:tcW w:w="1533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APPRAISE</w:t>
            </w:r>
          </w:p>
        </w:tc>
        <w:tc>
          <w:tcPr>
            <w:tcW w:w="462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2009</w:t>
            </w:r>
          </w:p>
        </w:tc>
        <w:tc>
          <w:tcPr>
            <w:tcW w:w="10273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the composite of cardiovascular death, myocardial infarction, severe recurrent ischemia, or ischemic stroke</w:t>
            </w:r>
          </w:p>
        </w:tc>
        <w:tc>
          <w:tcPr>
            <w:tcW w:w="1658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TIMI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67" w:hRule="atLeast"/>
        </w:trPr>
        <w:tc>
          <w:tcPr>
            <w:tcW w:w="1533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APPRAISE-2</w:t>
            </w:r>
          </w:p>
        </w:tc>
        <w:tc>
          <w:tcPr>
            <w:tcW w:w="462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2011</w:t>
            </w:r>
          </w:p>
        </w:tc>
        <w:tc>
          <w:tcPr>
            <w:tcW w:w="10273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the composite of cardiovascular death, myocardial infarction, or ischemic stroke</w:t>
            </w:r>
          </w:p>
        </w:tc>
        <w:tc>
          <w:tcPr>
            <w:tcW w:w="1658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 xml:space="preserve">ISTH TIMI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67" w:hRule="atLeast"/>
        </w:trPr>
        <w:tc>
          <w:tcPr>
            <w:tcW w:w="1533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APPRAISE-J</w:t>
            </w:r>
          </w:p>
        </w:tc>
        <w:tc>
          <w:tcPr>
            <w:tcW w:w="462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2013</w:t>
            </w:r>
          </w:p>
        </w:tc>
        <w:tc>
          <w:tcPr>
            <w:tcW w:w="10273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the composite of all deaths, nonfatal myocardial infarction, unstable angina, and stroke</w:t>
            </w:r>
          </w:p>
        </w:tc>
        <w:tc>
          <w:tcPr>
            <w:tcW w:w="1658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 xml:space="preserve">ISTH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67" w:hRule="atLeast"/>
        </w:trPr>
        <w:tc>
          <w:tcPr>
            <w:tcW w:w="1533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ATLAS ACS-TIMI 46</w:t>
            </w:r>
          </w:p>
        </w:tc>
        <w:tc>
          <w:tcPr>
            <w:tcW w:w="462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2009</w:t>
            </w:r>
          </w:p>
        </w:tc>
        <w:tc>
          <w:tcPr>
            <w:tcW w:w="10273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 xml:space="preserve">the composite of death, myocardial infarction, stroke, or severe recurrent ischemia requiring revascularization </w:t>
            </w:r>
          </w:p>
        </w:tc>
        <w:tc>
          <w:tcPr>
            <w:tcW w:w="1658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TIMI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67" w:hRule="atLeast"/>
        </w:trPr>
        <w:tc>
          <w:tcPr>
            <w:tcW w:w="1533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ATLAS ACS 2–TIMI 51</w:t>
            </w:r>
          </w:p>
        </w:tc>
        <w:tc>
          <w:tcPr>
            <w:tcW w:w="462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2012</w:t>
            </w:r>
          </w:p>
        </w:tc>
        <w:tc>
          <w:tcPr>
            <w:tcW w:w="10273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a composite of death from cardiovascular causes, myocardial infarction, or stroke (ischemic, hemorrhagic, or stroke of uncertain cause)</w:t>
            </w:r>
          </w:p>
        </w:tc>
        <w:tc>
          <w:tcPr>
            <w:tcW w:w="1658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TIMI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67" w:hRule="atLeast"/>
        </w:trPr>
        <w:tc>
          <w:tcPr>
            <w:tcW w:w="1533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GEMINI-ACS-1</w:t>
            </w:r>
          </w:p>
        </w:tc>
        <w:tc>
          <w:tcPr>
            <w:tcW w:w="462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2017</w:t>
            </w:r>
          </w:p>
        </w:tc>
        <w:tc>
          <w:tcPr>
            <w:tcW w:w="10273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the composite of cardiovascular death, myocardial infarction, stroke, or definite stent thrombosis</w:t>
            </w:r>
          </w:p>
        </w:tc>
        <w:tc>
          <w:tcPr>
            <w:tcW w:w="1658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 xml:space="preserve">ISTH TIMI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67" w:hRule="atLeast"/>
        </w:trPr>
        <w:tc>
          <w:tcPr>
            <w:tcW w:w="1533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RE-DEEM</w:t>
            </w:r>
          </w:p>
        </w:tc>
        <w:tc>
          <w:tcPr>
            <w:tcW w:w="462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2011</w:t>
            </w:r>
          </w:p>
        </w:tc>
        <w:tc>
          <w:tcPr>
            <w:tcW w:w="10273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the composite of cardiovascular death, non-fatal myocardial infarction, and non-hemorrhagic stroke</w:t>
            </w:r>
          </w:p>
        </w:tc>
        <w:tc>
          <w:tcPr>
            <w:tcW w:w="1658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 xml:space="preserve">ISTH TIMI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67" w:hRule="atLeast"/>
        </w:trPr>
        <w:tc>
          <w:tcPr>
            <w:tcW w:w="1533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RUBY-1</w:t>
            </w:r>
          </w:p>
        </w:tc>
        <w:tc>
          <w:tcPr>
            <w:tcW w:w="462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2011</w:t>
            </w:r>
          </w:p>
        </w:tc>
        <w:tc>
          <w:tcPr>
            <w:tcW w:w="10273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a composite of death, stroke, myocardial infarction, systemic thromboembolism, and severe recurrent ischemia</w:t>
            </w:r>
          </w:p>
        </w:tc>
        <w:tc>
          <w:tcPr>
            <w:tcW w:w="1658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ISTH TIMI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67" w:hRule="atLeast"/>
        </w:trPr>
        <w:tc>
          <w:tcPr>
            <w:tcW w:w="1533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SEPIA-ACS1 TIMI 42</w:t>
            </w:r>
          </w:p>
        </w:tc>
        <w:tc>
          <w:tcPr>
            <w:tcW w:w="462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2009</w:t>
            </w:r>
          </w:p>
        </w:tc>
        <w:tc>
          <w:tcPr>
            <w:tcW w:w="10273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a composite of all-cause death, myocardial infarction, severe recurrent myocardial ischemia requiring urgent revascularization, or bailout use of a glycoprotein IIb/IIIa inhibitor for recurrent ischemia or a thrombotic complication during percutaneous coronary intervention up to 7 days</w:t>
            </w:r>
          </w:p>
        </w:tc>
        <w:tc>
          <w:tcPr>
            <w:tcW w:w="1658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TIMI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67" w:hRule="atLeast"/>
        </w:trPr>
        <w:tc>
          <w:tcPr>
            <w:tcW w:w="1533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TAO</w:t>
            </w:r>
          </w:p>
        </w:tc>
        <w:tc>
          <w:tcPr>
            <w:tcW w:w="462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2013</w:t>
            </w:r>
          </w:p>
        </w:tc>
        <w:tc>
          <w:tcPr>
            <w:tcW w:w="10273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the composite of all-cause death or new myocardial infarction from randomization to day 7</w:t>
            </w:r>
          </w:p>
        </w:tc>
        <w:tc>
          <w:tcPr>
            <w:tcW w:w="1658" w:type="dxa"/>
            <w:tcBorders>
              <w:top w:val="dotted" w:color="auto" w:sz="4" w:space="0"/>
              <w:left w:val="dotted" w:color="auto" w:sz="0" w:space="0"/>
              <w:bottom w:val="dotted" w:color="auto" w:sz="0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TIMI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67" w:hRule="atLeast"/>
        </w:trPr>
        <w:tc>
          <w:tcPr>
            <w:tcW w:w="1533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ESTEEM</w:t>
            </w:r>
          </w:p>
        </w:tc>
        <w:tc>
          <w:tcPr>
            <w:tcW w:w="462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2008</w:t>
            </w:r>
          </w:p>
        </w:tc>
        <w:tc>
          <w:tcPr>
            <w:tcW w:w="10273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tl2br w:val="nil"/>
              <w:tr2bl w:val="nil"/>
            </w:tcBorders>
            <w:shd w:val="clear" w:color="auto" w:fill="CC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the composite clinical endpoint of death (all-cause mortality), nonfatal MI, and severe recurrent ischemia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  <w:tc>
          <w:tcPr>
            <w:tcW w:w="1658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ISTH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67" w:hRule="atLeast"/>
        </w:trPr>
        <w:tc>
          <w:tcPr>
            <w:tcW w:w="1533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RE-DUAL PCI</w:t>
            </w:r>
          </w:p>
        </w:tc>
        <w:tc>
          <w:tcPr>
            <w:tcW w:w="462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2017</w:t>
            </w:r>
          </w:p>
        </w:tc>
        <w:tc>
          <w:tcPr>
            <w:tcW w:w="10273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a composite efficacy endpoint of thromboembolic events (myocardial infarction, stroke, or systemic embolism), death, or unplanned revascularization.</w:t>
            </w:r>
          </w:p>
        </w:tc>
        <w:tc>
          <w:tcPr>
            <w:tcW w:w="1658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ISTH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0" w:type="dxa"/>
          <w:trHeight w:val="567" w:hRule="atLeast"/>
        </w:trPr>
        <w:tc>
          <w:tcPr>
            <w:tcW w:w="1533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ENTRUST-AF PCI</w:t>
            </w:r>
          </w:p>
        </w:tc>
        <w:tc>
          <w:tcPr>
            <w:tcW w:w="462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2019</w:t>
            </w:r>
          </w:p>
        </w:tc>
        <w:tc>
          <w:tcPr>
            <w:tcW w:w="10273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tl2br w:val="nil"/>
              <w:tr2bl w:val="nil"/>
            </w:tcBorders>
            <w:shd w:val="clear" w:color="auto" w:fill="CC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 xml:space="preserve">the composite of cardiovascular death, stroke, </w:t>
            </w:r>
            <w:bookmarkStart w:id="5" w:name="OLE_LINK7"/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systemic embolic events</w:t>
            </w:r>
            <w:bookmarkEnd w:id="5"/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, myocardial infarction, and definite stent thrombosis.</w:t>
            </w:r>
          </w:p>
        </w:tc>
        <w:tc>
          <w:tcPr>
            <w:tcW w:w="1658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ISTH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33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AUGUSTUS</w:t>
            </w:r>
          </w:p>
        </w:tc>
        <w:tc>
          <w:tcPr>
            <w:tcW w:w="462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2019</w:t>
            </w:r>
          </w:p>
        </w:tc>
        <w:tc>
          <w:tcPr>
            <w:tcW w:w="10273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tl2br w:val="nil"/>
              <w:tr2bl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 the composite of death or ischemic events (stroke, myocardial infarction, stent thrombosis, or urgent revascularization)</w:t>
            </w:r>
          </w:p>
        </w:tc>
        <w:tc>
          <w:tcPr>
            <w:tcW w:w="1658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ISTH</w:t>
            </w:r>
          </w:p>
        </w:tc>
        <w:tc>
          <w:tcPr>
            <w:tcW w:w="40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0" w:type="dxa"/>
            <w:tcBorders>
              <w:top w:val="dotted" w:color="auto" w:sz="4" w:space="0"/>
              <w:left w:val="dotted" w:color="auto" w:sz="0" w:space="0"/>
              <w:bottom w:val="dotted" w:color="auto" w:sz="4" w:space="0"/>
              <w:right w:val="dotted" w:color="auto" w:sz="0" w:space="0"/>
              <w:tl2br w:val="nil"/>
              <w:tr2bl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33" w:type="dxa"/>
            <w:tcBorders>
              <w:top w:val="dotted" w:color="auto" w:sz="4" w:space="0"/>
              <w:left w:val="dotted" w:color="auto" w:sz="0" w:space="0"/>
              <w:bottom w:val="single" w:color="000000" w:sz="8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PIONEER AF-PCI</w:t>
            </w:r>
          </w:p>
        </w:tc>
        <w:tc>
          <w:tcPr>
            <w:tcW w:w="462" w:type="dxa"/>
            <w:tcBorders>
              <w:top w:val="dotted" w:color="auto" w:sz="4" w:space="0"/>
              <w:left w:val="dotted" w:color="auto" w:sz="0" w:space="0"/>
              <w:bottom w:val="single" w:color="000000" w:sz="8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2016</w:t>
            </w:r>
          </w:p>
        </w:tc>
        <w:tc>
          <w:tcPr>
            <w:tcW w:w="10273" w:type="dxa"/>
            <w:tcBorders>
              <w:top w:val="dotted" w:color="auto" w:sz="4" w:space="0"/>
              <w:left w:val="dotted" w:color="auto" w:sz="0" w:space="0"/>
              <w:bottom w:val="single" w:color="000000" w:sz="8" w:space="0"/>
              <w:right w:val="dotted" w:color="auto" w:sz="0" w:space="0"/>
              <w:tl2br w:val="nil"/>
              <w:tr2bl w:val="nil"/>
            </w:tcBorders>
            <w:shd w:val="clear" w:color="auto" w:fill="CC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a composite of death from cardiovascular causes, myocardial infarction, or stroke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.</w:t>
            </w:r>
          </w:p>
        </w:tc>
        <w:tc>
          <w:tcPr>
            <w:tcW w:w="1658" w:type="dxa"/>
            <w:tcBorders>
              <w:top w:val="dotted" w:color="auto" w:sz="4" w:space="0"/>
              <w:left w:val="dotted" w:color="auto" w:sz="0" w:space="0"/>
              <w:bottom w:val="single" w:color="000000" w:sz="8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  <w:t>IMI</w:t>
            </w:r>
          </w:p>
        </w:tc>
        <w:tc>
          <w:tcPr>
            <w:tcW w:w="40" w:type="dxa"/>
            <w:tcBorders>
              <w:top w:val="dotted" w:color="auto" w:sz="4" w:space="0"/>
              <w:left w:val="dotted" w:color="auto" w:sz="0" w:space="0"/>
              <w:bottom w:val="single" w:color="000000" w:sz="8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0" w:type="dxa"/>
            <w:tcBorders>
              <w:top w:val="dotted" w:color="auto" w:sz="4" w:space="0"/>
              <w:left w:val="dotted" w:color="auto" w:sz="0" w:space="0"/>
              <w:bottom w:val="single" w:color="000000" w:sz="8" w:space="0"/>
              <w:right w:val="dotted" w:color="auto" w:sz="0" w:space="0"/>
              <w:tl2br w:val="nil"/>
              <w:tr2bl w:val="nil"/>
            </w:tcBorders>
            <w:shd w:val="clear" w:color="auto" w:fill="CC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</w:tbl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color w:val="000000"/>
          <w:kern w:val="0"/>
          <w:sz w:val="15"/>
          <w:szCs w:val="15"/>
          <w:lang w:bidi="ar"/>
        </w:rPr>
      </w:pPr>
      <w:r>
        <w:rPr>
          <w:rFonts w:ascii="Times New Roman" w:hAnsi="Times New Roman" w:eastAsia="等线" w:cs="Times New Roman"/>
          <w:color w:val="000000"/>
          <w:kern w:val="0"/>
          <w:sz w:val="15"/>
          <w:szCs w:val="15"/>
          <w:lang w:bidi="ar"/>
        </w:rPr>
        <w:t xml:space="preserve">ISTH: International Society of Thrombosis and Hemostasis; TIMI: thrombolysis in myocardial infarction; </w:t>
      </w:r>
      <w:bookmarkEnd w:id="4"/>
    </w:p>
    <w:p>
      <w:pPr>
        <w:widowControl/>
        <w:spacing w:line="480" w:lineRule="auto"/>
        <w:jc w:val="left"/>
        <w:textAlignment w:val="center"/>
        <w:rPr>
          <w:rFonts w:ascii="Times New Roman" w:hAnsi="Times New Roman" w:eastAsia="等线" w:cs="Times New Roman"/>
          <w:color w:val="000000"/>
          <w:kern w:val="0"/>
          <w:sz w:val="15"/>
          <w:szCs w:val="15"/>
          <w:lang w:bidi="ar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15"/>
          <w:szCs w:val="15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MwsTQ1sDAyMDU3MDBS0lEKTi0uzszPAykwrAUAT9hlH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nadian J Cardiology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xe22rexk2a2x5eesz8x2wdnzdst50rwz2st&quot;&gt;review 1-BAG3&lt;record-ids&gt;&lt;item&gt;4046&lt;/item&gt;&lt;item&gt;4048&lt;/item&gt;&lt;item&gt;4049&lt;/item&gt;&lt;item&gt;4050&lt;/item&gt;&lt;item&gt;4051&lt;/item&gt;&lt;item&gt;4057&lt;/item&gt;&lt;item&gt;4058&lt;/item&gt;&lt;item&gt;4059&lt;/item&gt;&lt;item&gt;4068&lt;/item&gt;&lt;item&gt;4069&lt;/item&gt;&lt;item&gt;4070&lt;/item&gt;&lt;item&gt;4071&lt;/item&gt;&lt;item&gt;4072&lt;/item&gt;&lt;item&gt;4073&lt;/item&gt;&lt;item&gt;4074&lt;/item&gt;&lt;item&gt;4075&lt;/item&gt;&lt;item&gt;4076&lt;/item&gt;&lt;item&gt;4077&lt;/item&gt;&lt;item&gt;4078&lt;/item&gt;&lt;item&gt;4079&lt;/item&gt;&lt;item&gt;4107&lt;/item&gt;&lt;item&gt;4110&lt;/item&gt;&lt;item&gt;4116&lt;/item&gt;&lt;item&gt;4117&lt;/item&gt;&lt;item&gt;4118&lt;/item&gt;&lt;item&gt;4119&lt;/item&gt;&lt;item&gt;4120&lt;/item&gt;&lt;item&gt;4121&lt;/item&gt;&lt;item&gt;4122&lt;/item&gt;&lt;item&gt;4123&lt;/item&gt;&lt;item&gt;4124&lt;/item&gt;&lt;item&gt;4125&lt;/item&gt;&lt;item&gt;4126&lt;/item&gt;&lt;item&gt;4127&lt;/item&gt;&lt;item&gt;4128&lt;/item&gt;&lt;item&gt;4129&lt;/item&gt;&lt;item&gt;4130&lt;/item&gt;&lt;item&gt;4131&lt;/item&gt;&lt;item&gt;4132&lt;/item&gt;&lt;item&gt;4133&lt;/item&gt;&lt;item&gt;4134&lt;/item&gt;&lt;/record-ids&gt;&lt;/item&gt;&lt;/Libraries&gt;"/>
  </w:docVars>
  <w:rsids>
    <w:rsidRoot w:val="08D03B4A"/>
    <w:rsid w:val="00112717"/>
    <w:rsid w:val="001E02D9"/>
    <w:rsid w:val="005A034E"/>
    <w:rsid w:val="006504E9"/>
    <w:rsid w:val="006A015A"/>
    <w:rsid w:val="006C5AFF"/>
    <w:rsid w:val="00774EF1"/>
    <w:rsid w:val="007A1E8E"/>
    <w:rsid w:val="00807FF2"/>
    <w:rsid w:val="008426BA"/>
    <w:rsid w:val="008613C4"/>
    <w:rsid w:val="008E575B"/>
    <w:rsid w:val="009C5D98"/>
    <w:rsid w:val="00BD0864"/>
    <w:rsid w:val="00C15096"/>
    <w:rsid w:val="00C260D1"/>
    <w:rsid w:val="00C644EA"/>
    <w:rsid w:val="00DE58DC"/>
    <w:rsid w:val="00E20203"/>
    <w:rsid w:val="00E23F89"/>
    <w:rsid w:val="00EC1D30"/>
    <w:rsid w:val="037F43E3"/>
    <w:rsid w:val="05613414"/>
    <w:rsid w:val="05B07B29"/>
    <w:rsid w:val="05B84F66"/>
    <w:rsid w:val="05F74EFB"/>
    <w:rsid w:val="06425AB2"/>
    <w:rsid w:val="08D03B4A"/>
    <w:rsid w:val="08ED26F1"/>
    <w:rsid w:val="0B7E4683"/>
    <w:rsid w:val="0CDE3363"/>
    <w:rsid w:val="0CE730A4"/>
    <w:rsid w:val="0FE650D4"/>
    <w:rsid w:val="14B13A4C"/>
    <w:rsid w:val="158D3296"/>
    <w:rsid w:val="1667789B"/>
    <w:rsid w:val="170B4F3A"/>
    <w:rsid w:val="17C32F5B"/>
    <w:rsid w:val="1840167D"/>
    <w:rsid w:val="1B722AF9"/>
    <w:rsid w:val="1D434104"/>
    <w:rsid w:val="1D655088"/>
    <w:rsid w:val="1EDC09AE"/>
    <w:rsid w:val="1FAA759E"/>
    <w:rsid w:val="20CF5E0F"/>
    <w:rsid w:val="21496E4A"/>
    <w:rsid w:val="256F1580"/>
    <w:rsid w:val="2C351DDC"/>
    <w:rsid w:val="2F395A0A"/>
    <w:rsid w:val="322534A4"/>
    <w:rsid w:val="330436AA"/>
    <w:rsid w:val="3385726B"/>
    <w:rsid w:val="3530544E"/>
    <w:rsid w:val="39A169DF"/>
    <w:rsid w:val="3C6C2B8E"/>
    <w:rsid w:val="3D5E3DB1"/>
    <w:rsid w:val="40F81EB4"/>
    <w:rsid w:val="47F56953"/>
    <w:rsid w:val="4C501F13"/>
    <w:rsid w:val="4DCE41D0"/>
    <w:rsid w:val="565041D2"/>
    <w:rsid w:val="57B013C2"/>
    <w:rsid w:val="580D2DCE"/>
    <w:rsid w:val="5812785F"/>
    <w:rsid w:val="582D7AA5"/>
    <w:rsid w:val="59FE6343"/>
    <w:rsid w:val="5A063C1E"/>
    <w:rsid w:val="5A227DF5"/>
    <w:rsid w:val="5CBF0063"/>
    <w:rsid w:val="5DE65F76"/>
    <w:rsid w:val="604364ED"/>
    <w:rsid w:val="61C5296B"/>
    <w:rsid w:val="622F60A6"/>
    <w:rsid w:val="628D4A5B"/>
    <w:rsid w:val="63FF0E5C"/>
    <w:rsid w:val="65515B48"/>
    <w:rsid w:val="66174246"/>
    <w:rsid w:val="662B3F0E"/>
    <w:rsid w:val="676573ED"/>
    <w:rsid w:val="6830728D"/>
    <w:rsid w:val="69F54C21"/>
    <w:rsid w:val="6A17799B"/>
    <w:rsid w:val="6A375D1E"/>
    <w:rsid w:val="6E2C7426"/>
    <w:rsid w:val="6EC260AF"/>
    <w:rsid w:val="70560693"/>
    <w:rsid w:val="70941C1B"/>
    <w:rsid w:val="727A74DA"/>
    <w:rsid w:val="74CD728F"/>
    <w:rsid w:val="75673686"/>
    <w:rsid w:val="7B0C2ED5"/>
    <w:rsid w:val="7D913368"/>
    <w:rsid w:val="7EC45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qFormat/>
    <w:uiPriority w:val="0"/>
    <w:rPr>
      <w:sz w:val="20"/>
      <w:szCs w:val="20"/>
    </w:r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character" w:styleId="7">
    <w:name w:val="annotation reference"/>
    <w:basedOn w:val="5"/>
    <w:qFormat/>
    <w:uiPriority w:val="0"/>
    <w:rPr>
      <w:sz w:val="16"/>
      <w:szCs w:val="16"/>
    </w:rPr>
  </w:style>
  <w:style w:type="character" w:customStyle="1" w:styleId="8">
    <w:name w:val="font21"/>
    <w:basedOn w:val="5"/>
    <w:qFormat/>
    <w:uiPriority w:val="0"/>
    <w:rPr>
      <w:rFonts w:ascii="Arial" w:hAnsi="Arial" w:cs="Arial"/>
      <w:color w:val="000000"/>
      <w:sz w:val="28"/>
      <w:szCs w:val="28"/>
      <w:u w:val="none"/>
    </w:rPr>
  </w:style>
  <w:style w:type="character" w:customStyle="1" w:styleId="9">
    <w:name w:val="批注文字 字符"/>
    <w:basedOn w:val="5"/>
    <w:link w:val="2"/>
    <w:qFormat/>
    <w:uiPriority w:val="0"/>
    <w:rPr>
      <w:rFonts w:asciiTheme="minorHAnsi" w:hAnsiTheme="minorHAnsi" w:eastAsiaTheme="minorEastAsia" w:cstheme="minorBidi"/>
      <w:kern w:val="2"/>
    </w:rPr>
  </w:style>
  <w:style w:type="paragraph" w:customStyle="1" w:styleId="10">
    <w:name w:val="EndNote Bibliography"/>
    <w:basedOn w:val="1"/>
    <w:qFormat/>
    <w:uiPriority w:val="0"/>
    <w:rPr>
      <w:rFonts w:ascii="Calibri" w:hAnsi="Calibri" w:cs="Calibri"/>
      <w:sz w:val="20"/>
    </w:rPr>
  </w:style>
  <w:style w:type="character" w:customStyle="1" w:styleId="11">
    <w:name w:val="批注框文本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EndNote Bibliography Title"/>
    <w:basedOn w:val="1"/>
    <w:link w:val="13"/>
    <w:qFormat/>
    <w:uiPriority w:val="0"/>
    <w:pPr>
      <w:jc w:val="center"/>
    </w:pPr>
    <w:rPr>
      <w:rFonts w:ascii="Calibri" w:hAnsi="Calibri" w:cs="Calibri"/>
      <w:sz w:val="20"/>
    </w:rPr>
  </w:style>
  <w:style w:type="character" w:customStyle="1" w:styleId="13">
    <w:name w:val="EndNote Bibliography Title 字符"/>
    <w:basedOn w:val="5"/>
    <w:link w:val="12"/>
    <w:qFormat/>
    <w:uiPriority w:val="0"/>
    <w:rPr>
      <w:rFonts w:ascii="Calibri" w:hAnsi="Calibri" w:cs="Calibri" w:eastAsiaTheme="minorEastAsia"/>
      <w:kern w:val="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21.tiff"/><Relationship Id="rId23" Type="http://schemas.openxmlformats.org/officeDocument/2006/relationships/image" Target="media/image20.tiff"/><Relationship Id="rId22" Type="http://schemas.openxmlformats.org/officeDocument/2006/relationships/image" Target="media/image19.tiff"/><Relationship Id="rId21" Type="http://schemas.openxmlformats.org/officeDocument/2006/relationships/image" Target="media/image18.tiff"/><Relationship Id="rId20" Type="http://schemas.openxmlformats.org/officeDocument/2006/relationships/image" Target="media/image17.tiff"/><Relationship Id="rId2" Type="http://schemas.openxmlformats.org/officeDocument/2006/relationships/settings" Target="settings.xml"/><Relationship Id="rId19" Type="http://schemas.openxmlformats.org/officeDocument/2006/relationships/image" Target="media/image16.tiff"/><Relationship Id="rId18" Type="http://schemas.openxmlformats.org/officeDocument/2006/relationships/image" Target="media/image15.tiff"/><Relationship Id="rId17" Type="http://schemas.openxmlformats.org/officeDocument/2006/relationships/image" Target="media/image14.tiff"/><Relationship Id="rId16" Type="http://schemas.openxmlformats.org/officeDocument/2006/relationships/image" Target="media/image13.tiff"/><Relationship Id="rId15" Type="http://schemas.openxmlformats.org/officeDocument/2006/relationships/image" Target="media/image12.tiff"/><Relationship Id="rId14" Type="http://schemas.openxmlformats.org/officeDocument/2006/relationships/image" Target="media/image11.tiff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29</Pages>
  <Words>1375</Words>
  <Characters>7843</Characters>
  <Lines>65</Lines>
  <Paragraphs>18</Paragraphs>
  <TotalTime>137</TotalTime>
  <ScaleCrop>false</ScaleCrop>
  <LinksUpToDate>false</LinksUpToDate>
  <CharactersWithSpaces>9200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2019-12-31T12:57:00Z</dcterms:created>
  <dc:creator> Bold  Bard</dc:creator>
  <cp:lastModifiedBy> Bold  Bard</cp:lastModifiedBy>
  <dcterms:modified xsi:type="dcterms:W3CDTF">2020-08-20T05:37:44Z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