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B5A75">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14:paraId="0B8B5563">
      <w:pPr>
        <w:rPr>
          <w:rFonts w:eastAsia="Times New Roman"/>
          <w:b/>
          <w:sz w:val="20"/>
          <w:szCs w:val="20"/>
          <w:lang w:eastAsia="en-GB"/>
        </w:rPr>
      </w:pPr>
    </w:p>
    <w:tbl>
      <w:tblPr>
        <w:tblStyle w:val="3"/>
        <w:tblW w:w="14490" w:type="dxa"/>
        <w:tblInd w:w="0" w:type="dxa"/>
        <w:tblLayout w:type="autofit"/>
        <w:tblCellMar>
          <w:top w:w="0" w:type="dxa"/>
          <w:left w:w="108" w:type="dxa"/>
          <w:bottom w:w="0" w:type="dxa"/>
          <w:right w:w="108" w:type="dxa"/>
        </w:tblCellMar>
      </w:tblPr>
      <w:tblGrid>
        <w:gridCol w:w="587"/>
        <w:gridCol w:w="1808"/>
        <w:gridCol w:w="6414"/>
        <w:gridCol w:w="712"/>
        <w:gridCol w:w="4969"/>
      </w:tblGrid>
      <w:tr w14:paraId="53D9CE31">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14:paraId="5317D35B">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08" w:type="dxa"/>
            <w:tcBorders>
              <w:top w:val="single" w:color="auto" w:sz="4" w:space="0"/>
              <w:bottom w:val="single" w:color="7F7F7F" w:sz="6" w:space="0"/>
            </w:tcBorders>
            <w:shd w:val="clear" w:color="auto" w:fill="auto"/>
          </w:tcPr>
          <w:p w14:paraId="0CC03F8F">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6414" w:type="dxa"/>
            <w:tcBorders>
              <w:top w:val="single" w:color="auto" w:sz="4" w:space="0"/>
              <w:bottom w:val="single" w:color="7F7F7F" w:sz="6" w:space="0"/>
            </w:tcBorders>
            <w:shd w:val="clear" w:color="auto" w:fill="auto"/>
          </w:tcPr>
          <w:p w14:paraId="6549048A">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12" w:type="dxa"/>
            <w:tcBorders>
              <w:top w:val="single" w:color="auto" w:sz="4" w:space="0"/>
              <w:bottom w:val="single" w:color="7F7F7F" w:sz="6" w:space="0"/>
            </w:tcBorders>
          </w:tcPr>
          <w:p w14:paraId="007302E4">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969" w:type="dxa"/>
            <w:tcBorders>
              <w:top w:val="single" w:color="auto" w:sz="4" w:space="0"/>
              <w:bottom w:val="single" w:color="7F7F7F" w:sz="6" w:space="0"/>
            </w:tcBorders>
          </w:tcPr>
          <w:p w14:paraId="3D20CC84">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14:paraId="7BFE9F2F">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14:paraId="4BC2810D">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08" w:type="dxa"/>
            <w:tcBorders>
              <w:top w:val="single" w:color="7F7F7F" w:sz="6" w:space="0"/>
              <w:bottom w:val="single" w:color="7F7F7F" w:sz="6" w:space="0"/>
            </w:tcBorders>
            <w:shd w:val="clear" w:color="auto" w:fill="EEEEEE"/>
          </w:tcPr>
          <w:p w14:paraId="48AF55D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6414" w:type="dxa"/>
            <w:tcBorders>
              <w:top w:val="single" w:color="7F7F7F" w:sz="6" w:space="0"/>
              <w:bottom w:val="single" w:color="7F7F7F" w:sz="6" w:space="0"/>
            </w:tcBorders>
            <w:shd w:val="clear" w:color="auto" w:fill="EEEEEE"/>
          </w:tcPr>
          <w:p w14:paraId="40E590C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12" w:type="dxa"/>
            <w:tcBorders>
              <w:top w:val="single" w:color="7F7F7F" w:sz="6" w:space="0"/>
              <w:bottom w:val="single" w:color="7F7F7F" w:sz="6" w:space="0"/>
            </w:tcBorders>
            <w:shd w:val="clear" w:color="auto" w:fill="EEEEEE"/>
          </w:tcPr>
          <w:p w14:paraId="0212111B">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969" w:type="dxa"/>
            <w:tcBorders>
              <w:top w:val="single" w:color="7F7F7F" w:sz="6" w:space="0"/>
              <w:bottom w:val="single" w:color="7F7F7F" w:sz="6" w:space="0"/>
            </w:tcBorders>
            <w:shd w:val="clear" w:color="auto" w:fill="EEEEEE"/>
          </w:tcPr>
          <w:p w14:paraId="19D2FC32">
            <w:pPr>
              <w:spacing w:before="96" w:beforeLines="40" w:after="96" w:afterLines="40" w:line="24" w:lineRule="atLeast"/>
              <w:rPr>
                <w:rFonts w:eastAsia="Times New Roman"/>
                <w:sz w:val="18"/>
                <w:szCs w:val="18"/>
                <w:lang w:val="en-GB" w:eastAsia="en-GB"/>
              </w:rPr>
            </w:pPr>
            <w:r>
              <w:rPr>
                <w:rFonts w:hint="eastAsia"/>
                <w:b w:val="0"/>
                <w:bCs w:val="0"/>
                <w:sz w:val="18"/>
                <w:szCs w:val="18"/>
              </w:rPr>
              <w:t>Platelet perturbation to ciprofloxacin exacerbates IBD through regulation of HLA DR on CD14⁻CD16⁺ monocytes</w:t>
            </w:r>
          </w:p>
        </w:tc>
      </w:tr>
      <w:tr w14:paraId="33861D86">
        <w:tblPrEx>
          <w:tblCellMar>
            <w:top w:w="0" w:type="dxa"/>
            <w:left w:w="108" w:type="dxa"/>
            <w:bottom w:w="0" w:type="dxa"/>
            <w:right w:w="108" w:type="dxa"/>
          </w:tblCellMar>
        </w:tblPrEx>
        <w:tc>
          <w:tcPr>
            <w:tcW w:w="587" w:type="dxa"/>
            <w:tcBorders>
              <w:top w:val="single" w:color="7F7F7F" w:sz="6" w:space="0"/>
            </w:tcBorders>
            <w:shd w:val="clear" w:color="auto" w:fill="auto"/>
          </w:tcPr>
          <w:p w14:paraId="71E14395">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60D984A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6414" w:type="dxa"/>
            <w:tcBorders>
              <w:top w:val="single" w:color="7F7F7F" w:sz="6" w:space="0"/>
            </w:tcBorders>
            <w:shd w:val="clear" w:color="auto" w:fill="auto"/>
          </w:tcPr>
          <w:p w14:paraId="37C4C8E4">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5C95DEF8">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42E988F9">
            <w:pPr>
              <w:spacing w:before="96" w:beforeLines="40" w:after="96" w:afterLines="40" w:line="24" w:lineRule="atLeast"/>
              <w:rPr>
                <w:rFonts w:eastAsia="Cambria"/>
                <w:sz w:val="18"/>
                <w:szCs w:val="18"/>
                <w:lang w:val="en-GB" w:eastAsia="en-US"/>
              </w:rPr>
            </w:pPr>
          </w:p>
        </w:tc>
      </w:tr>
      <w:tr w14:paraId="4F4D9AAC">
        <w:tblPrEx>
          <w:tblCellMar>
            <w:top w:w="0" w:type="dxa"/>
            <w:left w:w="108" w:type="dxa"/>
            <w:bottom w:w="0" w:type="dxa"/>
            <w:right w:w="108" w:type="dxa"/>
          </w:tblCellMar>
        </w:tblPrEx>
        <w:tc>
          <w:tcPr>
            <w:tcW w:w="587" w:type="dxa"/>
            <w:shd w:val="clear" w:color="auto" w:fill="EEEEEE"/>
          </w:tcPr>
          <w:p w14:paraId="60B2C78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08" w:type="dxa"/>
            <w:shd w:val="clear" w:color="auto" w:fill="EEEEEE"/>
          </w:tcPr>
          <w:p w14:paraId="66A1ECEC">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6414" w:type="dxa"/>
            <w:shd w:val="clear" w:color="auto" w:fill="EEEEEE"/>
          </w:tcPr>
          <w:p w14:paraId="72CB897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p w14:paraId="614EEDB4">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53EFDDEA">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969" w:type="dxa"/>
            <w:shd w:val="clear" w:color="auto" w:fill="EEEEEE"/>
          </w:tcPr>
          <w:p w14:paraId="4FC6E7BC">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1. IBD is a chronic inflammatory disease involving immune and hematopoietic dysfunction. Platelets are increasingly recognized as pro-inflammatory cells in IBD. Most prior studies are observational, and this study uses MR to explore a potential causal role of platelet disturbance in IBD via immune cell mediation.</w:t>
            </w:r>
          </w:p>
          <w:p w14:paraId="5845DAC0">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2. Platelets can regulate immune responses and inflammation. Their altered response may affect monocyte function and promote IBD.</w:t>
            </w:r>
          </w:p>
          <w:p w14:paraId="65C161C9">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3. MR reduces confounding and reverse causation by using genetic variants as instrumental variables, providing more reliable causal inference than observational studies.</w:t>
            </w:r>
          </w:p>
          <w:p w14:paraId="7C16798C">
            <w:pPr>
              <w:spacing w:before="96" w:beforeLines="40" w:after="96" w:afterLines="40" w:line="24" w:lineRule="atLeast"/>
              <w:rPr>
                <w:rFonts w:eastAsia="Times New Roman"/>
                <w:sz w:val="18"/>
                <w:szCs w:val="18"/>
                <w:lang w:val="en-GB" w:eastAsia="en-GB"/>
              </w:rPr>
            </w:pPr>
          </w:p>
        </w:tc>
      </w:tr>
      <w:tr w14:paraId="77B86FFC">
        <w:tblPrEx>
          <w:tblCellMar>
            <w:top w:w="0" w:type="dxa"/>
            <w:left w:w="108" w:type="dxa"/>
            <w:bottom w:w="0" w:type="dxa"/>
            <w:right w:w="108" w:type="dxa"/>
          </w:tblCellMar>
        </w:tblPrEx>
        <w:tc>
          <w:tcPr>
            <w:tcW w:w="587" w:type="dxa"/>
            <w:tcBorders>
              <w:bottom w:val="single" w:color="7F7F7F" w:sz="6" w:space="0"/>
            </w:tcBorders>
            <w:shd w:val="clear" w:color="auto" w:fill="auto"/>
          </w:tcPr>
          <w:p w14:paraId="68AB543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08" w:type="dxa"/>
            <w:tcBorders>
              <w:bottom w:val="single" w:color="7F7F7F" w:sz="6" w:space="0"/>
            </w:tcBorders>
            <w:shd w:val="clear" w:color="auto" w:fill="auto"/>
          </w:tcPr>
          <w:p w14:paraId="34A4526E">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6414" w:type="dxa"/>
            <w:tcBorders>
              <w:bottom w:val="single" w:color="7F7F7F" w:sz="6" w:space="0"/>
            </w:tcBorders>
            <w:shd w:val="clear" w:color="auto" w:fill="auto"/>
          </w:tcPr>
          <w:p w14:paraId="32D2C3F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p w14:paraId="6174FB03">
            <w:pPr>
              <w:spacing w:before="96" w:beforeLines="40" w:after="96" w:afterLines="40" w:line="24" w:lineRule="atLeast"/>
              <w:rPr>
                <w:rFonts w:eastAsia="Times New Roman"/>
                <w:sz w:val="18"/>
                <w:szCs w:val="18"/>
                <w:lang w:val="en-GB" w:eastAsia="en-US"/>
              </w:rPr>
            </w:pPr>
          </w:p>
        </w:tc>
        <w:tc>
          <w:tcPr>
            <w:tcW w:w="712" w:type="dxa"/>
            <w:tcBorders>
              <w:bottom w:val="single" w:color="7F7F7F" w:sz="6" w:space="0"/>
            </w:tcBorders>
          </w:tcPr>
          <w:p w14:paraId="182183B6">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969" w:type="dxa"/>
            <w:tcBorders>
              <w:bottom w:val="single" w:color="7F7F7F" w:sz="6" w:space="0"/>
            </w:tcBorders>
          </w:tcPr>
          <w:p w14:paraId="72B92990">
            <w:pPr>
              <w:numPr>
                <w:ilvl w:val="0"/>
                <w:numId w:val="1"/>
              </w:num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The objective of this study is to evaluate the causal effect of platelet disturbance in response to ciprofloxacin on the risk of inflammatory bowel disease (IBD), and to explore whether this effect is mediated by immune cells, particularly HLA-DR on CD14⁻CD16⁺ monocytes.</w:t>
            </w:r>
          </w:p>
          <w:p w14:paraId="159AF382">
            <w:pPr>
              <w:numPr>
                <w:ilvl w:val="0"/>
                <w:numId w:val="1"/>
              </w:num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US"/>
              </w:rPr>
              <w:t>Mendelian randomization (MR) is used to estimate causal effects under specific assumptions, including relevance, independence, and exclusion restriction, by leveraging genetic variants as instrumental variables.</w:t>
            </w:r>
          </w:p>
        </w:tc>
      </w:tr>
      <w:tr w14:paraId="128C586D">
        <w:tblPrEx>
          <w:tblCellMar>
            <w:top w:w="0" w:type="dxa"/>
            <w:left w:w="108" w:type="dxa"/>
            <w:bottom w:w="0" w:type="dxa"/>
            <w:right w:w="108" w:type="dxa"/>
          </w:tblCellMar>
        </w:tblPrEx>
        <w:tc>
          <w:tcPr>
            <w:tcW w:w="587" w:type="dxa"/>
            <w:tcBorders>
              <w:top w:val="single" w:color="7F7F7F" w:sz="6" w:space="0"/>
            </w:tcBorders>
            <w:shd w:val="clear" w:color="auto" w:fill="EEEEEE"/>
          </w:tcPr>
          <w:p w14:paraId="478B6DE0">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EEEEEE"/>
          </w:tcPr>
          <w:p w14:paraId="0395278D">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6414" w:type="dxa"/>
            <w:tcBorders>
              <w:top w:val="single" w:color="7F7F7F" w:sz="6" w:space="0"/>
            </w:tcBorders>
            <w:shd w:val="clear" w:color="auto" w:fill="EEEEEE"/>
          </w:tcPr>
          <w:p w14:paraId="7E095A26">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shd w:val="clear" w:color="auto" w:fill="EEEEEE"/>
          </w:tcPr>
          <w:p w14:paraId="682708AE">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shd w:val="clear" w:color="auto" w:fill="EEEEEE"/>
          </w:tcPr>
          <w:p w14:paraId="383AE086">
            <w:pPr>
              <w:spacing w:before="96" w:beforeLines="40" w:after="96" w:afterLines="40" w:line="24" w:lineRule="atLeast"/>
              <w:rPr>
                <w:rFonts w:eastAsia="Cambria"/>
                <w:sz w:val="18"/>
                <w:szCs w:val="18"/>
                <w:lang w:val="en-GB" w:eastAsia="en-US"/>
              </w:rPr>
            </w:pPr>
          </w:p>
        </w:tc>
      </w:tr>
      <w:tr w14:paraId="6170DB97">
        <w:tblPrEx>
          <w:tblCellMar>
            <w:top w:w="0" w:type="dxa"/>
            <w:left w:w="108" w:type="dxa"/>
            <w:bottom w:w="0" w:type="dxa"/>
            <w:right w:w="108" w:type="dxa"/>
          </w:tblCellMar>
        </w:tblPrEx>
        <w:tc>
          <w:tcPr>
            <w:tcW w:w="587" w:type="dxa"/>
            <w:shd w:val="clear" w:color="auto" w:fill="auto"/>
          </w:tcPr>
          <w:p w14:paraId="5EEBBAA4">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08" w:type="dxa"/>
            <w:shd w:val="clear" w:color="auto" w:fill="auto"/>
          </w:tcPr>
          <w:p w14:paraId="47A029D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6414" w:type="dxa"/>
            <w:shd w:val="clear" w:color="auto" w:fill="auto"/>
          </w:tcPr>
          <w:p w14:paraId="70A0715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p w14:paraId="348BBDDF">
            <w:pPr>
              <w:spacing w:before="96" w:beforeLines="40" w:after="96" w:afterLines="40" w:line="24" w:lineRule="atLeast"/>
              <w:rPr>
                <w:rFonts w:eastAsia="Times New Roman"/>
                <w:sz w:val="18"/>
                <w:szCs w:val="18"/>
                <w:lang w:val="en-GB" w:eastAsia="en-US"/>
              </w:rPr>
            </w:pPr>
          </w:p>
        </w:tc>
        <w:tc>
          <w:tcPr>
            <w:tcW w:w="712" w:type="dxa"/>
          </w:tcPr>
          <w:p w14:paraId="0BC8FBC0">
            <w:pPr>
              <w:spacing w:before="96" w:beforeLines="40" w:after="96" w:afterLines="40" w:line="24" w:lineRule="atLeast"/>
              <w:rPr>
                <w:rFonts w:hint="eastAsia" w:eastAsia="宋体"/>
                <w:sz w:val="18"/>
                <w:szCs w:val="18"/>
                <w:lang w:val="en-US" w:eastAsia="zh-CN"/>
              </w:rPr>
            </w:pPr>
          </w:p>
        </w:tc>
        <w:tc>
          <w:tcPr>
            <w:tcW w:w="4969" w:type="dxa"/>
          </w:tcPr>
          <w:p w14:paraId="3BB080E5">
            <w:pPr>
              <w:spacing w:before="96" w:beforeLines="40" w:after="96" w:afterLines="40" w:line="24" w:lineRule="atLeast"/>
              <w:rPr>
                <w:rFonts w:hint="default" w:eastAsia="宋体"/>
                <w:sz w:val="18"/>
                <w:szCs w:val="18"/>
                <w:lang w:val="en-US" w:eastAsia="zh-CN"/>
              </w:rPr>
            </w:pPr>
          </w:p>
        </w:tc>
      </w:tr>
      <w:tr w14:paraId="1C8A14DB">
        <w:tblPrEx>
          <w:tblCellMar>
            <w:top w:w="0" w:type="dxa"/>
            <w:left w:w="108" w:type="dxa"/>
            <w:bottom w:w="0" w:type="dxa"/>
            <w:right w:w="108" w:type="dxa"/>
          </w:tblCellMar>
        </w:tblPrEx>
        <w:tc>
          <w:tcPr>
            <w:tcW w:w="587" w:type="dxa"/>
            <w:shd w:val="clear" w:color="auto" w:fill="EEEEEE"/>
          </w:tcPr>
          <w:p w14:paraId="747FD349">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0B3CCE9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74E6BF29">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12" w:type="dxa"/>
            <w:shd w:val="clear" w:color="auto" w:fill="EEEEEE"/>
          </w:tcPr>
          <w:p w14:paraId="3C4B7500">
            <w:pPr>
              <w:spacing w:before="96" w:beforeLines="40" w:after="96" w:afterLines="40" w:line="24" w:lineRule="atLeast"/>
              <w:rPr>
                <w:rFonts w:eastAsia="Times New Roman"/>
                <w:sz w:val="18"/>
                <w:szCs w:val="18"/>
                <w:shd w:val="clear" w:color="auto" w:fill="FFFFFF"/>
                <w:lang w:val="en-GB" w:eastAsia="en-GB"/>
              </w:rPr>
            </w:pPr>
          </w:p>
        </w:tc>
        <w:tc>
          <w:tcPr>
            <w:tcW w:w="4969" w:type="dxa"/>
            <w:shd w:val="clear" w:color="auto" w:fill="EEEEEE"/>
          </w:tcPr>
          <w:p w14:paraId="47AE30A2">
            <w:pPr>
              <w:spacing w:before="96" w:beforeLines="40" w:after="96" w:afterLines="40" w:line="24" w:lineRule="atLeast"/>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4BCD68B0">
        <w:tblPrEx>
          <w:tblCellMar>
            <w:top w:w="0" w:type="dxa"/>
            <w:left w:w="108" w:type="dxa"/>
            <w:bottom w:w="0" w:type="dxa"/>
            <w:right w:w="108" w:type="dxa"/>
          </w:tblCellMar>
        </w:tblPrEx>
        <w:tc>
          <w:tcPr>
            <w:tcW w:w="587" w:type="dxa"/>
            <w:shd w:val="clear" w:color="auto" w:fill="auto"/>
          </w:tcPr>
          <w:p w14:paraId="7E79175E">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5962BEE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7FEB1E75">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12" w:type="dxa"/>
          </w:tcPr>
          <w:p w14:paraId="695E3220">
            <w:pPr>
              <w:spacing w:before="96" w:beforeLines="40" w:after="96" w:afterLines="40" w:line="24" w:lineRule="atLeast"/>
              <w:textAlignment w:val="baseline"/>
              <w:rPr>
                <w:rFonts w:hint="eastAsia" w:eastAsia="宋体"/>
                <w:sz w:val="18"/>
                <w:szCs w:val="18"/>
                <w:shd w:val="clear" w:color="auto" w:fill="FFFFFF"/>
                <w:lang w:val="en-US" w:eastAsia="zh-CN"/>
              </w:rPr>
            </w:pPr>
          </w:p>
        </w:tc>
        <w:tc>
          <w:tcPr>
            <w:tcW w:w="4969" w:type="dxa"/>
          </w:tcPr>
          <w:p w14:paraId="10E70746">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宋体"/>
                <w:sz w:val="18"/>
                <w:szCs w:val="18"/>
                <w:lang w:val="en-US" w:eastAsia="zh-CN"/>
              </w:rPr>
              <w:t>In Table 1</w:t>
            </w:r>
          </w:p>
        </w:tc>
      </w:tr>
      <w:tr w14:paraId="221B0DD1">
        <w:tblPrEx>
          <w:tblCellMar>
            <w:top w:w="0" w:type="dxa"/>
            <w:left w:w="108" w:type="dxa"/>
            <w:bottom w:w="0" w:type="dxa"/>
            <w:right w:w="108" w:type="dxa"/>
          </w:tblCellMar>
        </w:tblPrEx>
        <w:tc>
          <w:tcPr>
            <w:tcW w:w="587" w:type="dxa"/>
            <w:shd w:val="clear" w:color="auto" w:fill="EEEEEE"/>
          </w:tcPr>
          <w:p w14:paraId="0D0953C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29A44D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62BF1541">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12" w:type="dxa"/>
            <w:shd w:val="clear" w:color="auto" w:fill="EEEEEE"/>
          </w:tcPr>
          <w:p w14:paraId="3241060E">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969" w:type="dxa"/>
            <w:shd w:val="clear" w:color="auto" w:fill="EEEEEE"/>
          </w:tcPr>
          <w:p w14:paraId="46FA2CA3">
            <w:pPr>
              <w:spacing w:before="96" w:beforeLines="40" w:after="96" w:afterLines="40" w:line="24" w:lineRule="atLeast"/>
              <w:rPr>
                <w:rFonts w:eastAsia="Times New Roman"/>
                <w:sz w:val="18"/>
                <w:szCs w:val="18"/>
                <w:lang w:val="en-GB" w:eastAsia="en-GB"/>
              </w:rPr>
            </w:pPr>
          </w:p>
        </w:tc>
      </w:tr>
      <w:tr w14:paraId="0396C451">
        <w:tblPrEx>
          <w:tblCellMar>
            <w:top w:w="0" w:type="dxa"/>
            <w:left w:w="108" w:type="dxa"/>
            <w:bottom w:w="0" w:type="dxa"/>
            <w:right w:w="108" w:type="dxa"/>
          </w:tblCellMar>
        </w:tblPrEx>
        <w:tc>
          <w:tcPr>
            <w:tcW w:w="587" w:type="dxa"/>
            <w:shd w:val="clear" w:color="auto" w:fill="auto"/>
          </w:tcPr>
          <w:p w14:paraId="3A6F9FE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0F6B3A8">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3710F171">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12" w:type="dxa"/>
          </w:tcPr>
          <w:p w14:paraId="7A6E147E">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969" w:type="dxa"/>
          </w:tcPr>
          <w:p w14:paraId="6FD22CB2">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0F90A8C2">
        <w:tblPrEx>
          <w:tblCellMar>
            <w:top w:w="0" w:type="dxa"/>
            <w:left w:w="108" w:type="dxa"/>
            <w:bottom w:w="0" w:type="dxa"/>
            <w:right w:w="108" w:type="dxa"/>
          </w:tblCellMar>
        </w:tblPrEx>
        <w:tc>
          <w:tcPr>
            <w:tcW w:w="587" w:type="dxa"/>
            <w:shd w:val="clear" w:color="auto" w:fill="EEEEEE"/>
          </w:tcPr>
          <w:p w14:paraId="32C32FE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242D484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shd w:val="clear" w:color="auto" w:fill="EEEEEE"/>
          </w:tcPr>
          <w:p w14:paraId="2645E601">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12" w:type="dxa"/>
            <w:shd w:val="clear" w:color="auto" w:fill="EEEEEE"/>
          </w:tcPr>
          <w:p w14:paraId="300738B0">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969" w:type="dxa"/>
            <w:shd w:val="clear" w:color="auto" w:fill="EEEEEE"/>
          </w:tcPr>
          <w:p w14:paraId="6DBE1F8B">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Not applicable.</w:t>
            </w:r>
          </w:p>
        </w:tc>
      </w:tr>
      <w:tr w14:paraId="6F7C4258">
        <w:tblPrEx>
          <w:tblCellMar>
            <w:top w:w="0" w:type="dxa"/>
            <w:left w:w="108" w:type="dxa"/>
            <w:bottom w:w="0" w:type="dxa"/>
            <w:right w:w="108" w:type="dxa"/>
          </w:tblCellMar>
        </w:tblPrEx>
        <w:tc>
          <w:tcPr>
            <w:tcW w:w="587" w:type="dxa"/>
            <w:shd w:val="clear" w:color="auto" w:fill="auto"/>
          </w:tcPr>
          <w:p w14:paraId="52BA5A3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08" w:type="dxa"/>
            <w:shd w:val="clear" w:color="auto" w:fill="auto"/>
          </w:tcPr>
          <w:p w14:paraId="38EC7C4C">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14:paraId="2106C025">
            <w:pPr>
              <w:spacing w:before="96" w:beforeLines="40" w:after="96" w:afterLines="40" w:line="24" w:lineRule="atLeast"/>
              <w:jc w:val="center"/>
              <w:rPr>
                <w:rFonts w:eastAsia="Cambria"/>
                <w:sz w:val="18"/>
                <w:szCs w:val="18"/>
                <w:lang w:val="en-GB" w:eastAsia="en-US"/>
              </w:rPr>
            </w:pPr>
          </w:p>
        </w:tc>
        <w:tc>
          <w:tcPr>
            <w:tcW w:w="6414" w:type="dxa"/>
            <w:shd w:val="clear" w:color="auto" w:fill="auto"/>
          </w:tcPr>
          <w:p w14:paraId="120FE65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p w14:paraId="66AC1D60">
            <w:pPr>
              <w:spacing w:before="96" w:beforeLines="40" w:after="96" w:afterLines="40" w:line="24" w:lineRule="atLeast"/>
              <w:rPr>
                <w:rFonts w:eastAsia="Times New Roman"/>
                <w:sz w:val="18"/>
                <w:szCs w:val="18"/>
                <w:lang w:val="en-GB" w:eastAsia="en-GB"/>
              </w:rPr>
            </w:pPr>
          </w:p>
        </w:tc>
        <w:tc>
          <w:tcPr>
            <w:tcW w:w="712" w:type="dxa"/>
          </w:tcPr>
          <w:p w14:paraId="57775D3C">
            <w:pPr>
              <w:spacing w:before="96" w:beforeLines="40" w:after="96" w:afterLines="40" w:line="24" w:lineRule="atLeast"/>
              <w:rPr>
                <w:rFonts w:hint="eastAsia" w:eastAsia="宋体"/>
                <w:sz w:val="18"/>
                <w:szCs w:val="18"/>
                <w:lang w:val="en-US" w:eastAsia="zh-CN"/>
              </w:rPr>
            </w:pPr>
          </w:p>
        </w:tc>
        <w:tc>
          <w:tcPr>
            <w:tcW w:w="4969" w:type="dxa"/>
          </w:tcPr>
          <w:p w14:paraId="366D8BC1">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Relevance Assumption: The genetic variants (SNPs) used as instrumental variables (IVs) are strongly associated with the exposure. Independence Assumption: The genetic variants used as IVs are independent of confounders that may influence both the exposure  and the outcome. This assumption ensures that the IVs are not correlated with any external factors that could bias the causal estimate.</w:t>
            </w:r>
          </w:p>
          <w:p w14:paraId="745B6FE1">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 xml:space="preserve">Exclusion Restriction Assumption: The genetic variants affect the outcome  only through the exposure  and not through any other pathway. </w:t>
            </w:r>
          </w:p>
          <w:p w14:paraId="5A6BC32A">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absence of pleiotropy was ensured by MR-EGGER REGRESSION and MR-PRESSO, in addition to the sensitivity analyses: heterogeneity (by Cochran's Q statistic and funnel plot) and Leave-One-Out analysis.</w:t>
            </w:r>
          </w:p>
        </w:tc>
      </w:tr>
      <w:tr w14:paraId="0ADD3B66">
        <w:tblPrEx>
          <w:tblCellMar>
            <w:top w:w="0" w:type="dxa"/>
            <w:left w:w="108" w:type="dxa"/>
            <w:bottom w:w="0" w:type="dxa"/>
            <w:right w:w="108" w:type="dxa"/>
          </w:tblCellMar>
        </w:tblPrEx>
        <w:tc>
          <w:tcPr>
            <w:tcW w:w="587" w:type="dxa"/>
            <w:shd w:val="clear" w:color="auto" w:fill="EEEEEE"/>
          </w:tcPr>
          <w:p w14:paraId="31523DA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08" w:type="dxa"/>
            <w:shd w:val="clear" w:color="auto" w:fill="EEEEEE"/>
          </w:tcPr>
          <w:p w14:paraId="4FFEA0BF">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6414" w:type="dxa"/>
            <w:shd w:val="clear" w:color="auto" w:fill="EEEEEE"/>
          </w:tcPr>
          <w:p w14:paraId="2E09217A">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12" w:type="dxa"/>
            <w:shd w:val="clear" w:color="auto" w:fill="EEEEEE"/>
          </w:tcPr>
          <w:p w14:paraId="70DA895B">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1B0CC803">
            <w:pPr>
              <w:spacing w:before="96" w:beforeLines="40" w:after="96" w:afterLines="40" w:line="24" w:lineRule="atLeast"/>
              <w:rPr>
                <w:rFonts w:eastAsia="Times New Roman"/>
                <w:sz w:val="18"/>
                <w:szCs w:val="18"/>
                <w:lang w:val="en-GB" w:eastAsia="en-GB"/>
              </w:rPr>
            </w:pPr>
          </w:p>
        </w:tc>
      </w:tr>
      <w:tr w14:paraId="50E33C26">
        <w:tblPrEx>
          <w:tblCellMar>
            <w:top w:w="0" w:type="dxa"/>
            <w:left w:w="108" w:type="dxa"/>
            <w:bottom w:w="0" w:type="dxa"/>
            <w:right w:w="108" w:type="dxa"/>
          </w:tblCellMar>
        </w:tblPrEx>
        <w:tc>
          <w:tcPr>
            <w:tcW w:w="587" w:type="dxa"/>
            <w:shd w:val="clear" w:color="auto" w:fill="auto"/>
          </w:tcPr>
          <w:p w14:paraId="7A91D70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5FC82F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4378A68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12" w:type="dxa"/>
          </w:tcPr>
          <w:p w14:paraId="00EBBB50">
            <w:pPr>
              <w:spacing w:before="96" w:beforeLines="40" w:after="96" w:afterLines="40" w:line="24" w:lineRule="atLeast"/>
              <w:rPr>
                <w:rFonts w:eastAsia="Times New Roman"/>
                <w:sz w:val="18"/>
                <w:szCs w:val="18"/>
                <w:lang w:val="en-GB" w:eastAsia="en-GB"/>
              </w:rPr>
            </w:pPr>
          </w:p>
        </w:tc>
        <w:tc>
          <w:tcPr>
            <w:tcW w:w="4969" w:type="dxa"/>
          </w:tcPr>
          <w:p w14:paraId="7386E212">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All exposures, outcomes, and mediators were analyzed on a standardized scale per one standard deviation (SD) increase in the genetically predicted level of each phenotype. Causal estimates were reported as odds ratios (ORs) with 95% confidence intervals (CIs), derived from Mendelian randomization models. The primary analytical method was the inverse variance weighted (IVW) model, supplemented by MR-Egger and weighted median methods. All instrumental variables had F-statistics &gt; 10 to ensure strength and avoid weak instrument bias.</w:t>
            </w:r>
          </w:p>
        </w:tc>
      </w:tr>
      <w:tr w14:paraId="18E7323B">
        <w:tblPrEx>
          <w:tblCellMar>
            <w:top w:w="0" w:type="dxa"/>
            <w:left w:w="108" w:type="dxa"/>
            <w:bottom w:w="0" w:type="dxa"/>
            <w:right w:w="108" w:type="dxa"/>
          </w:tblCellMar>
        </w:tblPrEx>
        <w:tc>
          <w:tcPr>
            <w:tcW w:w="587" w:type="dxa"/>
            <w:shd w:val="clear" w:color="auto" w:fill="EEEEEE"/>
          </w:tcPr>
          <w:p w14:paraId="5B080091">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58A16A1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16CFCEF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12" w:type="dxa"/>
            <w:shd w:val="clear" w:color="auto" w:fill="EEEEEE"/>
          </w:tcPr>
          <w:p w14:paraId="0040F0FA">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012EE6E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Genetic variants (SNPs) were selected as instrumental variables (IVs) based on their association with the exposure at genome-wide significance levels (P &lt; 5 × 10^-8) where possible. If this threshold was not met, SNPs with P &lt; 1 × 10^-5 were used as candidate IVs. These SNPs were further pruned for linkage disequilibrium (LD) to ensure independence (using a threshold of r² &lt; 0.001 and a window size of 10,000 kb).  Only SNPs with F-statistic &gt; 10 were retained to avoid weak instrument bias.</w:t>
            </w:r>
          </w:p>
        </w:tc>
      </w:tr>
      <w:tr w14:paraId="2B2987E9">
        <w:tblPrEx>
          <w:tblCellMar>
            <w:top w:w="0" w:type="dxa"/>
            <w:left w:w="108" w:type="dxa"/>
            <w:bottom w:w="0" w:type="dxa"/>
            <w:right w:w="108" w:type="dxa"/>
          </w:tblCellMar>
        </w:tblPrEx>
        <w:tc>
          <w:tcPr>
            <w:tcW w:w="587" w:type="dxa"/>
            <w:shd w:val="clear" w:color="auto" w:fill="auto"/>
          </w:tcPr>
          <w:p w14:paraId="1748E72A">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DBFF87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7840134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12" w:type="dxa"/>
          </w:tcPr>
          <w:p w14:paraId="2542A590">
            <w:pPr>
              <w:spacing w:before="96" w:beforeLines="40" w:after="96" w:afterLines="40" w:line="24" w:lineRule="atLeast"/>
              <w:rPr>
                <w:rFonts w:eastAsia="Times New Roman"/>
                <w:sz w:val="18"/>
                <w:szCs w:val="18"/>
                <w:lang w:val="en-GB" w:eastAsia="en-GB"/>
              </w:rPr>
            </w:pPr>
          </w:p>
        </w:tc>
        <w:tc>
          <w:tcPr>
            <w:tcW w:w="4969" w:type="dxa"/>
          </w:tcPr>
          <w:p w14:paraId="6F312EB7">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The primary Mendelian Randomization (MR) estimator used was the Inverse Variance Weighted (IVW) method, which provides a consistent estimate of the causal effect when there is no heterogeneity. Additional methods such as MR-Egger, Weighted Median, and Simple Mode were applied as sensitivity analyses to check for robustness. The direction of causality was confirmed through the IVW method, and a significant P-value (P &lt; 0.05) was taken as evidence of a causal relationship. In the case of mediation analysis, a two-step MR approach was used to estimate the indirect effect of Immune cells</w:t>
            </w:r>
          </w:p>
          <w:p w14:paraId="7DED980E">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In two-sample MR, the same set of genetic covariates (SNPs) was used for adjustment in both the exposure (gut microbiota) and the outcome (IBD). The genetic instruments were harmonized across datasets to ensure consistency in the alleles used for estimation, reducing the risk of bias from misalignment.</w:t>
            </w:r>
          </w:p>
        </w:tc>
      </w:tr>
      <w:tr w14:paraId="56E47B76">
        <w:tblPrEx>
          <w:tblCellMar>
            <w:top w:w="0" w:type="dxa"/>
            <w:left w:w="108" w:type="dxa"/>
            <w:bottom w:w="0" w:type="dxa"/>
            <w:right w:w="108" w:type="dxa"/>
          </w:tblCellMar>
        </w:tblPrEx>
        <w:tc>
          <w:tcPr>
            <w:tcW w:w="587" w:type="dxa"/>
            <w:shd w:val="clear" w:color="auto" w:fill="EEEEEE"/>
          </w:tcPr>
          <w:p w14:paraId="793CABD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6FC9A61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EEEEEE"/>
          </w:tcPr>
          <w:p w14:paraId="118EEA90">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12" w:type="dxa"/>
            <w:shd w:val="clear" w:color="auto" w:fill="EEEEEE"/>
          </w:tcPr>
          <w:p w14:paraId="0F238FBF">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11CC0C80">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Missing data were addressed by excluding palindromic and ambiguous SNPs during the data harmonization process. SNPs that could not be aligned consistently between the exposure and outcome datasets were removed from the analysis. If additional SNPs were missing from one of the samples, they were excluded to maintain consistency in the analyses.</w:t>
            </w:r>
          </w:p>
        </w:tc>
      </w:tr>
      <w:tr w14:paraId="1832D4B5">
        <w:tblPrEx>
          <w:tblCellMar>
            <w:top w:w="0" w:type="dxa"/>
            <w:left w:w="108" w:type="dxa"/>
            <w:bottom w:w="0" w:type="dxa"/>
            <w:right w:w="108" w:type="dxa"/>
          </w:tblCellMar>
        </w:tblPrEx>
        <w:tc>
          <w:tcPr>
            <w:tcW w:w="587" w:type="dxa"/>
            <w:shd w:val="clear" w:color="auto" w:fill="auto"/>
          </w:tcPr>
          <w:p w14:paraId="1D693A04">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8505C4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shd w:val="clear" w:color="auto" w:fill="auto"/>
          </w:tcPr>
          <w:p w14:paraId="630922A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12" w:type="dxa"/>
          </w:tcPr>
          <w:p w14:paraId="6B4412E3">
            <w:pPr>
              <w:spacing w:before="96" w:beforeLines="40" w:after="96" w:afterLines="40" w:line="24" w:lineRule="atLeast"/>
              <w:rPr>
                <w:rFonts w:eastAsia="Times New Roman"/>
                <w:sz w:val="18"/>
                <w:szCs w:val="18"/>
                <w:lang w:val="en-GB" w:eastAsia="en-GB"/>
              </w:rPr>
            </w:pPr>
          </w:p>
        </w:tc>
        <w:tc>
          <w:tcPr>
            <w:tcW w:w="4969" w:type="dxa"/>
          </w:tcPr>
          <w:p w14:paraId="338A12BD">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To account for multiple testing, false discovery rate (FDR) correction was applied to the p-values across all Mendelian randomization analyses.</w:t>
            </w:r>
          </w:p>
        </w:tc>
      </w:tr>
      <w:tr w14:paraId="5D57A880">
        <w:tblPrEx>
          <w:tblCellMar>
            <w:top w:w="0" w:type="dxa"/>
            <w:left w:w="108" w:type="dxa"/>
            <w:bottom w:w="0" w:type="dxa"/>
            <w:right w:w="108" w:type="dxa"/>
          </w:tblCellMar>
        </w:tblPrEx>
        <w:tc>
          <w:tcPr>
            <w:tcW w:w="587" w:type="dxa"/>
            <w:shd w:val="clear" w:color="auto" w:fill="EEEEEE"/>
          </w:tcPr>
          <w:p w14:paraId="331C3B2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08" w:type="dxa"/>
            <w:shd w:val="clear" w:color="auto" w:fill="EEEEEE"/>
          </w:tcPr>
          <w:p w14:paraId="6EB481AA">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414" w:type="dxa"/>
            <w:shd w:val="clear" w:color="auto" w:fill="EEEEEE"/>
          </w:tcPr>
          <w:p w14:paraId="34C3DA9B">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p w14:paraId="1BF38D1E">
            <w:pPr>
              <w:tabs>
                <w:tab w:val="left" w:pos="1620"/>
              </w:tabs>
              <w:spacing w:before="96" w:beforeLines="40" w:after="96" w:afterLines="40" w:line="24" w:lineRule="atLeast"/>
              <w:rPr>
                <w:rFonts w:hint="eastAsia" w:eastAsia="Cambria"/>
                <w:sz w:val="18"/>
                <w:szCs w:val="18"/>
                <w:lang w:val="en-GB" w:eastAsia="en-US"/>
              </w:rPr>
            </w:pPr>
          </w:p>
        </w:tc>
        <w:tc>
          <w:tcPr>
            <w:tcW w:w="712" w:type="dxa"/>
            <w:shd w:val="clear" w:color="auto" w:fill="EEEEEE"/>
          </w:tcPr>
          <w:p w14:paraId="747DA7C3">
            <w:pPr>
              <w:tabs>
                <w:tab w:val="left" w:pos="1620"/>
              </w:tabs>
              <w:spacing w:before="96" w:beforeLines="40" w:after="96" w:afterLines="40" w:line="24" w:lineRule="atLeast"/>
              <w:rPr>
                <w:rFonts w:eastAsia="Times New Roman"/>
                <w:sz w:val="18"/>
                <w:szCs w:val="18"/>
                <w:lang w:val="en-GB" w:eastAsia="en-GB"/>
              </w:rPr>
            </w:pPr>
          </w:p>
        </w:tc>
        <w:tc>
          <w:tcPr>
            <w:tcW w:w="4969" w:type="dxa"/>
            <w:shd w:val="clear" w:color="auto" w:fill="EEEEEE"/>
          </w:tcPr>
          <w:p w14:paraId="3238E68C">
            <w:pPr>
              <w:tabs>
                <w:tab w:val="left" w:pos="1620"/>
              </w:tabs>
              <w:spacing w:before="96" w:beforeLines="40" w:after="96" w:afterLines="40" w:line="24" w:lineRule="atLeast"/>
              <w:rPr>
                <w:rFonts w:eastAsia="Times New Roman"/>
                <w:sz w:val="18"/>
                <w:szCs w:val="18"/>
                <w:lang w:val="en-GB" w:eastAsia="en-GB"/>
              </w:rPr>
            </w:pPr>
            <w:r>
              <w:rPr>
                <w:rFonts w:hint="eastAsia" w:eastAsia="Cambria"/>
                <w:sz w:val="18"/>
                <w:szCs w:val="18"/>
                <w:lang w:val="en-GB" w:eastAsia="en-US"/>
              </w:rPr>
              <w:t>To assess the validity of the hypotheses, we adopted measures including rigorous instrumental variable selection criteria, sensitivity analyses (e.g., MR-Egger regression and MR-PRESSO tests), heterogeneity and pleiotropy tests (e.g., Cochran's Q statistic and funnel plots), and validation of the hypotheses through literature and biological mechanisms.</w:t>
            </w:r>
          </w:p>
        </w:tc>
      </w:tr>
      <w:tr w14:paraId="69F7918F">
        <w:tblPrEx>
          <w:tblCellMar>
            <w:top w:w="0" w:type="dxa"/>
            <w:left w:w="108" w:type="dxa"/>
            <w:bottom w:w="0" w:type="dxa"/>
            <w:right w:w="108" w:type="dxa"/>
          </w:tblCellMar>
        </w:tblPrEx>
        <w:tc>
          <w:tcPr>
            <w:tcW w:w="587" w:type="dxa"/>
            <w:shd w:val="clear" w:color="auto" w:fill="auto"/>
          </w:tcPr>
          <w:p w14:paraId="3699B6F7">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08" w:type="dxa"/>
            <w:shd w:val="clear" w:color="auto" w:fill="auto"/>
          </w:tcPr>
          <w:p w14:paraId="5F53ADF7">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6414" w:type="dxa"/>
            <w:shd w:val="clear" w:color="auto" w:fill="auto"/>
          </w:tcPr>
          <w:p w14:paraId="231EE0E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p w14:paraId="5F0E9854">
            <w:pPr>
              <w:spacing w:before="96" w:beforeLines="40" w:after="96" w:afterLines="40" w:line="24" w:lineRule="atLeast"/>
              <w:rPr>
                <w:rFonts w:eastAsia="Times New Roman"/>
                <w:sz w:val="18"/>
                <w:szCs w:val="18"/>
                <w:lang w:val="en-GB" w:eastAsia="en-US"/>
              </w:rPr>
            </w:pPr>
          </w:p>
        </w:tc>
        <w:tc>
          <w:tcPr>
            <w:tcW w:w="712" w:type="dxa"/>
          </w:tcPr>
          <w:p w14:paraId="619CA106">
            <w:pPr>
              <w:spacing w:before="96" w:beforeLines="40" w:after="96" w:afterLines="40" w:line="24" w:lineRule="atLeast"/>
              <w:rPr>
                <w:rFonts w:eastAsia="Times New Roman"/>
                <w:sz w:val="18"/>
                <w:szCs w:val="18"/>
                <w:lang w:val="en-GB" w:eastAsia="en-GB"/>
              </w:rPr>
            </w:pPr>
          </w:p>
        </w:tc>
        <w:tc>
          <w:tcPr>
            <w:tcW w:w="4969" w:type="dxa"/>
          </w:tcPr>
          <w:p w14:paraId="55A17ECC">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Sensitivity analyses: MR-Egger Regression Analysis, if P-value &gt; 0.05, it indicates that the multiplicity is not significant and the results are more reliable.MR-PRESSO GLOBAL TEST P-VALUE, if P-value &gt; 0.05, it indicates that the multiplicity is not significant.Leave-One-Out Analysis exclude each SNP one by one and rerun the MR analysis , observing the changes in the results. Heterogeneity was detected using Cochran's Q statistic and funnel plot. If the P value of Q statistic &gt; 0.05, it indicated that the heterogeneity was not significant.</w:t>
            </w:r>
          </w:p>
        </w:tc>
      </w:tr>
      <w:tr w14:paraId="158EE190">
        <w:tblPrEx>
          <w:tblCellMar>
            <w:top w:w="0" w:type="dxa"/>
            <w:left w:w="108" w:type="dxa"/>
            <w:bottom w:w="0" w:type="dxa"/>
            <w:right w:w="108" w:type="dxa"/>
          </w:tblCellMar>
        </w:tblPrEx>
        <w:tc>
          <w:tcPr>
            <w:tcW w:w="587" w:type="dxa"/>
            <w:shd w:val="clear" w:color="auto" w:fill="EEEEEE"/>
          </w:tcPr>
          <w:p w14:paraId="75DAB28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08" w:type="dxa"/>
            <w:shd w:val="clear" w:color="auto" w:fill="EEEEEE"/>
          </w:tcPr>
          <w:p w14:paraId="3FB4D2A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6414" w:type="dxa"/>
            <w:shd w:val="clear" w:color="auto" w:fill="EEEEEE"/>
          </w:tcPr>
          <w:p w14:paraId="1740CAEF">
            <w:pPr>
              <w:spacing w:before="96" w:beforeLines="40" w:after="96" w:afterLines="40" w:line="24" w:lineRule="atLeast"/>
              <w:rPr>
                <w:rFonts w:eastAsia="Cambria"/>
                <w:sz w:val="18"/>
                <w:szCs w:val="18"/>
                <w:lang w:val="en-GB" w:eastAsia="en-US"/>
              </w:rPr>
            </w:pPr>
          </w:p>
        </w:tc>
        <w:tc>
          <w:tcPr>
            <w:tcW w:w="712" w:type="dxa"/>
            <w:shd w:val="clear" w:color="auto" w:fill="EEEEEE"/>
          </w:tcPr>
          <w:p w14:paraId="23445B9E">
            <w:pPr>
              <w:spacing w:before="96" w:beforeLines="40" w:after="96" w:afterLines="40" w:line="24" w:lineRule="atLeast"/>
              <w:rPr>
                <w:rFonts w:eastAsia="Cambria"/>
                <w:sz w:val="18"/>
                <w:szCs w:val="18"/>
                <w:lang w:val="en-GB" w:eastAsia="en-US"/>
              </w:rPr>
            </w:pPr>
          </w:p>
        </w:tc>
        <w:tc>
          <w:tcPr>
            <w:tcW w:w="4969" w:type="dxa"/>
            <w:shd w:val="clear" w:color="auto" w:fill="EEEEEE"/>
          </w:tcPr>
          <w:p w14:paraId="672E45DA">
            <w:pPr>
              <w:spacing w:before="96" w:beforeLines="40" w:after="96" w:afterLines="40" w:line="24" w:lineRule="atLeast"/>
              <w:rPr>
                <w:rFonts w:eastAsia="Cambria"/>
                <w:sz w:val="18"/>
                <w:szCs w:val="18"/>
                <w:lang w:val="en-GB" w:eastAsia="en-US"/>
              </w:rPr>
            </w:pPr>
          </w:p>
        </w:tc>
      </w:tr>
      <w:tr w14:paraId="1FB4767A">
        <w:tblPrEx>
          <w:tblCellMar>
            <w:top w:w="0" w:type="dxa"/>
            <w:left w:w="108" w:type="dxa"/>
            <w:bottom w:w="0" w:type="dxa"/>
            <w:right w:w="108" w:type="dxa"/>
          </w:tblCellMar>
        </w:tblPrEx>
        <w:tc>
          <w:tcPr>
            <w:tcW w:w="587" w:type="dxa"/>
            <w:shd w:val="clear" w:color="auto" w:fill="auto"/>
          </w:tcPr>
          <w:p w14:paraId="68E75B60">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3F033D7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60BE9FAB">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p w14:paraId="68073CDE">
            <w:pPr>
              <w:spacing w:before="96" w:beforeLines="40" w:after="96" w:afterLines="40" w:line="24" w:lineRule="atLeast"/>
              <w:rPr>
                <w:rFonts w:eastAsia="Times New Roman"/>
                <w:sz w:val="18"/>
                <w:szCs w:val="18"/>
                <w:lang w:val="en-GB" w:eastAsia="en-GB"/>
              </w:rPr>
            </w:pPr>
          </w:p>
        </w:tc>
        <w:tc>
          <w:tcPr>
            <w:tcW w:w="712" w:type="dxa"/>
          </w:tcPr>
          <w:p w14:paraId="0EC2BB0A">
            <w:pPr>
              <w:spacing w:before="96" w:beforeLines="40" w:after="96" w:afterLines="40" w:line="24" w:lineRule="atLeast"/>
              <w:rPr>
                <w:rFonts w:eastAsia="Times New Roman"/>
                <w:sz w:val="18"/>
                <w:szCs w:val="18"/>
                <w:lang w:val="en-GB" w:eastAsia="en-GB"/>
              </w:rPr>
            </w:pPr>
          </w:p>
        </w:tc>
        <w:tc>
          <w:tcPr>
            <w:tcW w:w="4969" w:type="dxa"/>
          </w:tcPr>
          <w:p w14:paraId="36BF693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All analyses were performed using R version 4.3.1. For these analyses, we used various R packages, including "Two Sample MR", "foreach" and "ggplot2".</w:t>
            </w:r>
          </w:p>
        </w:tc>
      </w:tr>
      <w:tr w14:paraId="3091EEBC">
        <w:tblPrEx>
          <w:tblCellMar>
            <w:top w:w="0" w:type="dxa"/>
            <w:left w:w="108" w:type="dxa"/>
            <w:bottom w:w="0" w:type="dxa"/>
            <w:right w:w="108" w:type="dxa"/>
          </w:tblCellMar>
        </w:tblPrEx>
        <w:tc>
          <w:tcPr>
            <w:tcW w:w="587" w:type="dxa"/>
            <w:tcBorders>
              <w:bottom w:val="single" w:color="7F7F7F" w:sz="6" w:space="0"/>
            </w:tcBorders>
            <w:shd w:val="clear" w:color="auto" w:fill="EEEEEE"/>
          </w:tcPr>
          <w:p w14:paraId="74D7C8D5">
            <w:pPr>
              <w:spacing w:before="96" w:beforeLines="40" w:after="96" w:afterLines="40" w:line="24" w:lineRule="atLeast"/>
              <w:jc w:val="right"/>
              <w:rPr>
                <w:rFonts w:eastAsia="Cambria"/>
                <w:b/>
                <w:bCs/>
                <w:sz w:val="18"/>
                <w:szCs w:val="18"/>
                <w:lang w:val="en-GB" w:eastAsia="en-US"/>
              </w:rPr>
            </w:pPr>
          </w:p>
        </w:tc>
        <w:tc>
          <w:tcPr>
            <w:tcW w:w="1808" w:type="dxa"/>
            <w:tcBorders>
              <w:bottom w:val="single" w:color="7F7F7F" w:sz="6" w:space="0"/>
            </w:tcBorders>
            <w:shd w:val="clear" w:color="auto" w:fill="EEEEEE"/>
          </w:tcPr>
          <w:p w14:paraId="4B618BF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tcBorders>
              <w:bottom w:val="single" w:color="7F7F7F" w:sz="6" w:space="0"/>
            </w:tcBorders>
            <w:shd w:val="clear" w:color="auto" w:fill="EEEEEE"/>
          </w:tcPr>
          <w:p w14:paraId="3B3DE63B">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12" w:type="dxa"/>
            <w:tcBorders>
              <w:bottom w:val="single" w:color="7F7F7F" w:sz="6" w:space="0"/>
            </w:tcBorders>
            <w:shd w:val="clear" w:color="auto" w:fill="EEEEEE"/>
          </w:tcPr>
          <w:p w14:paraId="4BFA238B">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54467F6E">
            <w:pPr>
              <w:spacing w:before="96" w:beforeLines="40" w:after="96" w:afterLines="40" w:line="24" w:lineRule="atLeast"/>
              <w:rPr>
                <w:rFonts w:hint="default" w:eastAsia="宋体"/>
                <w:sz w:val="18"/>
                <w:szCs w:val="18"/>
                <w:lang w:val="en-US" w:eastAsia="zh-CN"/>
              </w:rPr>
            </w:pPr>
            <w:r>
              <w:rPr>
                <w:rFonts w:hint="eastAsia" w:eastAsia="Times New Roman"/>
                <w:sz w:val="18"/>
                <w:szCs w:val="18"/>
                <w:lang w:val="en-GB" w:eastAsia="en-GB"/>
              </w:rPr>
              <w:t>Not applicable.</w:t>
            </w:r>
          </w:p>
        </w:tc>
      </w:tr>
      <w:tr w14:paraId="07EBAF89">
        <w:tblPrEx>
          <w:tblCellMar>
            <w:top w:w="0" w:type="dxa"/>
            <w:left w:w="108" w:type="dxa"/>
            <w:bottom w:w="0" w:type="dxa"/>
            <w:right w:w="108" w:type="dxa"/>
          </w:tblCellMar>
        </w:tblPrEx>
        <w:tc>
          <w:tcPr>
            <w:tcW w:w="587" w:type="dxa"/>
            <w:tcBorders>
              <w:top w:val="single" w:color="7F7F7F" w:sz="6" w:space="0"/>
            </w:tcBorders>
            <w:shd w:val="clear" w:color="auto" w:fill="auto"/>
          </w:tcPr>
          <w:p w14:paraId="29D75DF1">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2BC39E06">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6414" w:type="dxa"/>
            <w:tcBorders>
              <w:top w:val="single" w:color="7F7F7F" w:sz="6" w:space="0"/>
            </w:tcBorders>
            <w:shd w:val="clear" w:color="auto" w:fill="auto"/>
          </w:tcPr>
          <w:p w14:paraId="1D28301B">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4D71FC91">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451E13C5">
            <w:pPr>
              <w:spacing w:before="96" w:beforeLines="40" w:after="96" w:afterLines="40" w:line="24" w:lineRule="atLeast"/>
              <w:rPr>
                <w:rFonts w:eastAsia="Cambria"/>
                <w:sz w:val="18"/>
                <w:szCs w:val="18"/>
                <w:lang w:val="en-GB" w:eastAsia="en-US"/>
              </w:rPr>
            </w:pPr>
          </w:p>
        </w:tc>
      </w:tr>
      <w:tr w14:paraId="2CB0C5DC">
        <w:tblPrEx>
          <w:tblCellMar>
            <w:top w:w="0" w:type="dxa"/>
            <w:left w:w="108" w:type="dxa"/>
            <w:bottom w:w="0" w:type="dxa"/>
            <w:right w:w="108" w:type="dxa"/>
          </w:tblCellMar>
        </w:tblPrEx>
        <w:tc>
          <w:tcPr>
            <w:tcW w:w="587" w:type="dxa"/>
            <w:shd w:val="clear" w:color="auto" w:fill="EEEEEE"/>
          </w:tcPr>
          <w:p w14:paraId="7D7F8F9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08" w:type="dxa"/>
            <w:shd w:val="clear" w:color="auto" w:fill="EEEEEE"/>
          </w:tcPr>
          <w:p w14:paraId="08290633">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6414" w:type="dxa"/>
            <w:shd w:val="clear" w:color="auto" w:fill="EEEEEE"/>
          </w:tcPr>
          <w:p w14:paraId="4CF99035">
            <w:pPr>
              <w:spacing w:before="96" w:beforeLines="40" w:after="96" w:afterLines="40" w:line="24" w:lineRule="atLeast"/>
              <w:rPr>
                <w:rFonts w:eastAsia="Cambria"/>
                <w:sz w:val="18"/>
                <w:szCs w:val="18"/>
                <w:lang w:val="en-GB" w:eastAsia="en-US"/>
              </w:rPr>
            </w:pPr>
          </w:p>
        </w:tc>
        <w:tc>
          <w:tcPr>
            <w:tcW w:w="712" w:type="dxa"/>
            <w:shd w:val="clear" w:color="auto" w:fill="EEEEEE"/>
          </w:tcPr>
          <w:p w14:paraId="01B6413E">
            <w:pPr>
              <w:spacing w:before="96" w:beforeLines="40" w:after="96" w:afterLines="40" w:line="24" w:lineRule="atLeast"/>
              <w:rPr>
                <w:rFonts w:eastAsia="Cambria"/>
                <w:sz w:val="18"/>
                <w:szCs w:val="18"/>
                <w:lang w:val="en-GB" w:eastAsia="en-US"/>
              </w:rPr>
            </w:pPr>
          </w:p>
        </w:tc>
        <w:tc>
          <w:tcPr>
            <w:tcW w:w="4969" w:type="dxa"/>
            <w:shd w:val="clear" w:color="auto" w:fill="EEEEEE"/>
          </w:tcPr>
          <w:p w14:paraId="61B84A66">
            <w:pPr>
              <w:spacing w:before="96" w:beforeLines="40" w:after="96" w:afterLines="40" w:line="24" w:lineRule="atLeast"/>
              <w:rPr>
                <w:rFonts w:eastAsia="Cambria"/>
                <w:sz w:val="18"/>
                <w:szCs w:val="18"/>
                <w:lang w:val="en-GB" w:eastAsia="en-US"/>
              </w:rPr>
            </w:pPr>
          </w:p>
        </w:tc>
      </w:tr>
      <w:tr w14:paraId="5108FD50">
        <w:tblPrEx>
          <w:tblCellMar>
            <w:top w:w="0" w:type="dxa"/>
            <w:left w:w="108" w:type="dxa"/>
            <w:bottom w:w="0" w:type="dxa"/>
            <w:right w:w="108" w:type="dxa"/>
          </w:tblCellMar>
        </w:tblPrEx>
        <w:tc>
          <w:tcPr>
            <w:tcW w:w="587" w:type="dxa"/>
            <w:shd w:val="clear" w:color="auto" w:fill="auto"/>
          </w:tcPr>
          <w:p w14:paraId="002F5253">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B855E2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7E292CED">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12" w:type="dxa"/>
          </w:tcPr>
          <w:p w14:paraId="6F50CF15">
            <w:pPr>
              <w:spacing w:before="96" w:beforeLines="40" w:after="96" w:afterLines="40" w:line="24" w:lineRule="atLeast"/>
              <w:rPr>
                <w:rFonts w:eastAsia="Times New Roman"/>
                <w:sz w:val="18"/>
                <w:szCs w:val="18"/>
                <w:lang w:val="en-GB" w:eastAsia="en-GB"/>
              </w:rPr>
            </w:pPr>
          </w:p>
        </w:tc>
        <w:tc>
          <w:tcPr>
            <w:tcW w:w="4969" w:type="dxa"/>
          </w:tcPr>
          <w:p w14:paraId="23ABDB17">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718430FB">
        <w:tblPrEx>
          <w:tblCellMar>
            <w:top w:w="0" w:type="dxa"/>
            <w:left w:w="108" w:type="dxa"/>
            <w:bottom w:w="0" w:type="dxa"/>
            <w:right w:w="108" w:type="dxa"/>
          </w:tblCellMar>
        </w:tblPrEx>
        <w:tc>
          <w:tcPr>
            <w:tcW w:w="587" w:type="dxa"/>
            <w:shd w:val="clear" w:color="auto" w:fill="EEEEEE"/>
          </w:tcPr>
          <w:p w14:paraId="3CD23642">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37CAF9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0590B3D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12" w:type="dxa"/>
            <w:shd w:val="clear" w:color="auto" w:fill="EEEEEE"/>
          </w:tcPr>
          <w:p w14:paraId="5FEC12AB">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52D4A0F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3AFF8F45">
        <w:tblPrEx>
          <w:tblCellMar>
            <w:top w:w="0" w:type="dxa"/>
            <w:left w:w="108" w:type="dxa"/>
            <w:bottom w:w="0" w:type="dxa"/>
            <w:right w:w="108" w:type="dxa"/>
          </w:tblCellMar>
        </w:tblPrEx>
        <w:tc>
          <w:tcPr>
            <w:tcW w:w="587" w:type="dxa"/>
            <w:shd w:val="clear" w:color="auto" w:fill="auto"/>
          </w:tcPr>
          <w:p w14:paraId="20714043">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159AB68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15600B7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12" w:type="dxa"/>
          </w:tcPr>
          <w:p w14:paraId="55EB2767">
            <w:pPr>
              <w:spacing w:before="96" w:beforeLines="40" w:after="96" w:afterLines="40" w:line="24" w:lineRule="atLeast"/>
              <w:rPr>
                <w:rFonts w:eastAsia="Times New Roman"/>
                <w:sz w:val="18"/>
                <w:szCs w:val="18"/>
                <w:lang w:val="en-GB" w:eastAsia="en-GB"/>
              </w:rPr>
            </w:pPr>
          </w:p>
        </w:tc>
        <w:tc>
          <w:tcPr>
            <w:tcW w:w="4969" w:type="dxa"/>
          </w:tcPr>
          <w:p w14:paraId="3E8D2F14">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5028C1C3">
        <w:tblPrEx>
          <w:tblCellMar>
            <w:top w:w="0" w:type="dxa"/>
            <w:left w:w="108" w:type="dxa"/>
            <w:bottom w:w="0" w:type="dxa"/>
            <w:right w:w="108" w:type="dxa"/>
          </w:tblCellMar>
        </w:tblPrEx>
        <w:tc>
          <w:tcPr>
            <w:tcW w:w="587" w:type="dxa"/>
            <w:shd w:val="clear" w:color="auto" w:fill="EEEEEE"/>
          </w:tcPr>
          <w:p w14:paraId="42584ABE">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4D95582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EEEEEE"/>
          </w:tcPr>
          <w:p w14:paraId="27CF865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14:paraId="23DDB1B3">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14:paraId="581F8F82">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ii.  Provide information on the number of individuals who overlap between the exposure and outcome studies</w:t>
            </w:r>
          </w:p>
          <w:p w14:paraId="40DB5074">
            <w:pPr>
              <w:spacing w:before="96" w:beforeLines="40" w:after="96" w:afterLines="40" w:line="24" w:lineRule="atLeast"/>
              <w:rPr>
                <w:rFonts w:eastAsia="Times New Roman"/>
                <w:sz w:val="18"/>
                <w:szCs w:val="18"/>
                <w:lang w:val="en-GB" w:eastAsia="en-GB"/>
              </w:rPr>
            </w:pPr>
          </w:p>
          <w:p w14:paraId="0DB14CC0">
            <w:pPr>
              <w:spacing w:before="96" w:beforeLines="40" w:after="96" w:afterLines="40" w:line="24" w:lineRule="atLeast"/>
              <w:rPr>
                <w:rFonts w:eastAsia="Times New Roman"/>
                <w:sz w:val="18"/>
                <w:szCs w:val="18"/>
                <w:lang w:val="en-GB" w:eastAsia="en-US"/>
              </w:rPr>
            </w:pPr>
          </w:p>
        </w:tc>
        <w:tc>
          <w:tcPr>
            <w:tcW w:w="712" w:type="dxa"/>
            <w:shd w:val="clear" w:color="auto" w:fill="EEEEEE"/>
          </w:tcPr>
          <w:p w14:paraId="63B506E0">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3-5</w:t>
            </w:r>
          </w:p>
        </w:tc>
        <w:tc>
          <w:tcPr>
            <w:tcW w:w="4969" w:type="dxa"/>
            <w:shd w:val="clear" w:color="auto" w:fill="EEEEEE"/>
          </w:tcPr>
          <w:p w14:paraId="563A76A6">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The exposure and outcome datasets were derived from individuals of European ancestry, ensuring comparable linkage disequilibrium (LD) structure and genetic architecture. Therefore, the genetic variant–exposure associations are expected to be consistent across both the exposure (blood cell phenotype) and outcome (IBD) samples. Additionally, cross-population validation was performed using both Finnish and European datasets to enhance the robustness and generalizability of the findings.</w:t>
            </w:r>
          </w:p>
          <w:p w14:paraId="3485A819">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There was no known sample overlap between the exposure GWAS (blood cell perturbation phenotypes) and the outcome GWAS datasets (FinnGen and IIBDGC IBD cohorts). The exposure data were derived from a study involving approximately 2,600 individuals, while the outcome data included large-scale IBD GWAS summary statistics from distinct, non-overlapping European cohorts. The use of independent datasets minimizes bias due to sample overlap in two-sample MR analyses.</w:t>
            </w:r>
          </w:p>
        </w:tc>
      </w:tr>
      <w:tr w14:paraId="1555B6D6">
        <w:tblPrEx>
          <w:tblCellMar>
            <w:top w:w="0" w:type="dxa"/>
            <w:left w:w="108" w:type="dxa"/>
            <w:bottom w:w="0" w:type="dxa"/>
            <w:right w:w="108" w:type="dxa"/>
          </w:tblCellMar>
        </w:tblPrEx>
        <w:tc>
          <w:tcPr>
            <w:tcW w:w="587" w:type="dxa"/>
            <w:shd w:val="clear" w:color="auto" w:fill="auto"/>
          </w:tcPr>
          <w:p w14:paraId="08C0A5A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08" w:type="dxa"/>
            <w:shd w:val="clear" w:color="auto" w:fill="auto"/>
          </w:tcPr>
          <w:p w14:paraId="28A05939">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6414" w:type="dxa"/>
            <w:shd w:val="clear" w:color="auto" w:fill="auto"/>
          </w:tcPr>
          <w:p w14:paraId="7950D455">
            <w:pPr>
              <w:spacing w:before="96" w:beforeLines="40" w:after="96" w:afterLines="40" w:line="24" w:lineRule="atLeast"/>
              <w:rPr>
                <w:rFonts w:eastAsia="Cambria"/>
                <w:sz w:val="18"/>
                <w:szCs w:val="18"/>
                <w:lang w:val="en-GB" w:eastAsia="en-US"/>
              </w:rPr>
            </w:pPr>
          </w:p>
        </w:tc>
        <w:tc>
          <w:tcPr>
            <w:tcW w:w="712" w:type="dxa"/>
          </w:tcPr>
          <w:p w14:paraId="160C79F4">
            <w:pPr>
              <w:spacing w:before="96" w:beforeLines="40" w:after="96" w:afterLines="40" w:line="24" w:lineRule="atLeast"/>
              <w:rPr>
                <w:rFonts w:eastAsia="Cambria"/>
                <w:sz w:val="18"/>
                <w:szCs w:val="18"/>
                <w:lang w:val="en-GB" w:eastAsia="en-US"/>
              </w:rPr>
            </w:pPr>
          </w:p>
        </w:tc>
        <w:tc>
          <w:tcPr>
            <w:tcW w:w="4969" w:type="dxa"/>
          </w:tcPr>
          <w:p w14:paraId="42F0A309">
            <w:pPr>
              <w:spacing w:before="96" w:beforeLines="40" w:after="96" w:afterLines="40" w:line="24" w:lineRule="atLeast"/>
              <w:rPr>
                <w:rFonts w:eastAsia="Cambria"/>
                <w:sz w:val="18"/>
                <w:szCs w:val="18"/>
                <w:lang w:val="en-GB" w:eastAsia="en-US"/>
              </w:rPr>
            </w:pPr>
          </w:p>
        </w:tc>
      </w:tr>
      <w:tr w14:paraId="7681D537">
        <w:tblPrEx>
          <w:tblCellMar>
            <w:top w:w="0" w:type="dxa"/>
            <w:left w:w="108" w:type="dxa"/>
            <w:bottom w:w="0" w:type="dxa"/>
            <w:right w:w="108" w:type="dxa"/>
          </w:tblCellMar>
        </w:tblPrEx>
        <w:tc>
          <w:tcPr>
            <w:tcW w:w="587" w:type="dxa"/>
            <w:shd w:val="clear" w:color="auto" w:fill="EEEEEE"/>
          </w:tcPr>
          <w:p w14:paraId="07370EEB">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3C16069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5C49406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the associations between genetic variant and exposure, and between genetic variant and outcome, preferably on an interpretable scale</w:t>
            </w:r>
          </w:p>
          <w:p w14:paraId="1C51D377">
            <w:pPr>
              <w:spacing w:before="96" w:beforeLines="40" w:after="96" w:afterLines="40" w:line="24" w:lineRule="atLeast"/>
              <w:rPr>
                <w:rFonts w:eastAsia="Times New Roman"/>
                <w:sz w:val="18"/>
                <w:szCs w:val="18"/>
                <w:lang w:val="en-GB" w:eastAsia="en-US"/>
              </w:rPr>
            </w:pPr>
          </w:p>
        </w:tc>
        <w:tc>
          <w:tcPr>
            <w:tcW w:w="712" w:type="dxa"/>
            <w:shd w:val="clear" w:color="auto" w:fill="EEEEEE"/>
          </w:tcPr>
          <w:p w14:paraId="3793F1C7">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76FF221A">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 xml:space="preserve">Association of genetic variants with exposure, effect size (β): indicates the effect of each allele change on the level of </w:t>
            </w:r>
            <w:r>
              <w:rPr>
                <w:rFonts w:hint="eastAsia" w:eastAsia="宋体"/>
                <w:sz w:val="18"/>
                <w:szCs w:val="18"/>
                <w:lang w:val="en-US" w:eastAsia="zh-CN"/>
              </w:rPr>
              <w:t>outcome</w:t>
            </w:r>
            <w:r>
              <w:rPr>
                <w:rFonts w:hint="eastAsia" w:eastAsia="Times New Roman"/>
                <w:sz w:val="18"/>
                <w:szCs w:val="18"/>
                <w:lang w:val="en-GB" w:eastAsia="en-US"/>
              </w:rPr>
              <w:t>. Standard Error (SE): standard error of the effect size, indicating the precision of the estimate. p-value: statistical value to test the significance of the effect size. Association of genetic variation with outcome , as above. dominance ratio (OR): Dominance ratio calculated from the effect size to indicate the relative effect of each SNP allele on</w:t>
            </w:r>
            <w:r>
              <w:rPr>
                <w:rFonts w:hint="eastAsia" w:eastAsia="宋体"/>
                <w:sz w:val="18"/>
                <w:szCs w:val="18"/>
                <w:lang w:val="en-US" w:eastAsia="zh-CN"/>
              </w:rPr>
              <w:t xml:space="preserve"> outcome</w:t>
            </w:r>
            <w:r>
              <w:rPr>
                <w:rFonts w:hint="eastAsia" w:eastAsia="Times New Roman"/>
                <w:sz w:val="18"/>
                <w:szCs w:val="18"/>
                <w:lang w:val="en-GB" w:eastAsia="en-US"/>
              </w:rPr>
              <w:t>.</w:t>
            </w:r>
          </w:p>
          <w:p w14:paraId="67971804">
            <w:pPr>
              <w:spacing w:before="96" w:beforeLines="40" w:after="96" w:afterLines="40" w:line="24" w:lineRule="atLeast"/>
              <w:rPr>
                <w:rFonts w:eastAsia="Times New Roman"/>
                <w:sz w:val="18"/>
                <w:szCs w:val="18"/>
                <w:lang w:val="en-GB" w:eastAsia="en-GB"/>
              </w:rPr>
            </w:pPr>
          </w:p>
        </w:tc>
      </w:tr>
      <w:tr w14:paraId="647EDC50">
        <w:tblPrEx>
          <w:tblCellMar>
            <w:top w:w="0" w:type="dxa"/>
            <w:left w:w="108" w:type="dxa"/>
            <w:bottom w:w="0" w:type="dxa"/>
            <w:right w:w="108" w:type="dxa"/>
          </w:tblCellMar>
        </w:tblPrEx>
        <w:tc>
          <w:tcPr>
            <w:tcW w:w="587" w:type="dxa"/>
            <w:shd w:val="clear" w:color="auto" w:fill="auto"/>
          </w:tcPr>
          <w:p w14:paraId="11CEC2A0">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2954C10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23A516D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p w14:paraId="7D544CB8">
            <w:pPr>
              <w:spacing w:before="96" w:beforeLines="40" w:after="96" w:afterLines="40" w:line="24" w:lineRule="atLeast"/>
              <w:rPr>
                <w:rFonts w:eastAsia="Times New Roman"/>
                <w:sz w:val="18"/>
                <w:szCs w:val="18"/>
                <w:lang w:val="en-GB" w:eastAsia="en-GB"/>
              </w:rPr>
            </w:pPr>
          </w:p>
          <w:p w14:paraId="030764D7">
            <w:pPr>
              <w:spacing w:before="96" w:beforeLines="40" w:after="96" w:afterLines="40" w:line="24" w:lineRule="atLeast"/>
              <w:rPr>
                <w:rFonts w:eastAsia="Times New Roman"/>
                <w:sz w:val="18"/>
                <w:szCs w:val="18"/>
                <w:lang w:val="en-GB" w:eastAsia="en-US"/>
              </w:rPr>
            </w:pPr>
          </w:p>
        </w:tc>
        <w:tc>
          <w:tcPr>
            <w:tcW w:w="712" w:type="dxa"/>
          </w:tcPr>
          <w:p w14:paraId="2D179D91">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969" w:type="dxa"/>
          </w:tcPr>
          <w:p w14:paraId="1D3A82DD">
            <w:pPr>
              <w:spacing w:before="96" w:beforeLines="40" w:after="96" w:afterLines="40" w:line="24" w:lineRule="atLeast"/>
              <w:rPr>
                <w:rFonts w:hint="eastAsia" w:eastAsia="宋体"/>
                <w:sz w:val="18"/>
                <w:szCs w:val="18"/>
                <w:lang w:val="en-US" w:eastAsia="zh-CN"/>
              </w:rPr>
            </w:pPr>
            <w:r>
              <w:rPr>
                <w:rFonts w:hint="eastAsia" w:eastAsia="Times New Roman"/>
                <w:sz w:val="18"/>
                <w:szCs w:val="18"/>
                <w:lang w:val="en-GB" w:eastAsia="en-US"/>
              </w:rPr>
              <w:t>An increase in Alistipes shahii was significantly associated with a reduction in the risk of Inflammatory Bowel Disease (IBD). Specifically, in the validation dataset (VD), the odds ratio (OR) was 0.8917 (95% CI: 0.8006 - 0.9933, p-value: 0.0373), indicating that each standard deviation increase in Alistipes shahii was associated with a 10.8% reduction in IBD risk. Similarly, in the exploration dataset (ED), the OR was 0.5944 (95% CI: 0.3628 - 0.9738, p-value: 0.0389), corresponding to a 40.6% reduction in IBD risk. These findings suggest a protective effect of Alistipes shahii against IBD, though further research is needed to validate these results</w:t>
            </w:r>
            <w:r>
              <w:rPr>
                <w:rFonts w:hint="eastAsia" w:eastAsia="宋体"/>
                <w:sz w:val="18"/>
                <w:szCs w:val="18"/>
                <w:lang w:val="en-US" w:eastAsia="zh-CN"/>
              </w:rPr>
              <w:t>.</w:t>
            </w:r>
          </w:p>
        </w:tc>
      </w:tr>
      <w:tr w14:paraId="3B7B3B54">
        <w:tblPrEx>
          <w:tblCellMar>
            <w:top w:w="0" w:type="dxa"/>
            <w:left w:w="108" w:type="dxa"/>
            <w:bottom w:w="0" w:type="dxa"/>
            <w:right w:w="108" w:type="dxa"/>
          </w:tblCellMar>
        </w:tblPrEx>
        <w:tc>
          <w:tcPr>
            <w:tcW w:w="587" w:type="dxa"/>
            <w:shd w:val="clear" w:color="auto" w:fill="EEEEEE"/>
          </w:tcPr>
          <w:p w14:paraId="3A3673EA">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0B7E59A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64E3BD82">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12" w:type="dxa"/>
            <w:shd w:val="clear" w:color="auto" w:fill="EEEEEE"/>
          </w:tcPr>
          <w:p w14:paraId="0A77058A">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654CC643">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7C65FDC0">
        <w:tblPrEx>
          <w:tblCellMar>
            <w:top w:w="0" w:type="dxa"/>
            <w:left w:w="108" w:type="dxa"/>
            <w:bottom w:w="0" w:type="dxa"/>
            <w:right w:w="108" w:type="dxa"/>
          </w:tblCellMar>
        </w:tblPrEx>
        <w:tc>
          <w:tcPr>
            <w:tcW w:w="587" w:type="dxa"/>
            <w:shd w:val="clear" w:color="auto" w:fill="auto"/>
          </w:tcPr>
          <w:p w14:paraId="4833833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7E8CC56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6D4DE59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12" w:type="dxa"/>
          </w:tcPr>
          <w:p w14:paraId="5210F3B6">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c>
          <w:tcPr>
            <w:tcW w:w="4969" w:type="dxa"/>
          </w:tcPr>
          <w:p w14:paraId="2FAAEA34">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article has provided</w:t>
            </w:r>
          </w:p>
        </w:tc>
      </w:tr>
      <w:tr w14:paraId="08781537">
        <w:tblPrEx>
          <w:tblCellMar>
            <w:top w:w="0" w:type="dxa"/>
            <w:left w:w="108" w:type="dxa"/>
            <w:bottom w:w="0" w:type="dxa"/>
            <w:right w:w="108" w:type="dxa"/>
          </w:tblCellMar>
        </w:tblPrEx>
        <w:tc>
          <w:tcPr>
            <w:tcW w:w="587" w:type="dxa"/>
            <w:shd w:val="clear" w:color="auto" w:fill="EEEEEE"/>
          </w:tcPr>
          <w:p w14:paraId="610C678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08" w:type="dxa"/>
            <w:shd w:val="clear" w:color="auto" w:fill="EEEEEE"/>
          </w:tcPr>
          <w:p w14:paraId="7DD29119">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414" w:type="dxa"/>
            <w:shd w:val="clear" w:color="auto" w:fill="EEEEEE"/>
          </w:tcPr>
          <w:p w14:paraId="3C8F1191">
            <w:pPr>
              <w:spacing w:before="96" w:beforeLines="40" w:after="96" w:afterLines="40" w:line="24" w:lineRule="atLeast"/>
              <w:rPr>
                <w:rFonts w:eastAsia="Cambria"/>
                <w:sz w:val="18"/>
                <w:szCs w:val="18"/>
                <w:lang w:val="en-GB" w:eastAsia="en-US"/>
              </w:rPr>
            </w:pPr>
          </w:p>
        </w:tc>
        <w:tc>
          <w:tcPr>
            <w:tcW w:w="712" w:type="dxa"/>
            <w:shd w:val="clear" w:color="auto" w:fill="EEEEEE"/>
          </w:tcPr>
          <w:p w14:paraId="5AC19D7F">
            <w:pPr>
              <w:spacing w:before="96" w:beforeLines="40" w:after="96" w:afterLines="40" w:line="24" w:lineRule="atLeast"/>
              <w:rPr>
                <w:rFonts w:eastAsia="Cambria"/>
                <w:sz w:val="18"/>
                <w:szCs w:val="18"/>
                <w:lang w:val="en-GB" w:eastAsia="en-US"/>
              </w:rPr>
            </w:pPr>
          </w:p>
        </w:tc>
        <w:tc>
          <w:tcPr>
            <w:tcW w:w="4969" w:type="dxa"/>
            <w:shd w:val="clear" w:color="auto" w:fill="EEEEEE"/>
          </w:tcPr>
          <w:p w14:paraId="7B8194AA">
            <w:pPr>
              <w:spacing w:before="96" w:beforeLines="40" w:after="96" w:afterLines="40" w:line="24" w:lineRule="atLeast"/>
              <w:rPr>
                <w:rFonts w:eastAsia="Cambria"/>
                <w:sz w:val="18"/>
                <w:szCs w:val="18"/>
                <w:lang w:val="en-GB" w:eastAsia="en-US"/>
              </w:rPr>
            </w:pPr>
          </w:p>
        </w:tc>
      </w:tr>
      <w:tr w14:paraId="5B1E7F9D">
        <w:tblPrEx>
          <w:tblCellMar>
            <w:top w:w="0" w:type="dxa"/>
            <w:left w:w="108" w:type="dxa"/>
            <w:bottom w:w="0" w:type="dxa"/>
            <w:right w:w="108" w:type="dxa"/>
          </w:tblCellMar>
        </w:tblPrEx>
        <w:tc>
          <w:tcPr>
            <w:tcW w:w="587" w:type="dxa"/>
            <w:shd w:val="clear" w:color="auto" w:fill="auto"/>
          </w:tcPr>
          <w:p w14:paraId="7FC8DA67">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473AE78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3A910104">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the assessment of the validity of the assumptions</w:t>
            </w:r>
          </w:p>
          <w:p w14:paraId="24B75FE8">
            <w:pPr>
              <w:spacing w:before="96" w:beforeLines="40" w:after="96" w:afterLines="40" w:line="24" w:lineRule="atLeast"/>
              <w:rPr>
                <w:rFonts w:eastAsia="Times New Roman"/>
                <w:sz w:val="18"/>
                <w:szCs w:val="18"/>
                <w:lang w:val="en-GB" w:eastAsia="en-GB"/>
              </w:rPr>
            </w:pPr>
          </w:p>
          <w:p w14:paraId="0C673AAE">
            <w:pPr>
              <w:spacing w:before="96" w:beforeLines="40" w:after="96" w:afterLines="40" w:line="24" w:lineRule="atLeast"/>
              <w:rPr>
                <w:rFonts w:eastAsia="Times New Roman"/>
                <w:sz w:val="18"/>
                <w:szCs w:val="18"/>
                <w:lang w:val="en-GB" w:eastAsia="en-US"/>
              </w:rPr>
            </w:pPr>
          </w:p>
        </w:tc>
        <w:tc>
          <w:tcPr>
            <w:tcW w:w="712" w:type="dxa"/>
          </w:tcPr>
          <w:p w14:paraId="14C7C6EE">
            <w:pPr>
              <w:spacing w:before="96" w:beforeLines="40" w:after="96" w:afterLines="40" w:line="24" w:lineRule="atLeast"/>
              <w:rPr>
                <w:rFonts w:eastAsia="Times New Roman"/>
                <w:sz w:val="18"/>
                <w:szCs w:val="18"/>
                <w:lang w:val="en-GB" w:eastAsia="en-GB"/>
              </w:rPr>
            </w:pPr>
          </w:p>
        </w:tc>
        <w:tc>
          <w:tcPr>
            <w:tcW w:w="4969" w:type="dxa"/>
          </w:tcPr>
          <w:p w14:paraId="25BA4F16">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Figure 2</w:t>
            </w:r>
          </w:p>
        </w:tc>
      </w:tr>
      <w:tr w14:paraId="6BFBF2F2">
        <w:tblPrEx>
          <w:tblCellMar>
            <w:top w:w="0" w:type="dxa"/>
            <w:left w:w="108" w:type="dxa"/>
            <w:bottom w:w="0" w:type="dxa"/>
            <w:right w:w="108" w:type="dxa"/>
          </w:tblCellMar>
        </w:tblPrEx>
        <w:tc>
          <w:tcPr>
            <w:tcW w:w="587" w:type="dxa"/>
            <w:shd w:val="clear" w:color="auto" w:fill="EEEEEE"/>
          </w:tcPr>
          <w:p w14:paraId="3CC8FA17">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522CE83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00DC53F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12" w:type="dxa"/>
            <w:shd w:val="clear" w:color="auto" w:fill="EEEEEE"/>
          </w:tcPr>
          <w:p w14:paraId="4859DA3D">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0495F151">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Supplementary Figure S2</w:t>
            </w:r>
          </w:p>
        </w:tc>
      </w:tr>
      <w:tr w14:paraId="44E443B1">
        <w:tblPrEx>
          <w:tblCellMar>
            <w:top w:w="0" w:type="dxa"/>
            <w:left w:w="108" w:type="dxa"/>
            <w:bottom w:w="0" w:type="dxa"/>
            <w:right w:w="108" w:type="dxa"/>
          </w:tblCellMar>
        </w:tblPrEx>
        <w:tc>
          <w:tcPr>
            <w:tcW w:w="587" w:type="dxa"/>
            <w:shd w:val="clear" w:color="auto" w:fill="auto"/>
          </w:tcPr>
          <w:p w14:paraId="53164C8F">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08" w:type="dxa"/>
            <w:shd w:val="clear" w:color="auto" w:fill="auto"/>
          </w:tcPr>
          <w:p w14:paraId="530C281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6414" w:type="dxa"/>
            <w:shd w:val="clear" w:color="auto" w:fill="auto"/>
          </w:tcPr>
          <w:p w14:paraId="6DC1C298">
            <w:pPr>
              <w:spacing w:before="96" w:beforeLines="40" w:after="96" w:afterLines="40" w:line="24" w:lineRule="atLeast"/>
              <w:rPr>
                <w:rFonts w:eastAsia="Cambria"/>
                <w:sz w:val="18"/>
                <w:szCs w:val="18"/>
                <w:lang w:val="en-GB" w:eastAsia="en-US"/>
              </w:rPr>
            </w:pPr>
          </w:p>
        </w:tc>
        <w:tc>
          <w:tcPr>
            <w:tcW w:w="712" w:type="dxa"/>
          </w:tcPr>
          <w:p w14:paraId="273FCCFF">
            <w:pPr>
              <w:spacing w:before="96" w:beforeLines="40" w:after="96" w:afterLines="40" w:line="24" w:lineRule="atLeast"/>
              <w:rPr>
                <w:rFonts w:eastAsia="Cambria"/>
                <w:sz w:val="18"/>
                <w:szCs w:val="18"/>
                <w:lang w:val="en-GB" w:eastAsia="en-US"/>
              </w:rPr>
            </w:pPr>
          </w:p>
        </w:tc>
        <w:tc>
          <w:tcPr>
            <w:tcW w:w="4969" w:type="dxa"/>
          </w:tcPr>
          <w:p w14:paraId="7882C83B">
            <w:pPr>
              <w:spacing w:before="96" w:beforeLines="40" w:after="96" w:afterLines="40" w:line="24" w:lineRule="atLeast"/>
              <w:rPr>
                <w:rFonts w:eastAsia="Cambria"/>
                <w:sz w:val="18"/>
                <w:szCs w:val="18"/>
                <w:lang w:val="en-GB" w:eastAsia="en-US"/>
              </w:rPr>
            </w:pPr>
          </w:p>
        </w:tc>
      </w:tr>
      <w:tr w14:paraId="421BDA2A">
        <w:tblPrEx>
          <w:tblCellMar>
            <w:top w:w="0" w:type="dxa"/>
            <w:left w:w="108" w:type="dxa"/>
            <w:bottom w:w="0" w:type="dxa"/>
            <w:right w:w="108" w:type="dxa"/>
          </w:tblCellMar>
        </w:tblPrEx>
        <w:tc>
          <w:tcPr>
            <w:tcW w:w="587" w:type="dxa"/>
            <w:shd w:val="clear" w:color="auto" w:fill="EEEEEE"/>
          </w:tcPr>
          <w:p w14:paraId="0064E1F2">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41D0D24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EEEEEE"/>
          </w:tcPr>
          <w:p w14:paraId="1094FCF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sensitivity analyses to assess the robustness of the main results to violations of the assumptions</w:t>
            </w:r>
          </w:p>
          <w:p w14:paraId="3A2B8596">
            <w:pPr>
              <w:spacing w:before="96" w:beforeLines="40" w:after="96" w:afterLines="40" w:line="24" w:lineRule="atLeast"/>
              <w:rPr>
                <w:rFonts w:eastAsia="Times New Roman"/>
                <w:sz w:val="18"/>
                <w:szCs w:val="18"/>
                <w:lang w:val="en-GB" w:eastAsia="en-GB"/>
              </w:rPr>
            </w:pPr>
          </w:p>
          <w:p w14:paraId="557AE22B">
            <w:pPr>
              <w:spacing w:before="96" w:beforeLines="40" w:after="96" w:afterLines="40" w:line="24" w:lineRule="atLeast"/>
              <w:rPr>
                <w:rFonts w:hint="eastAsia" w:eastAsia="Times New Roman"/>
                <w:sz w:val="18"/>
                <w:szCs w:val="18"/>
                <w:lang w:val="en-GB" w:eastAsia="en-US"/>
              </w:rPr>
            </w:pPr>
          </w:p>
        </w:tc>
        <w:tc>
          <w:tcPr>
            <w:tcW w:w="712" w:type="dxa"/>
            <w:shd w:val="clear" w:color="auto" w:fill="EEEEEE"/>
          </w:tcPr>
          <w:p w14:paraId="2CA213D8">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3F7AFBD4">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To assess the robustness of the main results to hypothesis violations, we conducted a variety of sensitivity analyses, including MR-EGGER REGRESSION, MR-PRESSO GLOBAL TEST P-VALUE, Leave-One-Out analyses, and heterogeneity detection. These analyses helped us detect and correct for potential problems of pleiotropy, bias, and heterogeneity.</w:t>
            </w:r>
          </w:p>
          <w:p w14:paraId="12178535">
            <w:pPr>
              <w:spacing w:before="96" w:beforeLines="40" w:after="96" w:afterLines="40" w:line="24" w:lineRule="atLeast"/>
              <w:rPr>
                <w:rFonts w:eastAsia="Times New Roman"/>
                <w:sz w:val="18"/>
                <w:szCs w:val="18"/>
                <w:lang w:val="en-GB" w:eastAsia="en-GB"/>
              </w:rPr>
            </w:pPr>
          </w:p>
        </w:tc>
      </w:tr>
      <w:tr w14:paraId="05C7A2B4">
        <w:tblPrEx>
          <w:tblCellMar>
            <w:top w:w="0" w:type="dxa"/>
            <w:left w:w="108" w:type="dxa"/>
            <w:bottom w:w="0" w:type="dxa"/>
            <w:right w:w="108" w:type="dxa"/>
          </w:tblCellMar>
        </w:tblPrEx>
        <w:tc>
          <w:tcPr>
            <w:tcW w:w="587" w:type="dxa"/>
            <w:shd w:val="clear" w:color="auto" w:fill="auto"/>
          </w:tcPr>
          <w:p w14:paraId="3B54E548">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04EA947F">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auto"/>
          </w:tcPr>
          <w:p w14:paraId="7C489D0F">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12" w:type="dxa"/>
          </w:tcPr>
          <w:p w14:paraId="10388EB7">
            <w:pPr>
              <w:spacing w:before="96" w:beforeLines="40" w:after="96" w:afterLines="40" w:line="24" w:lineRule="atLeast"/>
              <w:rPr>
                <w:rFonts w:eastAsia="Times New Roman"/>
                <w:sz w:val="18"/>
                <w:szCs w:val="18"/>
                <w:lang w:val="en-GB" w:eastAsia="en-GB"/>
              </w:rPr>
            </w:pPr>
          </w:p>
        </w:tc>
        <w:tc>
          <w:tcPr>
            <w:tcW w:w="4969" w:type="dxa"/>
          </w:tcPr>
          <w:p w14:paraId="7A002735">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42E21E1C">
        <w:tblPrEx>
          <w:tblCellMar>
            <w:top w:w="0" w:type="dxa"/>
            <w:left w:w="108" w:type="dxa"/>
            <w:bottom w:w="0" w:type="dxa"/>
            <w:right w:w="108" w:type="dxa"/>
          </w:tblCellMar>
        </w:tblPrEx>
        <w:tc>
          <w:tcPr>
            <w:tcW w:w="587" w:type="dxa"/>
            <w:shd w:val="clear" w:color="auto" w:fill="EEEEEE"/>
          </w:tcPr>
          <w:p w14:paraId="08C11078">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12C0D3C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EEEEEE"/>
          </w:tcPr>
          <w:p w14:paraId="78E4AAB9">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p w14:paraId="05E027C3">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438A042E">
            <w:pPr>
              <w:spacing w:before="96" w:beforeLines="40" w:after="96" w:afterLines="40" w:line="24" w:lineRule="atLeast"/>
              <w:rPr>
                <w:rFonts w:hint="default" w:eastAsia="宋体"/>
                <w:sz w:val="18"/>
                <w:szCs w:val="18"/>
                <w:lang w:val="en-US" w:eastAsia="zh-CN"/>
              </w:rPr>
            </w:pPr>
          </w:p>
        </w:tc>
        <w:tc>
          <w:tcPr>
            <w:tcW w:w="4969" w:type="dxa"/>
            <w:shd w:val="clear" w:color="auto" w:fill="EEEEEE"/>
          </w:tcPr>
          <w:p w14:paraId="4E16A72C">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To evaluate the direction of the causal relationship, we performed reverse Mendelian randomization using IBD as the exposure and platelet disturbance in response to ciprofloxacin as the outcome. The analysis showed no evidence of reverse causality, suggesting that the observed association is more likely to reflect a causal effect of platelet disturbance on IBD rather than the reverse.</w:t>
            </w:r>
          </w:p>
          <w:p w14:paraId="1AB7DDBD">
            <w:pPr>
              <w:spacing w:before="96" w:beforeLines="40" w:after="96" w:afterLines="40" w:line="24" w:lineRule="atLeast"/>
              <w:rPr>
                <w:rFonts w:eastAsia="Times New Roman"/>
                <w:sz w:val="18"/>
                <w:szCs w:val="18"/>
                <w:lang w:val="en-GB" w:eastAsia="en-GB"/>
              </w:rPr>
            </w:pPr>
          </w:p>
        </w:tc>
      </w:tr>
      <w:tr w14:paraId="0CB55409">
        <w:tblPrEx>
          <w:tblCellMar>
            <w:top w:w="0" w:type="dxa"/>
            <w:left w:w="108" w:type="dxa"/>
            <w:bottom w:w="0" w:type="dxa"/>
            <w:right w:w="108" w:type="dxa"/>
          </w:tblCellMar>
        </w:tblPrEx>
        <w:tc>
          <w:tcPr>
            <w:tcW w:w="587" w:type="dxa"/>
            <w:shd w:val="clear" w:color="auto" w:fill="auto"/>
          </w:tcPr>
          <w:p w14:paraId="6DF9F67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5EC974D2">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414" w:type="dxa"/>
            <w:shd w:val="clear" w:color="auto" w:fill="auto"/>
          </w:tcPr>
          <w:p w14:paraId="6C93574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When relevant, report and compare with estimates from non-MR analyses</w:t>
            </w:r>
          </w:p>
          <w:p w14:paraId="63C599E3">
            <w:pPr>
              <w:spacing w:before="96" w:beforeLines="40" w:after="96" w:afterLines="40" w:line="24" w:lineRule="atLeast"/>
              <w:rPr>
                <w:rFonts w:eastAsia="Times New Roman"/>
                <w:sz w:val="18"/>
                <w:szCs w:val="18"/>
                <w:lang w:val="en-GB" w:eastAsia="en-GB"/>
              </w:rPr>
            </w:pPr>
          </w:p>
          <w:p w14:paraId="7FF52CE5">
            <w:pPr>
              <w:spacing w:before="96" w:beforeLines="40" w:after="96" w:afterLines="40" w:line="24" w:lineRule="atLeast"/>
              <w:rPr>
                <w:rFonts w:eastAsia="Times New Roman"/>
                <w:sz w:val="18"/>
                <w:szCs w:val="18"/>
                <w:lang w:val="en-GB" w:eastAsia="en-US"/>
              </w:rPr>
            </w:pPr>
          </w:p>
        </w:tc>
        <w:tc>
          <w:tcPr>
            <w:tcW w:w="712" w:type="dxa"/>
          </w:tcPr>
          <w:p w14:paraId="6E736090">
            <w:pPr>
              <w:spacing w:before="96" w:beforeLines="40" w:after="96" w:afterLines="40" w:line="24" w:lineRule="atLeast"/>
              <w:rPr>
                <w:rFonts w:eastAsia="Times New Roman"/>
                <w:sz w:val="18"/>
                <w:szCs w:val="18"/>
                <w:lang w:val="en-GB" w:eastAsia="en-GB"/>
              </w:rPr>
            </w:pPr>
          </w:p>
        </w:tc>
        <w:tc>
          <w:tcPr>
            <w:tcW w:w="4969" w:type="dxa"/>
          </w:tcPr>
          <w:p w14:paraId="0A49DD4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2954AEF8">
        <w:tblPrEx>
          <w:tblCellMar>
            <w:top w:w="0" w:type="dxa"/>
            <w:left w:w="108" w:type="dxa"/>
            <w:bottom w:w="0" w:type="dxa"/>
            <w:right w:w="108" w:type="dxa"/>
          </w:tblCellMar>
        </w:tblPrEx>
        <w:tc>
          <w:tcPr>
            <w:tcW w:w="587" w:type="dxa"/>
            <w:tcBorders>
              <w:bottom w:val="single" w:color="7F7F7F" w:sz="6" w:space="0"/>
            </w:tcBorders>
            <w:shd w:val="clear" w:color="auto" w:fill="EEEEEE"/>
          </w:tcPr>
          <w:p w14:paraId="01C5A49C">
            <w:pPr>
              <w:spacing w:before="96" w:beforeLines="40" w:after="96" w:afterLines="40" w:line="24" w:lineRule="atLeast"/>
              <w:jc w:val="right"/>
              <w:rPr>
                <w:rFonts w:eastAsia="Cambria"/>
                <w:b/>
                <w:bCs/>
                <w:sz w:val="18"/>
                <w:szCs w:val="18"/>
                <w:lang w:val="en-GB" w:eastAsia="en-US"/>
              </w:rPr>
            </w:pPr>
          </w:p>
        </w:tc>
        <w:tc>
          <w:tcPr>
            <w:tcW w:w="1808" w:type="dxa"/>
            <w:tcBorders>
              <w:bottom w:val="single" w:color="7F7F7F" w:sz="6" w:space="0"/>
            </w:tcBorders>
            <w:shd w:val="clear" w:color="auto" w:fill="EEEEEE"/>
          </w:tcPr>
          <w:p w14:paraId="018AE3D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414" w:type="dxa"/>
            <w:tcBorders>
              <w:bottom w:val="single" w:color="7F7F7F" w:sz="6" w:space="0"/>
            </w:tcBorders>
            <w:shd w:val="clear" w:color="auto" w:fill="EEEEEE"/>
          </w:tcPr>
          <w:p w14:paraId="10E8F96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12" w:type="dxa"/>
            <w:tcBorders>
              <w:bottom w:val="single" w:color="7F7F7F" w:sz="6" w:space="0"/>
            </w:tcBorders>
            <w:shd w:val="clear" w:color="auto" w:fill="EEEEEE"/>
          </w:tcPr>
          <w:p w14:paraId="1A176750">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24464DBB">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Figure 3</w:t>
            </w:r>
          </w:p>
        </w:tc>
      </w:tr>
      <w:tr w14:paraId="12E7F948">
        <w:tblPrEx>
          <w:tblCellMar>
            <w:top w:w="0" w:type="dxa"/>
            <w:left w:w="108" w:type="dxa"/>
            <w:bottom w:w="0" w:type="dxa"/>
            <w:right w:w="108" w:type="dxa"/>
          </w:tblCellMar>
        </w:tblPrEx>
        <w:tc>
          <w:tcPr>
            <w:tcW w:w="587" w:type="dxa"/>
            <w:tcBorders>
              <w:top w:val="single" w:color="7F7F7F" w:sz="6" w:space="0"/>
            </w:tcBorders>
            <w:shd w:val="clear" w:color="auto" w:fill="auto"/>
          </w:tcPr>
          <w:p w14:paraId="7CACF13B">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0A1C7AD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6414" w:type="dxa"/>
            <w:tcBorders>
              <w:top w:val="single" w:color="7F7F7F" w:sz="6" w:space="0"/>
            </w:tcBorders>
            <w:shd w:val="clear" w:color="auto" w:fill="auto"/>
          </w:tcPr>
          <w:p w14:paraId="045E5DA8">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069B08D2">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7257B48C">
            <w:pPr>
              <w:spacing w:before="96" w:beforeLines="40" w:after="96" w:afterLines="40" w:line="24" w:lineRule="atLeast"/>
              <w:rPr>
                <w:rFonts w:eastAsia="Cambria"/>
                <w:sz w:val="18"/>
                <w:szCs w:val="18"/>
                <w:lang w:val="en-GB" w:eastAsia="en-US"/>
              </w:rPr>
            </w:pPr>
          </w:p>
        </w:tc>
      </w:tr>
      <w:tr w14:paraId="21285591">
        <w:tblPrEx>
          <w:tblCellMar>
            <w:top w:w="0" w:type="dxa"/>
            <w:left w:w="108" w:type="dxa"/>
            <w:bottom w:w="0" w:type="dxa"/>
            <w:right w:w="108" w:type="dxa"/>
          </w:tblCellMar>
        </w:tblPrEx>
        <w:tc>
          <w:tcPr>
            <w:tcW w:w="587" w:type="dxa"/>
            <w:shd w:val="clear" w:color="auto" w:fill="EEEEEE"/>
          </w:tcPr>
          <w:p w14:paraId="69C2FC6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08" w:type="dxa"/>
            <w:shd w:val="clear" w:color="auto" w:fill="EEEEEE"/>
          </w:tcPr>
          <w:p w14:paraId="4EFC1D0E">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6414" w:type="dxa"/>
            <w:shd w:val="clear" w:color="auto" w:fill="EEEEEE"/>
          </w:tcPr>
          <w:p w14:paraId="4167F04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p w14:paraId="6D08080A">
            <w:pPr>
              <w:spacing w:before="96" w:beforeLines="40" w:after="96" w:afterLines="40" w:line="24" w:lineRule="atLeast"/>
              <w:rPr>
                <w:rFonts w:eastAsia="Times New Roman"/>
                <w:sz w:val="18"/>
                <w:szCs w:val="18"/>
                <w:lang w:val="en-GB" w:eastAsia="en-GB"/>
              </w:rPr>
            </w:pPr>
          </w:p>
          <w:p w14:paraId="6DB21D76">
            <w:pPr>
              <w:spacing w:before="96" w:beforeLines="40" w:after="96" w:afterLines="40" w:line="24" w:lineRule="atLeast"/>
              <w:rPr>
                <w:rFonts w:hint="eastAsia" w:eastAsia="宋体"/>
                <w:sz w:val="18"/>
                <w:szCs w:val="18"/>
                <w:lang w:val="en-US" w:eastAsia="zh-CN"/>
              </w:rPr>
            </w:pPr>
          </w:p>
        </w:tc>
        <w:tc>
          <w:tcPr>
            <w:tcW w:w="712" w:type="dxa"/>
            <w:shd w:val="clear" w:color="auto" w:fill="EEEEEE"/>
          </w:tcPr>
          <w:p w14:paraId="15E6E291">
            <w:pPr>
              <w:spacing w:before="96" w:beforeLines="40" w:after="96" w:afterLines="40" w:line="24" w:lineRule="atLeast"/>
              <w:rPr>
                <w:rFonts w:hint="default" w:eastAsia="宋体"/>
                <w:sz w:val="18"/>
                <w:szCs w:val="18"/>
                <w:lang w:val="en-US" w:eastAsia="zh-CN"/>
              </w:rPr>
            </w:pPr>
          </w:p>
        </w:tc>
        <w:tc>
          <w:tcPr>
            <w:tcW w:w="4969" w:type="dxa"/>
            <w:shd w:val="clear" w:color="auto" w:fill="EEEEEE"/>
          </w:tcPr>
          <w:p w14:paraId="637C72E7">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This study aimed to investigate the causal effect of platelet disturbance in response to ciprofloxacin on IBD and to explore the mediating role of immune cells. Mendelian randomization analyses revealed that platelet disturbance significantly increased the risk of IBD in both Finnish and European populations. Mediation analysis further identified that HLA-DR expression on CD14⁻CD16⁺ monocytes has a protective effect against IBD and is downregulated by platelet disturbance, partially mediating its effect. These findings support a causal pathway linking platelet response to IBD via immune cell regulation.</w:t>
            </w:r>
          </w:p>
        </w:tc>
      </w:tr>
      <w:tr w14:paraId="0418F59D">
        <w:tblPrEx>
          <w:tblCellMar>
            <w:top w:w="0" w:type="dxa"/>
            <w:left w:w="108" w:type="dxa"/>
            <w:bottom w:w="0" w:type="dxa"/>
            <w:right w:w="108" w:type="dxa"/>
          </w:tblCellMar>
        </w:tblPrEx>
        <w:tc>
          <w:tcPr>
            <w:tcW w:w="587" w:type="dxa"/>
            <w:shd w:val="clear" w:color="auto" w:fill="auto"/>
          </w:tcPr>
          <w:p w14:paraId="63C4616E">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08" w:type="dxa"/>
            <w:shd w:val="clear" w:color="auto" w:fill="auto"/>
          </w:tcPr>
          <w:p w14:paraId="4E47411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6414" w:type="dxa"/>
            <w:shd w:val="clear" w:color="auto" w:fill="auto"/>
          </w:tcPr>
          <w:p w14:paraId="3DF9AF62">
            <w:pPr>
              <w:spacing w:before="96" w:beforeLines="40" w:after="96" w:afterLines="40" w:line="24" w:lineRule="atLeast"/>
              <w:rPr>
                <w:rFonts w:eastAsia="Times New Roman"/>
                <w:sz w:val="18"/>
                <w:szCs w:val="18"/>
                <w:shd w:val="clear" w:color="auto" w:fill="FFFFFF"/>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p w14:paraId="564B6B4B">
            <w:pPr>
              <w:spacing w:before="96" w:beforeLines="40" w:after="96" w:afterLines="40" w:line="24" w:lineRule="atLeast"/>
              <w:rPr>
                <w:rFonts w:eastAsia="Times New Roman"/>
                <w:sz w:val="18"/>
                <w:szCs w:val="18"/>
                <w:shd w:val="clear" w:color="auto" w:fill="FFFFFF"/>
                <w:lang w:val="en-GB" w:eastAsia="en-GB"/>
              </w:rPr>
            </w:pPr>
          </w:p>
          <w:p w14:paraId="42DA9F8C">
            <w:pPr>
              <w:spacing w:before="96" w:beforeLines="40" w:after="96" w:afterLines="40" w:line="24" w:lineRule="atLeast"/>
              <w:rPr>
                <w:rFonts w:eastAsia="Times New Roman"/>
                <w:sz w:val="18"/>
                <w:szCs w:val="18"/>
                <w:shd w:val="clear" w:color="auto" w:fill="FFFFFF"/>
                <w:lang w:val="en-GB" w:eastAsia="en-GB"/>
              </w:rPr>
            </w:pPr>
          </w:p>
        </w:tc>
        <w:tc>
          <w:tcPr>
            <w:tcW w:w="712" w:type="dxa"/>
          </w:tcPr>
          <w:p w14:paraId="2CFF94BA">
            <w:pPr>
              <w:spacing w:before="96" w:beforeLines="40" w:after="96" w:afterLines="40" w:line="24" w:lineRule="atLeast"/>
              <w:rPr>
                <w:rFonts w:hint="default" w:eastAsia="宋体"/>
                <w:sz w:val="18"/>
                <w:szCs w:val="18"/>
                <w:lang w:val="en-US" w:eastAsia="zh-CN"/>
              </w:rPr>
            </w:pPr>
          </w:p>
        </w:tc>
        <w:tc>
          <w:tcPr>
            <w:tcW w:w="4969" w:type="dxa"/>
          </w:tcPr>
          <w:p w14:paraId="63E3F683">
            <w:pPr>
              <w:spacing w:before="96" w:beforeLines="40" w:after="96" w:afterLines="40" w:line="24" w:lineRule="atLeast"/>
              <w:rPr>
                <w:rFonts w:hint="eastAsia"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 xml:space="preserve"> However, there are limitations. The samples selected in our study are all European descent. Although we hope this study can provide some clues to guide the current situation in Chinese populations, the applicability of the results may be affected by population differences. As Chinese scholars, we should collect samples of domestic IBD patients and conduct whole genome sequencing in the future to clarify the causal relationship between platelets and IBD in domestic patients. Despite failing to pass the strict threshold for FDR correction, we believe that this observation may be biologically significant. For example, although statistical significance did not reach a preset threshold, these results are consistent with our existing literature support or experimental observations that may represent a potentially important association. In fact, in many biomedical studies, extremely strict statistical thresholds may sometimes deprive the sensitivity to potential new discoveries, especially in research fields with complex mechanisms and multiple potential confounding factors. Secondly, the proportion of mediating effect is only 6.5%, indicating that this pathway can only explain part of the role of platelet disturbance response to ciprofloxacin in the Incidence and Progression of IBD. But its specific mechanism remains to be further explored. This suggests that there are other more important immunomodulatory or metabolic pathways that need to be further explored and validated. </w:t>
            </w:r>
          </w:p>
          <w:p w14:paraId="10A46305">
            <w:pPr>
              <w:spacing w:before="96" w:beforeLines="40" w:after="96" w:afterLines="40" w:line="24" w:lineRule="atLeast"/>
              <w:rPr>
                <w:rFonts w:eastAsia="Times New Roman"/>
                <w:sz w:val="18"/>
                <w:szCs w:val="18"/>
                <w:lang w:val="en-GB" w:eastAsia="en-GB"/>
              </w:rPr>
            </w:pPr>
            <w:r>
              <w:rPr>
                <w:rFonts w:hint="eastAsia" w:eastAsia="Times New Roman"/>
                <w:sz w:val="18"/>
                <w:szCs w:val="18"/>
                <w:shd w:val="clear" w:color="auto" w:fill="FFFFFF"/>
                <w:lang w:val="en-GB" w:eastAsia="en-GB"/>
              </w:rPr>
              <w:t>We used a variety of sensitivity analyses (e.g. MR-Egger regression and MR-PRESSO tests) to detect and correct for pleiotropy, but unidentified confounders may still be present; we detected and corrected for pleiotropy and potential bias using methods such as MR-Egger, MR-PRESSO and Leave-One-Out analyses.</w:t>
            </w:r>
          </w:p>
        </w:tc>
      </w:tr>
      <w:tr w14:paraId="5CFE6DE3">
        <w:tblPrEx>
          <w:tblCellMar>
            <w:top w:w="0" w:type="dxa"/>
            <w:left w:w="108" w:type="dxa"/>
            <w:bottom w:w="0" w:type="dxa"/>
            <w:right w:w="108" w:type="dxa"/>
          </w:tblCellMar>
        </w:tblPrEx>
        <w:tc>
          <w:tcPr>
            <w:tcW w:w="587" w:type="dxa"/>
            <w:shd w:val="clear" w:color="auto" w:fill="EEEEEE"/>
          </w:tcPr>
          <w:p w14:paraId="75F1B08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08" w:type="dxa"/>
            <w:shd w:val="clear" w:color="auto" w:fill="EEEEEE"/>
          </w:tcPr>
          <w:p w14:paraId="1DD43CF8">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6414" w:type="dxa"/>
            <w:shd w:val="clear" w:color="auto" w:fill="EEEEEE"/>
          </w:tcPr>
          <w:p w14:paraId="095E9266">
            <w:pPr>
              <w:spacing w:before="96" w:beforeLines="40" w:after="96" w:afterLines="40" w:line="24" w:lineRule="atLeast"/>
              <w:rPr>
                <w:rFonts w:eastAsia="Cambria"/>
                <w:sz w:val="18"/>
                <w:szCs w:val="18"/>
                <w:lang w:val="en-GB" w:eastAsia="en-US"/>
              </w:rPr>
            </w:pPr>
          </w:p>
        </w:tc>
        <w:tc>
          <w:tcPr>
            <w:tcW w:w="712" w:type="dxa"/>
            <w:shd w:val="clear" w:color="auto" w:fill="EEEEEE"/>
          </w:tcPr>
          <w:p w14:paraId="2CE12C4E">
            <w:pPr>
              <w:spacing w:before="96" w:beforeLines="40" w:after="96" w:afterLines="40" w:line="24" w:lineRule="atLeast"/>
              <w:rPr>
                <w:rFonts w:eastAsia="Cambria"/>
                <w:sz w:val="18"/>
                <w:szCs w:val="18"/>
                <w:lang w:val="en-GB" w:eastAsia="en-US"/>
              </w:rPr>
            </w:pPr>
          </w:p>
        </w:tc>
        <w:tc>
          <w:tcPr>
            <w:tcW w:w="4969" w:type="dxa"/>
            <w:shd w:val="clear" w:color="auto" w:fill="EEEEEE"/>
          </w:tcPr>
          <w:p w14:paraId="042A604E">
            <w:pPr>
              <w:spacing w:before="96" w:beforeLines="40" w:after="96" w:afterLines="40" w:line="24" w:lineRule="atLeast"/>
              <w:rPr>
                <w:rFonts w:eastAsia="Cambria"/>
                <w:sz w:val="18"/>
                <w:szCs w:val="18"/>
                <w:lang w:val="en-GB" w:eastAsia="en-US"/>
              </w:rPr>
            </w:pPr>
          </w:p>
        </w:tc>
      </w:tr>
      <w:tr w14:paraId="606DCE35">
        <w:tblPrEx>
          <w:tblCellMar>
            <w:top w:w="0" w:type="dxa"/>
            <w:left w:w="108" w:type="dxa"/>
            <w:bottom w:w="0" w:type="dxa"/>
            <w:right w:w="108" w:type="dxa"/>
          </w:tblCellMar>
        </w:tblPrEx>
        <w:tc>
          <w:tcPr>
            <w:tcW w:w="587" w:type="dxa"/>
            <w:shd w:val="clear" w:color="auto" w:fill="auto"/>
          </w:tcPr>
          <w:p w14:paraId="7F18EFDF">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03682CC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414" w:type="dxa"/>
            <w:shd w:val="clear" w:color="auto" w:fill="auto"/>
          </w:tcPr>
          <w:p w14:paraId="6380471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Meaning: Give a cautious overall interpretation of results in the context of their limitations and in comparison with other studies</w:t>
            </w:r>
          </w:p>
          <w:p w14:paraId="430927B1">
            <w:pPr>
              <w:spacing w:before="96" w:beforeLines="40" w:after="96" w:afterLines="40" w:line="24" w:lineRule="atLeast"/>
              <w:rPr>
                <w:rFonts w:eastAsia="Times New Roman"/>
                <w:sz w:val="18"/>
                <w:szCs w:val="18"/>
                <w:lang w:val="en-GB" w:eastAsia="en-GB"/>
              </w:rPr>
            </w:pPr>
          </w:p>
          <w:p w14:paraId="143B0CFB">
            <w:pPr>
              <w:spacing w:before="96" w:beforeLines="40" w:after="96" w:afterLines="40" w:line="24" w:lineRule="atLeast"/>
              <w:rPr>
                <w:rFonts w:eastAsia="Times New Roman"/>
                <w:sz w:val="18"/>
                <w:szCs w:val="18"/>
                <w:lang w:val="en-GB" w:eastAsia="en-US"/>
              </w:rPr>
            </w:pPr>
          </w:p>
        </w:tc>
        <w:tc>
          <w:tcPr>
            <w:tcW w:w="712" w:type="dxa"/>
          </w:tcPr>
          <w:p w14:paraId="153A2345">
            <w:pPr>
              <w:spacing w:before="96" w:beforeLines="40" w:after="96" w:afterLines="40" w:line="24" w:lineRule="atLeast"/>
              <w:rPr>
                <w:rFonts w:eastAsia="Times New Roman"/>
                <w:sz w:val="18"/>
                <w:szCs w:val="18"/>
                <w:lang w:val="en-GB" w:eastAsia="en-GB"/>
              </w:rPr>
            </w:pPr>
          </w:p>
        </w:tc>
        <w:tc>
          <w:tcPr>
            <w:tcW w:w="4969" w:type="dxa"/>
          </w:tcPr>
          <w:p w14:paraId="775683D9">
            <w:pPr>
              <w:spacing w:before="96" w:beforeLines="40" w:after="96" w:afterLines="40" w:line="24" w:lineRule="atLeast"/>
              <w:rPr>
                <w:rFonts w:hint="eastAsia" w:eastAsia="Times New Roman"/>
                <w:sz w:val="18"/>
                <w:szCs w:val="18"/>
                <w:lang w:val="en-GB" w:eastAsia="en-US"/>
              </w:rPr>
            </w:pPr>
            <w:r>
              <w:rPr>
                <w:rFonts w:hint="eastAsia" w:eastAsia="Times New Roman"/>
                <w:sz w:val="18"/>
                <w:szCs w:val="18"/>
                <w:lang w:val="en-GB" w:eastAsia="en-US"/>
              </w:rPr>
              <w:t>However, these results should be interpreted with caution due to several limitations. First, while Mendelian Randomization (MR) helps address confounding and reverse causality, it still depends on the validity of the instrumental variables and assumptions. Although sensitivity analyses were performed, unmeasured confounding factors may still exist. Mendelian randomization analysis is not a substitute for clinical trials because it is only a method for analyzing the causal relationship between exposure and outcome.</w:t>
            </w:r>
          </w:p>
          <w:p w14:paraId="7F688E5A">
            <w:pPr>
              <w:spacing w:before="96" w:beforeLines="40" w:after="96" w:afterLines="40" w:line="24" w:lineRule="atLeast"/>
              <w:rPr>
                <w:rFonts w:eastAsia="Times New Roman"/>
                <w:sz w:val="18"/>
                <w:szCs w:val="18"/>
                <w:lang w:val="en-GB" w:eastAsia="en-GB"/>
              </w:rPr>
            </w:pPr>
          </w:p>
        </w:tc>
      </w:tr>
      <w:tr w14:paraId="3A473818">
        <w:tblPrEx>
          <w:tblCellMar>
            <w:top w:w="0" w:type="dxa"/>
            <w:left w:w="108" w:type="dxa"/>
            <w:bottom w:w="0" w:type="dxa"/>
            <w:right w:w="108" w:type="dxa"/>
          </w:tblCellMar>
        </w:tblPrEx>
        <w:tc>
          <w:tcPr>
            <w:tcW w:w="587" w:type="dxa"/>
            <w:shd w:val="clear" w:color="auto" w:fill="EEEEEE"/>
          </w:tcPr>
          <w:p w14:paraId="0B59A044">
            <w:pPr>
              <w:spacing w:before="96" w:beforeLines="40" w:after="96" w:afterLines="40" w:line="24" w:lineRule="atLeast"/>
              <w:jc w:val="right"/>
              <w:rPr>
                <w:rFonts w:eastAsia="Cambria"/>
                <w:b/>
                <w:bCs/>
                <w:sz w:val="18"/>
                <w:szCs w:val="18"/>
                <w:lang w:val="en-GB" w:eastAsia="en-US"/>
              </w:rPr>
            </w:pPr>
          </w:p>
        </w:tc>
        <w:tc>
          <w:tcPr>
            <w:tcW w:w="1808" w:type="dxa"/>
            <w:shd w:val="clear" w:color="auto" w:fill="EEEEEE"/>
          </w:tcPr>
          <w:p w14:paraId="3BE2B6F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414" w:type="dxa"/>
            <w:shd w:val="clear" w:color="auto" w:fill="EEEEEE"/>
          </w:tcPr>
          <w:p w14:paraId="779D636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p w14:paraId="6B64EF09">
            <w:pPr>
              <w:spacing w:before="96" w:beforeLines="40" w:after="96" w:afterLines="40" w:line="24" w:lineRule="atLeast"/>
              <w:rPr>
                <w:rFonts w:eastAsia="Times New Roman"/>
                <w:sz w:val="18"/>
                <w:szCs w:val="18"/>
                <w:lang w:val="en-GB" w:eastAsia="en-GB"/>
              </w:rPr>
            </w:pPr>
          </w:p>
          <w:p w14:paraId="7AC0D74A">
            <w:pPr>
              <w:spacing w:before="96" w:beforeLines="40" w:after="96" w:afterLines="40" w:line="24" w:lineRule="atLeast"/>
              <w:rPr>
                <w:rFonts w:eastAsia="Times New Roman"/>
                <w:sz w:val="18"/>
                <w:szCs w:val="18"/>
                <w:lang w:val="en-GB" w:eastAsia="en-GB"/>
              </w:rPr>
            </w:pPr>
          </w:p>
        </w:tc>
        <w:tc>
          <w:tcPr>
            <w:tcW w:w="712" w:type="dxa"/>
            <w:shd w:val="clear" w:color="auto" w:fill="EEEEEE"/>
          </w:tcPr>
          <w:p w14:paraId="1198142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7-10</w:t>
            </w:r>
          </w:p>
        </w:tc>
        <w:tc>
          <w:tcPr>
            <w:tcW w:w="4969" w:type="dxa"/>
            <w:shd w:val="clear" w:color="auto" w:fill="EEEEEE"/>
          </w:tcPr>
          <w:p w14:paraId="5BB017B2">
            <w:pPr>
              <w:spacing w:before="96" w:beforeLines="40" w:after="96" w:afterLines="40" w:line="24" w:lineRule="atLeast"/>
              <w:rPr>
                <w:rFonts w:eastAsia="Times New Roman"/>
                <w:sz w:val="18"/>
                <w:szCs w:val="18"/>
                <w:lang w:val="en-GB" w:eastAsia="en-GB"/>
              </w:rPr>
            </w:pPr>
          </w:p>
        </w:tc>
      </w:tr>
      <w:tr w14:paraId="71322DC6">
        <w:tblPrEx>
          <w:tblCellMar>
            <w:top w:w="0" w:type="dxa"/>
            <w:left w:w="108" w:type="dxa"/>
            <w:bottom w:w="0" w:type="dxa"/>
            <w:right w:w="108" w:type="dxa"/>
          </w:tblCellMar>
        </w:tblPrEx>
        <w:tc>
          <w:tcPr>
            <w:tcW w:w="587" w:type="dxa"/>
            <w:shd w:val="clear" w:color="auto" w:fill="auto"/>
          </w:tcPr>
          <w:p w14:paraId="1D22F9C8">
            <w:pPr>
              <w:spacing w:before="96" w:beforeLines="40" w:after="96" w:afterLines="40" w:line="24" w:lineRule="atLeast"/>
              <w:jc w:val="right"/>
              <w:rPr>
                <w:rFonts w:eastAsia="Cambria"/>
                <w:b/>
                <w:bCs/>
                <w:sz w:val="18"/>
                <w:szCs w:val="18"/>
                <w:lang w:val="en-GB" w:eastAsia="en-US"/>
              </w:rPr>
            </w:pPr>
          </w:p>
        </w:tc>
        <w:tc>
          <w:tcPr>
            <w:tcW w:w="1808" w:type="dxa"/>
            <w:shd w:val="clear" w:color="auto" w:fill="auto"/>
          </w:tcPr>
          <w:p w14:paraId="723EF07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414" w:type="dxa"/>
            <w:shd w:val="clear" w:color="auto" w:fill="auto"/>
          </w:tcPr>
          <w:p w14:paraId="44140A73">
            <w:pPr>
              <w:tabs>
                <w:tab w:val="left" w:pos="1350"/>
              </w:tabs>
              <w:spacing w:before="96" w:beforeLines="40" w:after="96" w:afterLines="40" w:line="24" w:lineRule="atLeast"/>
              <w:rPr>
                <w:rFonts w:eastAsia="Times New Roman"/>
                <w:color w:val="000000"/>
                <w:sz w:val="18"/>
                <w:szCs w:val="18"/>
                <w:lang w:eastAsia="en-GB"/>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p w14:paraId="5CF07013">
            <w:pPr>
              <w:tabs>
                <w:tab w:val="left" w:pos="1350"/>
              </w:tabs>
              <w:spacing w:before="96" w:beforeLines="40" w:after="96" w:afterLines="40" w:line="24" w:lineRule="atLeast"/>
              <w:rPr>
                <w:rFonts w:eastAsia="Times New Roman"/>
                <w:color w:val="000000"/>
                <w:sz w:val="18"/>
                <w:szCs w:val="18"/>
                <w:lang w:eastAsia="en-GB"/>
              </w:rPr>
            </w:pPr>
          </w:p>
          <w:p w14:paraId="491E7513">
            <w:pPr>
              <w:tabs>
                <w:tab w:val="left" w:pos="1350"/>
              </w:tabs>
              <w:spacing w:before="96" w:beforeLines="40" w:after="96" w:afterLines="40" w:line="24" w:lineRule="atLeast"/>
              <w:rPr>
                <w:rFonts w:hint="eastAsia" w:eastAsia="Times New Roman"/>
                <w:color w:val="000000"/>
                <w:sz w:val="18"/>
                <w:szCs w:val="18"/>
                <w:lang w:val="en-GB" w:eastAsia="en-US"/>
              </w:rPr>
            </w:pPr>
          </w:p>
        </w:tc>
        <w:tc>
          <w:tcPr>
            <w:tcW w:w="712" w:type="dxa"/>
          </w:tcPr>
          <w:p w14:paraId="29DCA5CF">
            <w:pPr>
              <w:tabs>
                <w:tab w:val="left" w:pos="1350"/>
              </w:tabs>
              <w:spacing w:before="96" w:beforeLines="40" w:after="96" w:afterLines="40" w:line="24" w:lineRule="atLeast"/>
              <w:rPr>
                <w:rFonts w:eastAsia="Times New Roman"/>
                <w:sz w:val="18"/>
                <w:szCs w:val="18"/>
                <w:lang w:val="en-GB" w:eastAsia="en-GB"/>
              </w:rPr>
            </w:pPr>
          </w:p>
        </w:tc>
        <w:tc>
          <w:tcPr>
            <w:tcW w:w="4969" w:type="dxa"/>
          </w:tcPr>
          <w:p w14:paraId="3E102D9F">
            <w:pPr>
              <w:tabs>
                <w:tab w:val="left" w:pos="1350"/>
              </w:tabs>
              <w:spacing w:before="96" w:beforeLines="40" w:after="96" w:afterLines="40" w:line="24" w:lineRule="atLeast"/>
              <w:rPr>
                <w:rFonts w:eastAsia="Times New Roman"/>
                <w:sz w:val="18"/>
                <w:szCs w:val="18"/>
                <w:lang w:val="en-GB" w:eastAsia="en-GB"/>
              </w:rPr>
            </w:pPr>
            <w:r>
              <w:rPr>
                <w:rFonts w:hint="eastAsia" w:eastAsia="Times New Roman"/>
                <w:color w:val="000000"/>
                <w:sz w:val="18"/>
                <w:szCs w:val="18"/>
                <w:lang w:val="en-GB" w:eastAsia="en-US"/>
              </w:rPr>
              <w:t>This study provides genetic evidence that abnormal platelet response to ciprofloxacin may increase the risk of IBD, partly by impairing the immunoregulatory function of CD14⁻CD16⁺ monocytes. These findings highlight the role of platelets in chronic intestinal inflammation beyond their traditional function in hemostasis. Clinically, this suggests that targeting platelet activation—particularly its pro-inflammatory signaling—may represent a novel therapeutic strategy for IBD. Moreover, previous experimental studies have also confirmed a causal relationship between platelets and IBD.</w:t>
            </w:r>
            <w:bookmarkStart w:id="0" w:name="_GoBack"/>
            <w:bookmarkEnd w:id="0"/>
          </w:p>
        </w:tc>
      </w:tr>
      <w:tr w14:paraId="71D44FEB">
        <w:tblPrEx>
          <w:tblCellMar>
            <w:top w:w="0" w:type="dxa"/>
            <w:left w:w="108" w:type="dxa"/>
            <w:bottom w:w="0" w:type="dxa"/>
            <w:right w:w="108" w:type="dxa"/>
          </w:tblCellMar>
        </w:tblPrEx>
        <w:tc>
          <w:tcPr>
            <w:tcW w:w="587" w:type="dxa"/>
            <w:tcBorders>
              <w:bottom w:val="single" w:color="7F7F7F" w:sz="6" w:space="0"/>
            </w:tcBorders>
            <w:shd w:val="clear" w:color="auto" w:fill="EEEEEE"/>
          </w:tcPr>
          <w:p w14:paraId="7407642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08" w:type="dxa"/>
            <w:tcBorders>
              <w:bottom w:val="single" w:color="7F7F7F" w:sz="6" w:space="0"/>
            </w:tcBorders>
            <w:shd w:val="clear" w:color="auto" w:fill="EEEEEE"/>
          </w:tcPr>
          <w:p w14:paraId="32D48CA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6414" w:type="dxa"/>
            <w:tcBorders>
              <w:bottom w:val="single" w:color="7F7F7F" w:sz="6" w:space="0"/>
            </w:tcBorders>
            <w:shd w:val="clear" w:color="auto" w:fill="EEEEEE"/>
          </w:tcPr>
          <w:p w14:paraId="1C373763">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the generalizability of the study results (a) to other populations, (b) across other exposure periods/timings, and (c) across other levels of exposure</w:t>
            </w:r>
          </w:p>
          <w:p w14:paraId="3CDDEF9C">
            <w:pPr>
              <w:spacing w:before="96" w:beforeLines="40" w:after="96" w:afterLines="40" w:line="24" w:lineRule="atLeast"/>
              <w:rPr>
                <w:rFonts w:eastAsia="Times New Roman"/>
                <w:sz w:val="18"/>
                <w:szCs w:val="18"/>
                <w:lang w:val="en-GB" w:eastAsia="en-GB"/>
              </w:rPr>
            </w:pPr>
          </w:p>
          <w:p w14:paraId="4055C00C">
            <w:pPr>
              <w:spacing w:before="96" w:beforeLines="40" w:after="96" w:afterLines="40" w:line="24" w:lineRule="atLeast"/>
              <w:rPr>
                <w:rFonts w:eastAsia="Times New Roman"/>
                <w:sz w:val="18"/>
                <w:szCs w:val="18"/>
                <w:lang w:val="en-GB" w:eastAsia="en-US"/>
              </w:rPr>
            </w:pPr>
          </w:p>
        </w:tc>
        <w:tc>
          <w:tcPr>
            <w:tcW w:w="712" w:type="dxa"/>
            <w:tcBorders>
              <w:bottom w:val="single" w:color="7F7F7F" w:sz="6" w:space="0"/>
            </w:tcBorders>
            <w:shd w:val="clear" w:color="auto" w:fill="EEEEEE"/>
          </w:tcPr>
          <w:p w14:paraId="3DE3EA41">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0DE644FE">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US"/>
              </w:rPr>
              <w:t>The data for this study come from the European population, so the results apply primarily to this population. Gene frequencies and environmental factors may vary in different racial or ethnic groups, which may affect the generalisability of the results. To verify the applicability of the results to other populations, future studies should repeat this analysis in other racial or ethnic groups.</w:t>
            </w:r>
          </w:p>
        </w:tc>
      </w:tr>
      <w:tr w14:paraId="65A60EBE">
        <w:tblPrEx>
          <w:tblCellMar>
            <w:top w:w="0" w:type="dxa"/>
            <w:left w:w="108" w:type="dxa"/>
            <w:bottom w:w="0" w:type="dxa"/>
            <w:right w:w="108" w:type="dxa"/>
          </w:tblCellMar>
        </w:tblPrEx>
        <w:tc>
          <w:tcPr>
            <w:tcW w:w="587" w:type="dxa"/>
            <w:tcBorders>
              <w:top w:val="single" w:color="7F7F7F" w:sz="6" w:space="0"/>
            </w:tcBorders>
            <w:shd w:val="clear" w:color="auto" w:fill="auto"/>
          </w:tcPr>
          <w:p w14:paraId="55CA7E49">
            <w:pPr>
              <w:spacing w:before="96" w:beforeLines="40" w:after="96" w:afterLines="40" w:line="24" w:lineRule="atLeast"/>
              <w:rPr>
                <w:rFonts w:eastAsia="Times New Roman"/>
                <w:b/>
                <w:bCs/>
                <w:sz w:val="18"/>
                <w:szCs w:val="18"/>
                <w:lang w:val="en-GB" w:eastAsia="en-GB"/>
              </w:rPr>
            </w:pPr>
          </w:p>
        </w:tc>
        <w:tc>
          <w:tcPr>
            <w:tcW w:w="1808" w:type="dxa"/>
            <w:tcBorders>
              <w:top w:val="single" w:color="7F7F7F" w:sz="6" w:space="0"/>
            </w:tcBorders>
            <w:shd w:val="clear" w:color="auto" w:fill="auto"/>
          </w:tcPr>
          <w:p w14:paraId="47C5C92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6414" w:type="dxa"/>
            <w:tcBorders>
              <w:top w:val="single" w:color="7F7F7F" w:sz="6" w:space="0"/>
            </w:tcBorders>
            <w:shd w:val="clear" w:color="auto" w:fill="auto"/>
          </w:tcPr>
          <w:p w14:paraId="3915564F">
            <w:pPr>
              <w:spacing w:before="96" w:beforeLines="40" w:after="96" w:afterLines="40" w:line="24" w:lineRule="atLeast"/>
              <w:rPr>
                <w:rFonts w:eastAsia="Cambria"/>
                <w:sz w:val="18"/>
                <w:szCs w:val="18"/>
                <w:lang w:val="en-GB" w:eastAsia="en-US"/>
              </w:rPr>
            </w:pPr>
          </w:p>
        </w:tc>
        <w:tc>
          <w:tcPr>
            <w:tcW w:w="712" w:type="dxa"/>
            <w:tcBorders>
              <w:top w:val="single" w:color="7F7F7F" w:sz="6" w:space="0"/>
            </w:tcBorders>
          </w:tcPr>
          <w:p w14:paraId="16EDFBE5">
            <w:pPr>
              <w:spacing w:before="96" w:beforeLines="40" w:after="96" w:afterLines="40" w:line="24" w:lineRule="atLeast"/>
              <w:rPr>
                <w:rFonts w:eastAsia="Cambria"/>
                <w:sz w:val="18"/>
                <w:szCs w:val="18"/>
                <w:lang w:val="en-GB" w:eastAsia="en-US"/>
              </w:rPr>
            </w:pPr>
          </w:p>
        </w:tc>
        <w:tc>
          <w:tcPr>
            <w:tcW w:w="4969" w:type="dxa"/>
            <w:tcBorders>
              <w:top w:val="single" w:color="7F7F7F" w:sz="6" w:space="0"/>
            </w:tcBorders>
          </w:tcPr>
          <w:p w14:paraId="6072A907">
            <w:pPr>
              <w:spacing w:before="96" w:beforeLines="40" w:after="96" w:afterLines="40" w:line="24" w:lineRule="atLeast"/>
              <w:rPr>
                <w:rFonts w:eastAsia="Cambria"/>
                <w:sz w:val="18"/>
                <w:szCs w:val="18"/>
                <w:lang w:val="en-GB" w:eastAsia="en-US"/>
              </w:rPr>
            </w:pPr>
          </w:p>
        </w:tc>
      </w:tr>
      <w:tr w14:paraId="573D9BF9">
        <w:tblPrEx>
          <w:tblCellMar>
            <w:top w:w="0" w:type="dxa"/>
            <w:left w:w="108" w:type="dxa"/>
            <w:bottom w:w="0" w:type="dxa"/>
            <w:right w:w="108" w:type="dxa"/>
          </w:tblCellMar>
        </w:tblPrEx>
        <w:tc>
          <w:tcPr>
            <w:tcW w:w="587" w:type="dxa"/>
            <w:shd w:val="clear" w:color="auto" w:fill="EEEEEE"/>
          </w:tcPr>
          <w:p w14:paraId="196559A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08" w:type="dxa"/>
            <w:shd w:val="clear" w:color="auto" w:fill="EEEEEE"/>
          </w:tcPr>
          <w:p w14:paraId="059FEDE2">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6414" w:type="dxa"/>
            <w:shd w:val="clear" w:color="auto" w:fill="EEEEEE"/>
          </w:tcPr>
          <w:p w14:paraId="64B7B27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12" w:type="dxa"/>
            <w:shd w:val="clear" w:color="auto" w:fill="EEEEEE"/>
          </w:tcPr>
          <w:p w14:paraId="4B7A05A9">
            <w:pPr>
              <w:spacing w:before="96" w:beforeLines="40" w:after="96" w:afterLines="40" w:line="24" w:lineRule="atLeast"/>
              <w:rPr>
                <w:rFonts w:eastAsia="Times New Roman"/>
                <w:sz w:val="18"/>
                <w:szCs w:val="18"/>
                <w:lang w:val="en-GB" w:eastAsia="en-GB"/>
              </w:rPr>
            </w:pPr>
          </w:p>
        </w:tc>
        <w:tc>
          <w:tcPr>
            <w:tcW w:w="4969" w:type="dxa"/>
            <w:shd w:val="clear" w:color="auto" w:fill="EEEEEE"/>
          </w:tcPr>
          <w:p w14:paraId="4A72D2E9">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Not applicable.</w:t>
            </w:r>
          </w:p>
        </w:tc>
      </w:tr>
      <w:tr w14:paraId="54A59063">
        <w:tblPrEx>
          <w:tblCellMar>
            <w:top w:w="0" w:type="dxa"/>
            <w:left w:w="108" w:type="dxa"/>
            <w:bottom w:w="0" w:type="dxa"/>
            <w:right w:w="108" w:type="dxa"/>
          </w:tblCellMar>
        </w:tblPrEx>
        <w:tc>
          <w:tcPr>
            <w:tcW w:w="587" w:type="dxa"/>
            <w:shd w:val="clear" w:color="auto" w:fill="auto"/>
          </w:tcPr>
          <w:p w14:paraId="7278712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08" w:type="dxa"/>
            <w:shd w:val="clear" w:color="auto" w:fill="auto"/>
          </w:tcPr>
          <w:p w14:paraId="353963AF">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6414" w:type="dxa"/>
            <w:shd w:val="clear" w:color="auto" w:fill="auto"/>
          </w:tcPr>
          <w:p w14:paraId="3663CC6D">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12" w:type="dxa"/>
          </w:tcPr>
          <w:p w14:paraId="1AD49198">
            <w:pPr>
              <w:spacing w:before="96" w:beforeLines="40" w:after="96" w:afterLines="40" w:line="24" w:lineRule="atLeast"/>
              <w:rPr>
                <w:rFonts w:eastAsia="Times New Roman"/>
                <w:sz w:val="18"/>
                <w:szCs w:val="18"/>
                <w:lang w:val="en-GB" w:eastAsia="en-GB"/>
              </w:rPr>
            </w:pPr>
          </w:p>
        </w:tc>
        <w:tc>
          <w:tcPr>
            <w:tcW w:w="4969" w:type="dxa"/>
          </w:tcPr>
          <w:p w14:paraId="29CBA6AF">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All the data and analyses required for this study are detailed in Table 1, with the corresponding download links provided.</w:t>
            </w:r>
          </w:p>
        </w:tc>
      </w:tr>
      <w:tr w14:paraId="68EB7753">
        <w:tblPrEx>
          <w:tblCellMar>
            <w:top w:w="0" w:type="dxa"/>
            <w:left w:w="108" w:type="dxa"/>
            <w:bottom w:w="0" w:type="dxa"/>
            <w:right w:w="108" w:type="dxa"/>
          </w:tblCellMar>
        </w:tblPrEx>
        <w:tc>
          <w:tcPr>
            <w:tcW w:w="587" w:type="dxa"/>
            <w:tcBorders>
              <w:bottom w:val="single" w:color="7F7F7F" w:sz="6" w:space="0"/>
            </w:tcBorders>
            <w:shd w:val="clear" w:color="auto" w:fill="EEEEEE"/>
          </w:tcPr>
          <w:p w14:paraId="6148064F">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08" w:type="dxa"/>
            <w:tcBorders>
              <w:bottom w:val="single" w:color="7F7F7F" w:sz="6" w:space="0"/>
            </w:tcBorders>
            <w:shd w:val="clear" w:color="auto" w:fill="EEEEEE"/>
          </w:tcPr>
          <w:p w14:paraId="7797FA95">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6414" w:type="dxa"/>
            <w:tcBorders>
              <w:bottom w:val="single" w:color="7F7F7F" w:sz="6" w:space="0"/>
            </w:tcBorders>
            <w:shd w:val="clear" w:color="auto" w:fill="EEEEEE"/>
          </w:tcPr>
          <w:p w14:paraId="04EC2B16">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12" w:type="dxa"/>
            <w:tcBorders>
              <w:bottom w:val="single" w:color="7F7F7F" w:sz="6" w:space="0"/>
            </w:tcBorders>
            <w:shd w:val="clear" w:color="auto" w:fill="EEEEEE"/>
          </w:tcPr>
          <w:p w14:paraId="3CCE8483">
            <w:pPr>
              <w:spacing w:before="96" w:beforeLines="40" w:after="96" w:afterLines="40" w:line="24" w:lineRule="atLeast"/>
              <w:rPr>
                <w:rFonts w:eastAsia="Times New Roman"/>
                <w:sz w:val="18"/>
                <w:szCs w:val="18"/>
                <w:lang w:val="en-GB" w:eastAsia="en-GB"/>
              </w:rPr>
            </w:pPr>
          </w:p>
        </w:tc>
        <w:tc>
          <w:tcPr>
            <w:tcW w:w="4969" w:type="dxa"/>
            <w:tcBorders>
              <w:bottom w:val="single" w:color="7F7F7F" w:sz="6" w:space="0"/>
            </w:tcBorders>
            <w:shd w:val="clear" w:color="auto" w:fill="EEEEEE"/>
          </w:tcPr>
          <w:p w14:paraId="03D45A66">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authors declare no competing interests.</w:t>
            </w:r>
          </w:p>
        </w:tc>
      </w:tr>
    </w:tbl>
    <w:p w14:paraId="44EEFA14">
      <w:pPr>
        <w:spacing w:before="240" w:after="240"/>
        <w:rPr>
          <w:sz w:val="19"/>
          <w:szCs w:val="19"/>
        </w:rPr>
      </w:pPr>
      <w:r>
        <w:rPr>
          <w:sz w:val="19"/>
          <w:szCs w:val="19"/>
        </w:rPr>
        <w:t>This checklist is copyrighted by the Equator Network under the Creative Commons Attribution 3.0 Unported (CC BY 3.0) license.</w:t>
      </w:r>
    </w:p>
    <w:p w14:paraId="1C375510">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14:paraId="0077617D">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14:paraId="7DCF0441">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AF3DB">
    <w:pPr>
      <w:pStyle w:val="2"/>
      <w:jc w:val="right"/>
    </w:pPr>
    <w:r>
      <w:fldChar w:fldCharType="begin"/>
    </w:r>
    <w:r>
      <w:instrText xml:space="preserve"> PAGE   \* MERGEFORMAT </w:instrText>
    </w:r>
    <w:r>
      <w:fldChar w:fldCharType="separate"/>
    </w:r>
    <w:r>
      <w:t>1</w:t>
    </w:r>
    <w:r>
      <w:fldChar w:fldCharType="end"/>
    </w:r>
  </w:p>
  <w:p w14:paraId="4616B692">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81A6B">
    <w:pPr>
      <w:pStyle w:val="2"/>
      <w:framePr w:wrap="auto" w:vAnchor="text" w:hAnchor="margin" w:xAlign="right" w:y="1"/>
      <w:rPr>
        <w:rStyle w:val="5"/>
      </w:rPr>
    </w:pPr>
  </w:p>
  <w:p w14:paraId="4C662720">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612AB"/>
    <w:multiLevelType w:val="singleLevel"/>
    <w:tmpl w:val="DFB612A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3NTE0ODU0MWE1NmQyNjZjZGM2ZGY3NDQ3ZTcwMjk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30EB45A1"/>
    <w:rsid w:val="54706109"/>
    <w:rsid w:val="56C9196C"/>
    <w:rsid w:val="59BB7A35"/>
    <w:rsid w:val="604D333D"/>
    <w:rsid w:val="780F65D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76" w:lineRule="auto"/>
    </w:pPr>
    <w:rPr>
      <w:rFonts w:ascii="Arial" w:hAnsi="Arial" w:eastAsia="Arial" w:cs="Arial"/>
      <w:sz w:val="22"/>
      <w:szCs w:val="22"/>
      <w:lang w:val="en" w:eastAsia="de-CH" w:bidi="ar-SA"/>
    </w:rPr>
  </w:style>
  <w:style w:type="character" w:default="1" w:styleId="4">
    <w:name w:val="Default Paragraph Font"/>
    <w:autoRedefine/>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680"/>
        <w:tab w:val="right" w:pos="9360"/>
      </w:tabs>
      <w:spacing w:line="240" w:lineRule="auto"/>
    </w:pPr>
  </w:style>
  <w:style w:type="character" w:styleId="5">
    <w:name w:val="page number"/>
    <w:basedOn w:val="4"/>
    <w:autoRedefine/>
    <w:semiHidden/>
    <w:unhideWhenUsed/>
    <w:qFormat/>
    <w:uiPriority w:val="99"/>
  </w:style>
  <w:style w:type="character" w:styleId="6">
    <w:name w:val="line number"/>
    <w:basedOn w:val="4"/>
    <w:semiHidden/>
    <w:unhideWhenUsed/>
    <w:qFormat/>
    <w:uiPriority w:val="99"/>
  </w:style>
  <w:style w:type="character" w:customStyle="1" w:styleId="7">
    <w:name w:val="Footer Char"/>
    <w:basedOn w:val="4"/>
    <w:link w:val="2"/>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4.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A9898B61-61B7-44F1-9388-8B27875B1EDA}">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9FB0931C-FCE2-4CC4-80DE-15614B41F1F9}">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9</Pages>
  <Words>3267</Words>
  <Characters>18925</Characters>
  <Lines>286</Lines>
  <Paragraphs>146</Paragraphs>
  <TotalTime>9</TotalTime>
  <ScaleCrop>false</ScaleCrop>
  <LinksUpToDate>false</LinksUpToDate>
  <CharactersWithSpaces>22032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董林涛</cp:lastModifiedBy>
  <cp:lastPrinted>2021-09-28T07:08:00Z</cp:lastPrinted>
  <dcterms:modified xsi:type="dcterms:W3CDTF">2025-03-22T16:21:16Z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2052-12.1.0.20305</vt:lpwstr>
  </property>
  <property fmtid="{D5CDD505-2E9C-101B-9397-08002B2CF9AE}" pid="27" name="ICV">
    <vt:lpwstr>9D42C9E097734C55AD03DC86BA6DADB8_13</vt:lpwstr>
  </property>
  <property fmtid="{D5CDD505-2E9C-101B-9397-08002B2CF9AE}" pid="28" name="KSOTemplateDocerSaveRecord">
    <vt:lpwstr>eyJoZGlkIjoiMmQ3NTE0ODU0MWE1NmQyNjZjZGM2ZGY3NDQ3ZTcwMjkiLCJ1c2VySWQiOiIxMzk4Mzc3OTgzIn0=</vt:lpwstr>
  </property>
</Properties>
</file>