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5B9E">
      <w:pPr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F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igure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S1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Incidence rate(A), death rate(B), and DALY rate(C)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of endocarditis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for both sexes in 204 countries, in 2021.</w:t>
      </w:r>
    </w:p>
    <w:p w14:paraId="6E30E1CE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43FA252">
      <w:pPr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F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igure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S2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. Global counts and incidence (A), death (B) and DALY (C) rates of endocarditis by age and sex, 2021. Error bars indicate the 95 % uncertainty intervals (95 % UI) for incidence (A), death (B) and DALYs (C). Shading indicates the upper and lower limits of the 95 % UI.</w:t>
      </w:r>
    </w:p>
    <w:p w14:paraId="41978586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251D28A">
      <w:pPr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Figure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S3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I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ncidence rate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(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A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), 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death rates(B)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DALY rates(C) for endocarditis for 21 Global Burden of Disease regions from 1990 to 2021 by SDI.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The black line represents the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expected age-standardized DALY rates based solely on SDI.</w:t>
      </w:r>
    </w:p>
    <w:p w14:paraId="618100B1">
      <w:pPr>
        <w:rPr>
          <w:rFonts w:hint="default" w:ascii="Times New Roman" w:hAnsi="Times New Roman" w:cs="Times New Roman"/>
          <w:highlight w:val="none"/>
          <w:lang w:val="en-US" w:eastAsia="zh-CN"/>
        </w:rPr>
      </w:pPr>
      <w:bookmarkStart w:id="0" w:name="_GoBack"/>
      <w:bookmarkEnd w:id="0"/>
    </w:p>
    <w:p w14:paraId="76ED71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47F2B"/>
    <w:rsid w:val="5CA4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2025-04-01T09:33:00Z</dcterms:created>
  <dc:creator>d.cj</dc:creator>
  <cp:lastModifiedBy>d.cj</cp:lastModifiedBy>
  <dcterms:modified xsi:type="dcterms:W3CDTF">2025-04-01T09:35:35Z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1C18D4D9DDC740ECBD0C399C21569CFE_11</vt:lpwstr>
  </property>
  <property fmtid="{D5CDD505-2E9C-101B-9397-08002B2CF9AE}" pid="4" name="KSOTemplateDocerSaveRecord">
    <vt:lpwstr>eyJoZGlkIjoiYjg4YTcwNmFlNzA2Mjg2ZjhlZTY1YjFkNzIwNTBjMmMiLCJ1c2VySWQiOiIyODcwMzY3OTkifQ==</vt:lpwstr>
  </property>
</Properties>
</file>