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24F608" w14:textId="6A6A6584" w:rsidR="00CC17B9" w:rsidRPr="001A0621" w:rsidRDefault="00CC17B9" w:rsidP="008E4C85">
      <w:pPr>
        <w:pStyle w:val="Ttulo"/>
        <w:spacing w:line="360" w:lineRule="auto"/>
        <w:jc w:val="center"/>
        <w:rPr>
          <w:rFonts w:ascii="Calibri" w:hAnsi="Calibri" w:cs="Calibri"/>
          <w:sz w:val="48"/>
        </w:rPr>
      </w:pPr>
      <w:r>
        <w:rPr>
          <w:rFonts w:ascii="Calibri" w:hAnsi="Calibri" w:cs="Calibri"/>
          <w:sz w:val="48"/>
        </w:rPr>
        <w:t xml:space="preserve">Negative emissions </w:t>
      </w:r>
      <w:r w:rsidR="00BB454F">
        <w:rPr>
          <w:rFonts w:ascii="Calibri" w:hAnsi="Calibri" w:cs="Calibri"/>
          <w:sz w:val="48"/>
        </w:rPr>
        <w:t xml:space="preserve">pose </w:t>
      </w:r>
      <w:r>
        <w:rPr>
          <w:rFonts w:ascii="Calibri" w:hAnsi="Calibri" w:cs="Calibri"/>
          <w:sz w:val="48"/>
        </w:rPr>
        <w:t>trade-offs</w:t>
      </w:r>
      <w:r w:rsidR="008E4C85">
        <w:rPr>
          <w:rFonts w:ascii="Calibri" w:hAnsi="Calibri" w:cs="Calibri"/>
          <w:sz w:val="48"/>
        </w:rPr>
        <w:t xml:space="preserve"> </w:t>
      </w:r>
      <w:r w:rsidR="00790FED">
        <w:rPr>
          <w:rFonts w:ascii="Calibri" w:hAnsi="Calibri" w:cs="Calibri"/>
          <w:sz w:val="48"/>
        </w:rPr>
        <w:t>among</w:t>
      </w:r>
      <w:r>
        <w:rPr>
          <w:rFonts w:ascii="Calibri" w:hAnsi="Calibri" w:cs="Calibri"/>
          <w:sz w:val="48"/>
        </w:rPr>
        <w:t xml:space="preserve"> </w:t>
      </w:r>
      <w:r w:rsidR="009A61A3">
        <w:rPr>
          <w:rFonts w:ascii="Calibri" w:hAnsi="Calibri" w:cs="Calibri"/>
          <w:sz w:val="48"/>
        </w:rPr>
        <w:t>human health</w:t>
      </w:r>
      <w:r w:rsidR="00BB454F">
        <w:rPr>
          <w:rFonts w:ascii="Calibri" w:hAnsi="Calibri" w:cs="Calibri"/>
          <w:sz w:val="48"/>
        </w:rPr>
        <w:t>,</w:t>
      </w:r>
      <w:r>
        <w:rPr>
          <w:rFonts w:ascii="Calibri" w:hAnsi="Calibri" w:cs="Calibri"/>
          <w:sz w:val="48"/>
        </w:rPr>
        <w:t xml:space="preserve"> </w:t>
      </w:r>
      <w:r w:rsidR="00E562F6">
        <w:rPr>
          <w:rFonts w:ascii="Calibri" w:hAnsi="Calibri" w:cs="Calibri"/>
          <w:sz w:val="48"/>
        </w:rPr>
        <w:t>planetary</w:t>
      </w:r>
      <w:r w:rsidR="008E4C85">
        <w:rPr>
          <w:rFonts w:ascii="Calibri" w:hAnsi="Calibri" w:cs="Calibri"/>
          <w:sz w:val="48"/>
        </w:rPr>
        <w:t xml:space="preserve"> </w:t>
      </w:r>
      <w:r w:rsidR="00E562F6">
        <w:rPr>
          <w:rFonts w:ascii="Calibri" w:hAnsi="Calibri" w:cs="Calibri"/>
          <w:sz w:val="48"/>
        </w:rPr>
        <w:t xml:space="preserve">boundaries </w:t>
      </w:r>
      <w:r>
        <w:rPr>
          <w:rFonts w:ascii="Calibri" w:hAnsi="Calibri" w:cs="Calibri"/>
          <w:sz w:val="48"/>
        </w:rPr>
        <w:t>and mineral resources</w:t>
      </w:r>
    </w:p>
    <w:p w14:paraId="6506480C" w14:textId="77777777" w:rsidR="006661DC" w:rsidRPr="00904D43" w:rsidRDefault="006661DC" w:rsidP="006661DC">
      <w:pPr>
        <w:spacing w:after="0" w:line="240" w:lineRule="auto"/>
        <w:jc w:val="center"/>
        <w:rPr>
          <w:b/>
          <w:bCs/>
          <w:sz w:val="40"/>
          <w:szCs w:val="40"/>
        </w:rPr>
      </w:pPr>
    </w:p>
    <w:p w14:paraId="3D06F22A" w14:textId="77777777" w:rsidR="006661DC" w:rsidRPr="00904D43" w:rsidRDefault="006661DC" w:rsidP="00E97C21">
      <w:pPr>
        <w:spacing w:line="240" w:lineRule="auto"/>
        <w:jc w:val="center"/>
        <w:rPr>
          <w:rFonts w:cstheme="minorHAnsi"/>
          <w:sz w:val="26"/>
          <w:szCs w:val="26"/>
        </w:rPr>
      </w:pPr>
      <w:r w:rsidRPr="00904D43">
        <w:rPr>
          <w:rFonts w:cstheme="minorHAnsi"/>
          <w:sz w:val="26"/>
          <w:szCs w:val="26"/>
        </w:rPr>
        <w:t>Supplementary Information</w:t>
      </w:r>
    </w:p>
    <w:p w14:paraId="4E850E1F" w14:textId="77777777" w:rsidR="006661DC" w:rsidRPr="00904D43" w:rsidRDefault="006661DC" w:rsidP="006661DC">
      <w:pPr>
        <w:spacing w:after="0" w:line="240" w:lineRule="auto"/>
        <w:jc w:val="both"/>
        <w:rPr>
          <w:rFonts w:cstheme="minorHAnsi"/>
          <w:sz w:val="32"/>
          <w:szCs w:val="32"/>
        </w:rPr>
      </w:pPr>
    </w:p>
    <w:p w14:paraId="07E90CE6" w14:textId="332AB4DE" w:rsidR="00AE00AA" w:rsidRPr="00C0402B" w:rsidRDefault="00AE00AA" w:rsidP="00AE00AA">
      <w:pPr>
        <w:spacing w:line="360" w:lineRule="auto"/>
        <w:jc w:val="center"/>
        <w:rPr>
          <w:rFonts w:cstheme="minorHAnsi"/>
        </w:rPr>
      </w:pPr>
      <w:r w:rsidRPr="00C0402B">
        <w:rPr>
          <w:rFonts w:cstheme="minorHAnsi"/>
        </w:rPr>
        <w:t>Selene Cobo</w:t>
      </w:r>
      <w:r w:rsidRPr="00C0402B">
        <w:rPr>
          <w:rFonts w:cstheme="minorHAnsi"/>
          <w:vertAlign w:val="superscript"/>
        </w:rPr>
        <w:t>1</w:t>
      </w:r>
      <w:r w:rsidR="001C55BF" w:rsidRPr="00C0402B">
        <w:rPr>
          <w:rFonts w:cstheme="minorHAnsi"/>
          <w:vertAlign w:val="superscript"/>
        </w:rPr>
        <w:t>*</w:t>
      </w:r>
      <w:r w:rsidRPr="00C0402B">
        <w:rPr>
          <w:rFonts w:cstheme="minorHAnsi"/>
        </w:rPr>
        <w:t>, Ángel Galán Martín</w:t>
      </w:r>
      <w:r w:rsidRPr="00C0402B">
        <w:rPr>
          <w:rFonts w:cstheme="minorHAnsi"/>
          <w:vertAlign w:val="superscript"/>
        </w:rPr>
        <w:t>2</w:t>
      </w:r>
      <w:r w:rsidRPr="00C0402B">
        <w:rPr>
          <w:rFonts w:cstheme="minorHAnsi"/>
        </w:rPr>
        <w:t xml:space="preserve"> and Gonzalo Guillén-Gosálbez</w:t>
      </w:r>
      <w:r w:rsidRPr="00C0402B">
        <w:rPr>
          <w:rFonts w:cstheme="minorHAnsi"/>
          <w:vertAlign w:val="superscript"/>
        </w:rPr>
        <w:t>3</w:t>
      </w:r>
      <w:r w:rsidRPr="00C0402B">
        <w:rPr>
          <w:rFonts w:cstheme="minorHAnsi"/>
        </w:rPr>
        <w:t>*</w:t>
      </w:r>
    </w:p>
    <w:p w14:paraId="12A080BD" w14:textId="77777777" w:rsidR="00AE00AA" w:rsidRDefault="00AE00AA" w:rsidP="00AE00AA">
      <w:pPr>
        <w:autoSpaceDE w:val="0"/>
        <w:autoSpaceDN w:val="0"/>
        <w:adjustRightInd w:val="0"/>
        <w:spacing w:before="120" w:after="120" w:line="360" w:lineRule="auto"/>
        <w:jc w:val="center"/>
        <w:rPr>
          <w:rFonts w:cstheme="minorHAnsi"/>
          <w:sz w:val="21"/>
          <w:szCs w:val="21"/>
        </w:rPr>
      </w:pPr>
      <w:r>
        <w:rPr>
          <w:rFonts w:cstheme="minorHAnsi"/>
          <w:sz w:val="21"/>
          <w:szCs w:val="21"/>
          <w:vertAlign w:val="superscript"/>
        </w:rPr>
        <w:t>1</w:t>
      </w:r>
      <w:r>
        <w:rPr>
          <w:rFonts w:cstheme="minorHAnsi"/>
          <w:sz w:val="21"/>
          <w:szCs w:val="21"/>
        </w:rPr>
        <w:t>Department of Chemical and Biomolecular Engineering, University of Cantabria, Spain</w:t>
      </w:r>
    </w:p>
    <w:p w14:paraId="32779A71" w14:textId="2253C0AD" w:rsidR="00AE00AA" w:rsidRDefault="00AE00AA" w:rsidP="00AE00AA">
      <w:pPr>
        <w:autoSpaceDE w:val="0"/>
        <w:autoSpaceDN w:val="0"/>
        <w:adjustRightInd w:val="0"/>
        <w:spacing w:before="120" w:after="120" w:line="360" w:lineRule="auto"/>
        <w:jc w:val="center"/>
        <w:rPr>
          <w:rFonts w:cstheme="minorHAnsi"/>
          <w:sz w:val="21"/>
          <w:szCs w:val="21"/>
        </w:rPr>
      </w:pPr>
      <w:r>
        <w:rPr>
          <w:rFonts w:cstheme="minorHAnsi"/>
          <w:sz w:val="21"/>
          <w:szCs w:val="21"/>
          <w:vertAlign w:val="superscript"/>
        </w:rPr>
        <w:t>2</w:t>
      </w:r>
      <w:r w:rsidRPr="008B2985">
        <w:rPr>
          <w:rFonts w:cstheme="minorHAnsi"/>
          <w:sz w:val="21"/>
          <w:szCs w:val="21"/>
        </w:rPr>
        <w:t xml:space="preserve">Department of Chemical, Environmental and Materials Engineering, </w:t>
      </w:r>
      <w:r w:rsidR="007618BB">
        <w:rPr>
          <w:rFonts w:cstheme="minorHAnsi"/>
          <w:sz w:val="21"/>
          <w:szCs w:val="21"/>
        </w:rPr>
        <w:t>Institute of Biorefineries Research (I3B)</w:t>
      </w:r>
      <w:r w:rsidR="006B5448">
        <w:rPr>
          <w:rFonts w:cstheme="minorHAnsi"/>
          <w:sz w:val="21"/>
          <w:szCs w:val="21"/>
        </w:rPr>
        <w:t>,</w:t>
      </w:r>
      <w:r w:rsidR="007618BB">
        <w:rPr>
          <w:rFonts w:cstheme="minorHAnsi"/>
          <w:sz w:val="21"/>
          <w:szCs w:val="21"/>
        </w:rPr>
        <w:t xml:space="preserve"> </w:t>
      </w:r>
      <w:r w:rsidRPr="008B2985">
        <w:rPr>
          <w:rFonts w:cstheme="minorHAnsi"/>
          <w:sz w:val="21"/>
          <w:szCs w:val="21"/>
        </w:rPr>
        <w:t>University of Jaén, Spain</w:t>
      </w:r>
    </w:p>
    <w:p w14:paraId="316CBB57" w14:textId="77777777" w:rsidR="00AE00AA" w:rsidRDefault="00AE00AA" w:rsidP="00AE00AA">
      <w:pPr>
        <w:autoSpaceDE w:val="0"/>
        <w:autoSpaceDN w:val="0"/>
        <w:adjustRightInd w:val="0"/>
        <w:spacing w:before="120" w:after="120" w:line="360" w:lineRule="auto"/>
        <w:jc w:val="center"/>
        <w:rPr>
          <w:rFonts w:cstheme="minorHAnsi"/>
          <w:sz w:val="21"/>
          <w:szCs w:val="21"/>
        </w:rPr>
      </w:pPr>
      <w:r>
        <w:rPr>
          <w:rFonts w:cstheme="minorHAnsi"/>
          <w:sz w:val="21"/>
          <w:szCs w:val="21"/>
          <w:vertAlign w:val="superscript"/>
        </w:rPr>
        <w:t>3</w:t>
      </w:r>
      <w:r w:rsidRPr="000A3803">
        <w:rPr>
          <w:rFonts w:cstheme="minorHAnsi"/>
          <w:sz w:val="21"/>
          <w:szCs w:val="21"/>
        </w:rPr>
        <w:t xml:space="preserve">Department of Chemistry and Applied Biosciences, Institute for Chemical and Bioengineering, ETH Zürich, </w:t>
      </w:r>
      <w:r w:rsidRPr="007357FD">
        <w:rPr>
          <w:rFonts w:cstheme="minorHAnsi"/>
          <w:sz w:val="21"/>
          <w:szCs w:val="21"/>
        </w:rPr>
        <w:t>Switzerland.</w:t>
      </w:r>
    </w:p>
    <w:p w14:paraId="335BCDBA" w14:textId="742354A1" w:rsidR="00AE00AA" w:rsidRPr="00AD34F8" w:rsidRDefault="00AE00AA" w:rsidP="00AE00AA">
      <w:pPr>
        <w:spacing w:after="0" w:line="360" w:lineRule="auto"/>
        <w:jc w:val="center"/>
        <w:rPr>
          <w:rFonts w:cstheme="minorHAnsi"/>
          <w:sz w:val="21"/>
          <w:szCs w:val="21"/>
        </w:rPr>
      </w:pPr>
      <w:r w:rsidRPr="00AD34F8">
        <w:rPr>
          <w:rFonts w:cstheme="minorHAnsi"/>
          <w:sz w:val="21"/>
          <w:szCs w:val="21"/>
        </w:rPr>
        <w:t>*</w:t>
      </w:r>
      <w:r w:rsidR="001C55BF">
        <w:rPr>
          <w:rFonts w:cstheme="minorHAnsi"/>
          <w:sz w:val="21"/>
          <w:szCs w:val="21"/>
        </w:rPr>
        <w:t>cobos</w:t>
      </w:r>
      <w:r w:rsidR="001C55BF" w:rsidRPr="00AD34F8">
        <w:rPr>
          <w:rFonts w:cstheme="minorHAnsi"/>
          <w:sz w:val="21"/>
          <w:szCs w:val="21"/>
        </w:rPr>
        <w:t>@</w:t>
      </w:r>
      <w:r w:rsidR="001C55BF">
        <w:rPr>
          <w:rFonts w:cstheme="minorHAnsi"/>
          <w:sz w:val="21"/>
          <w:szCs w:val="21"/>
        </w:rPr>
        <w:t xml:space="preserve">unican.es, </w:t>
      </w:r>
      <w:r w:rsidRPr="00AD34F8">
        <w:rPr>
          <w:rFonts w:cstheme="minorHAnsi"/>
          <w:sz w:val="21"/>
          <w:szCs w:val="21"/>
        </w:rPr>
        <w:t>gonzalo.guillen.gosalbez@chem.ethz.ch</w:t>
      </w:r>
    </w:p>
    <w:p w14:paraId="1E6FAFDA" w14:textId="77777777" w:rsidR="006661DC" w:rsidRPr="00904D43" w:rsidRDefault="006661DC" w:rsidP="006661DC">
      <w:pPr>
        <w:spacing w:line="240" w:lineRule="auto"/>
        <w:rPr>
          <w:rFonts w:cstheme="minorHAnsi"/>
          <w:sz w:val="21"/>
          <w:szCs w:val="21"/>
        </w:rPr>
      </w:pPr>
    </w:p>
    <w:p w14:paraId="3DBA0993" w14:textId="77777777" w:rsidR="006661DC" w:rsidRPr="00904D43" w:rsidRDefault="006661DC" w:rsidP="006661DC">
      <w:pPr>
        <w:spacing w:after="0" w:line="240" w:lineRule="auto"/>
        <w:rPr>
          <w:rFonts w:cstheme="minorHAnsi"/>
          <w:sz w:val="21"/>
          <w:szCs w:val="21"/>
        </w:rPr>
      </w:pPr>
    </w:p>
    <w:p w14:paraId="29513C0B" w14:textId="2EFD0595" w:rsidR="006661DC" w:rsidRPr="00814809" w:rsidRDefault="006661DC" w:rsidP="00814809">
      <w:pPr>
        <w:spacing w:line="360" w:lineRule="auto"/>
        <w:jc w:val="both"/>
        <w:rPr>
          <w:b/>
          <w:bCs/>
        </w:rPr>
      </w:pPr>
      <w:r w:rsidRPr="009D1242">
        <w:t xml:space="preserve">This document </w:t>
      </w:r>
      <w:r w:rsidR="00824903" w:rsidRPr="009D1242">
        <w:t xml:space="preserve">provides additional </w:t>
      </w:r>
      <w:r w:rsidR="0080511D" w:rsidRPr="009D1242">
        <w:t xml:space="preserve">information on the </w:t>
      </w:r>
      <w:r w:rsidR="0009643B" w:rsidRPr="009D1242">
        <w:t>methodology, life cycle models</w:t>
      </w:r>
      <w:r w:rsidR="00A75E38">
        <w:t>, assumptions and limitations</w:t>
      </w:r>
      <w:r w:rsidR="009703ED">
        <w:t>,</w:t>
      </w:r>
      <w:r w:rsidR="0009643B" w:rsidRPr="009D1242">
        <w:t xml:space="preserve"> and </w:t>
      </w:r>
      <w:r w:rsidR="00824903" w:rsidRPr="009D1242">
        <w:t xml:space="preserve">results </w:t>
      </w:r>
      <w:r w:rsidR="00C9743B" w:rsidRPr="009D1242">
        <w:t>d</w:t>
      </w:r>
      <w:r w:rsidR="00C315CA" w:rsidRPr="009D1242">
        <w:t>escribed in the main manuscript.</w:t>
      </w:r>
      <w:r w:rsidRPr="00904D43">
        <w:br w:type="page"/>
      </w:r>
    </w:p>
    <w:sdt>
      <w:sdtPr>
        <w:rPr>
          <w:rFonts w:asciiTheme="minorHAnsi" w:eastAsiaTheme="minorEastAsia" w:hAnsiTheme="minorHAnsi" w:cstheme="minorBidi"/>
          <w:color w:val="auto"/>
          <w:sz w:val="22"/>
          <w:szCs w:val="22"/>
          <w:lang w:val="en-US"/>
        </w:rPr>
        <w:id w:val="-277884447"/>
        <w:docPartObj>
          <w:docPartGallery w:val="Table of Contents"/>
          <w:docPartUnique/>
        </w:docPartObj>
      </w:sdtPr>
      <w:sdtContent>
        <w:p w14:paraId="41A86480" w14:textId="6EE25B35" w:rsidR="00326717" w:rsidRDefault="00326717">
          <w:pPr>
            <w:pStyle w:val="TtuloTDC"/>
            <w:rPr>
              <w:rFonts w:asciiTheme="minorHAnsi" w:hAnsiTheme="minorHAnsi" w:cstheme="minorHAnsi"/>
              <w:b/>
              <w:bCs/>
              <w:color w:val="auto"/>
              <w:sz w:val="24"/>
              <w:szCs w:val="24"/>
              <w:lang w:val="en-US"/>
            </w:rPr>
          </w:pPr>
          <w:r w:rsidRPr="006F4BE8">
            <w:rPr>
              <w:rFonts w:asciiTheme="minorHAnsi" w:hAnsiTheme="minorHAnsi" w:cstheme="minorHAnsi"/>
              <w:b/>
              <w:bCs/>
              <w:color w:val="auto"/>
              <w:sz w:val="24"/>
              <w:szCs w:val="24"/>
              <w:lang w:val="en-US"/>
            </w:rPr>
            <w:t>Table of contents</w:t>
          </w:r>
        </w:p>
        <w:p w14:paraId="4B3ADE67" w14:textId="77777777" w:rsidR="007F6A9D" w:rsidRPr="007F6A9D" w:rsidRDefault="007F6A9D" w:rsidP="007F6A9D">
          <w:pPr>
            <w:spacing w:after="0"/>
          </w:pPr>
        </w:p>
        <w:p w14:paraId="44475188" w14:textId="02E85171" w:rsidR="005028CD" w:rsidRPr="005028CD" w:rsidRDefault="00326717">
          <w:pPr>
            <w:pStyle w:val="TDC1"/>
            <w:rPr>
              <w:rFonts w:cstheme="minorBidi"/>
              <w:kern w:val="2"/>
              <w:sz w:val="24"/>
              <w:szCs w:val="24"/>
              <w:lang w:val="es-ES" w:eastAsia="es-ES"/>
              <w14:ligatures w14:val="standardContextual"/>
            </w:rPr>
          </w:pPr>
          <w:r w:rsidRPr="005028CD">
            <w:fldChar w:fldCharType="begin"/>
          </w:r>
          <w:r w:rsidRPr="005028CD">
            <w:instrText xml:space="preserve"> TOC \o "1-3" \h \z \u </w:instrText>
          </w:r>
          <w:r w:rsidRPr="005028CD">
            <w:fldChar w:fldCharType="separate"/>
          </w:r>
          <w:hyperlink w:anchor="_Toc194330845" w:history="1">
            <w:r w:rsidR="005028CD" w:rsidRPr="005028CD">
              <w:rPr>
                <w:rStyle w:val="Hipervnculo"/>
              </w:rPr>
              <w:t>1. Nomenclature</w:t>
            </w:r>
            <w:r w:rsidR="005028CD" w:rsidRPr="005028CD">
              <w:rPr>
                <w:webHidden/>
              </w:rPr>
              <w:tab/>
            </w:r>
            <w:r w:rsidR="005028CD" w:rsidRPr="005028CD">
              <w:rPr>
                <w:webHidden/>
              </w:rPr>
              <w:fldChar w:fldCharType="begin"/>
            </w:r>
            <w:r w:rsidR="005028CD" w:rsidRPr="005028CD">
              <w:rPr>
                <w:webHidden/>
              </w:rPr>
              <w:instrText xml:space="preserve"> PAGEREF _Toc194330845 \h </w:instrText>
            </w:r>
            <w:r w:rsidR="005028CD" w:rsidRPr="005028CD">
              <w:rPr>
                <w:webHidden/>
              </w:rPr>
            </w:r>
            <w:r w:rsidR="005028CD" w:rsidRPr="005028CD">
              <w:rPr>
                <w:webHidden/>
              </w:rPr>
              <w:fldChar w:fldCharType="separate"/>
            </w:r>
            <w:r w:rsidR="005C40AD">
              <w:rPr>
                <w:webHidden/>
              </w:rPr>
              <w:t>3</w:t>
            </w:r>
            <w:r w:rsidR="005028CD" w:rsidRPr="005028CD">
              <w:rPr>
                <w:webHidden/>
              </w:rPr>
              <w:fldChar w:fldCharType="end"/>
            </w:r>
          </w:hyperlink>
        </w:p>
        <w:p w14:paraId="7F0FA385" w14:textId="38FEA218" w:rsidR="005028CD" w:rsidRPr="005028CD" w:rsidRDefault="00000000">
          <w:pPr>
            <w:pStyle w:val="TDC1"/>
            <w:rPr>
              <w:rFonts w:cstheme="minorBidi"/>
              <w:kern w:val="2"/>
              <w:sz w:val="24"/>
              <w:szCs w:val="24"/>
              <w:lang w:val="es-ES" w:eastAsia="es-ES"/>
              <w14:ligatures w14:val="standardContextual"/>
            </w:rPr>
          </w:pPr>
          <w:hyperlink w:anchor="_Toc194330846" w:history="1">
            <w:r w:rsidR="005028CD" w:rsidRPr="005028CD">
              <w:rPr>
                <w:rStyle w:val="Hipervnculo"/>
              </w:rPr>
              <w:t>2. Methods</w:t>
            </w:r>
            <w:r w:rsidR="005028CD" w:rsidRPr="005028CD">
              <w:rPr>
                <w:webHidden/>
              </w:rPr>
              <w:tab/>
            </w:r>
            <w:r w:rsidR="005028CD" w:rsidRPr="005028CD">
              <w:rPr>
                <w:webHidden/>
              </w:rPr>
              <w:fldChar w:fldCharType="begin"/>
            </w:r>
            <w:r w:rsidR="005028CD" w:rsidRPr="005028CD">
              <w:rPr>
                <w:webHidden/>
              </w:rPr>
              <w:instrText xml:space="preserve"> PAGEREF _Toc194330846 \h </w:instrText>
            </w:r>
            <w:r w:rsidR="005028CD" w:rsidRPr="005028CD">
              <w:rPr>
                <w:webHidden/>
              </w:rPr>
            </w:r>
            <w:r w:rsidR="005028CD" w:rsidRPr="005028CD">
              <w:rPr>
                <w:webHidden/>
              </w:rPr>
              <w:fldChar w:fldCharType="separate"/>
            </w:r>
            <w:r w:rsidR="005C40AD">
              <w:rPr>
                <w:webHidden/>
              </w:rPr>
              <w:t>9</w:t>
            </w:r>
            <w:r w:rsidR="005028CD" w:rsidRPr="005028CD">
              <w:rPr>
                <w:webHidden/>
              </w:rPr>
              <w:fldChar w:fldCharType="end"/>
            </w:r>
          </w:hyperlink>
        </w:p>
        <w:p w14:paraId="160132B5" w14:textId="7B63E911" w:rsidR="005028CD" w:rsidRPr="005028CD" w:rsidRDefault="00000000">
          <w:pPr>
            <w:pStyle w:val="TDC2"/>
            <w:rPr>
              <w:kern w:val="2"/>
              <w:sz w:val="24"/>
              <w:szCs w:val="24"/>
              <w:lang w:val="es-ES" w:eastAsia="es-ES"/>
              <w14:ligatures w14:val="standardContextual"/>
            </w:rPr>
          </w:pPr>
          <w:hyperlink w:anchor="_Toc194330847" w:history="1">
            <w:r w:rsidR="005028CD" w:rsidRPr="005028CD">
              <w:rPr>
                <w:rStyle w:val="Hipervnculo"/>
              </w:rPr>
              <w:t>2.1 Removal efficiency</w:t>
            </w:r>
            <w:r w:rsidR="005028CD" w:rsidRPr="005028CD">
              <w:rPr>
                <w:webHidden/>
              </w:rPr>
              <w:tab/>
            </w:r>
            <w:r w:rsidR="005028CD" w:rsidRPr="005028CD">
              <w:rPr>
                <w:webHidden/>
              </w:rPr>
              <w:fldChar w:fldCharType="begin"/>
            </w:r>
            <w:r w:rsidR="005028CD" w:rsidRPr="005028CD">
              <w:rPr>
                <w:webHidden/>
              </w:rPr>
              <w:instrText xml:space="preserve"> PAGEREF _Toc194330847 \h </w:instrText>
            </w:r>
            <w:r w:rsidR="005028CD" w:rsidRPr="005028CD">
              <w:rPr>
                <w:webHidden/>
              </w:rPr>
            </w:r>
            <w:r w:rsidR="005028CD" w:rsidRPr="005028CD">
              <w:rPr>
                <w:webHidden/>
              </w:rPr>
              <w:fldChar w:fldCharType="separate"/>
            </w:r>
            <w:r w:rsidR="005C40AD">
              <w:rPr>
                <w:webHidden/>
              </w:rPr>
              <w:t>9</w:t>
            </w:r>
            <w:r w:rsidR="005028CD" w:rsidRPr="005028CD">
              <w:rPr>
                <w:webHidden/>
              </w:rPr>
              <w:fldChar w:fldCharType="end"/>
            </w:r>
          </w:hyperlink>
        </w:p>
        <w:p w14:paraId="47031A4D" w14:textId="3AEBDD62" w:rsidR="005028CD" w:rsidRPr="005028CD" w:rsidRDefault="00000000">
          <w:pPr>
            <w:pStyle w:val="TDC2"/>
            <w:rPr>
              <w:kern w:val="2"/>
              <w:sz w:val="24"/>
              <w:szCs w:val="24"/>
              <w:lang w:val="es-ES" w:eastAsia="es-ES"/>
              <w14:ligatures w14:val="standardContextual"/>
            </w:rPr>
          </w:pPr>
          <w:hyperlink w:anchor="_Toc194330848" w:history="1">
            <w:r w:rsidR="005028CD" w:rsidRPr="005028CD">
              <w:rPr>
                <w:rStyle w:val="Hipervnculo"/>
              </w:rPr>
              <w:t>2.2 Health and ecosystem impacts</w:t>
            </w:r>
            <w:r w:rsidR="005028CD" w:rsidRPr="005028CD">
              <w:rPr>
                <w:webHidden/>
              </w:rPr>
              <w:tab/>
            </w:r>
            <w:r w:rsidR="005028CD" w:rsidRPr="005028CD">
              <w:rPr>
                <w:webHidden/>
              </w:rPr>
              <w:fldChar w:fldCharType="begin"/>
            </w:r>
            <w:r w:rsidR="005028CD" w:rsidRPr="005028CD">
              <w:rPr>
                <w:webHidden/>
              </w:rPr>
              <w:instrText xml:space="preserve"> PAGEREF _Toc194330848 \h </w:instrText>
            </w:r>
            <w:r w:rsidR="005028CD" w:rsidRPr="005028CD">
              <w:rPr>
                <w:webHidden/>
              </w:rPr>
            </w:r>
            <w:r w:rsidR="005028CD" w:rsidRPr="005028CD">
              <w:rPr>
                <w:webHidden/>
              </w:rPr>
              <w:fldChar w:fldCharType="separate"/>
            </w:r>
            <w:r w:rsidR="005C40AD">
              <w:rPr>
                <w:webHidden/>
              </w:rPr>
              <w:t>11</w:t>
            </w:r>
            <w:r w:rsidR="005028CD" w:rsidRPr="005028CD">
              <w:rPr>
                <w:webHidden/>
              </w:rPr>
              <w:fldChar w:fldCharType="end"/>
            </w:r>
          </w:hyperlink>
        </w:p>
        <w:p w14:paraId="5D14DFED" w14:textId="4F221503" w:rsidR="005028CD" w:rsidRPr="005028CD" w:rsidRDefault="00000000">
          <w:pPr>
            <w:pStyle w:val="TDC2"/>
            <w:rPr>
              <w:kern w:val="2"/>
              <w:sz w:val="24"/>
              <w:szCs w:val="24"/>
              <w:lang w:val="es-ES" w:eastAsia="es-ES"/>
              <w14:ligatures w14:val="standardContextual"/>
            </w:rPr>
          </w:pPr>
          <w:hyperlink w:anchor="_Toc194330849" w:history="1">
            <w:r w:rsidR="005028CD" w:rsidRPr="005028CD">
              <w:rPr>
                <w:rStyle w:val="Hipervnculo"/>
              </w:rPr>
              <w:t>2.3 Impacts on the Earth system</w:t>
            </w:r>
            <w:r w:rsidR="005028CD" w:rsidRPr="005028CD">
              <w:rPr>
                <w:webHidden/>
              </w:rPr>
              <w:tab/>
            </w:r>
            <w:r w:rsidR="005028CD" w:rsidRPr="005028CD">
              <w:rPr>
                <w:webHidden/>
              </w:rPr>
              <w:fldChar w:fldCharType="begin"/>
            </w:r>
            <w:r w:rsidR="005028CD" w:rsidRPr="005028CD">
              <w:rPr>
                <w:webHidden/>
              </w:rPr>
              <w:instrText xml:space="preserve"> PAGEREF _Toc194330849 \h </w:instrText>
            </w:r>
            <w:r w:rsidR="005028CD" w:rsidRPr="005028CD">
              <w:rPr>
                <w:webHidden/>
              </w:rPr>
            </w:r>
            <w:r w:rsidR="005028CD" w:rsidRPr="005028CD">
              <w:rPr>
                <w:webHidden/>
              </w:rPr>
              <w:fldChar w:fldCharType="separate"/>
            </w:r>
            <w:r w:rsidR="005C40AD">
              <w:rPr>
                <w:webHidden/>
              </w:rPr>
              <w:t>13</w:t>
            </w:r>
            <w:r w:rsidR="005028CD" w:rsidRPr="005028CD">
              <w:rPr>
                <w:webHidden/>
              </w:rPr>
              <w:fldChar w:fldCharType="end"/>
            </w:r>
          </w:hyperlink>
        </w:p>
        <w:p w14:paraId="04DF6CC7" w14:textId="5F3A2D80" w:rsidR="005028CD" w:rsidRPr="005028CD" w:rsidRDefault="00000000">
          <w:pPr>
            <w:pStyle w:val="TDC2"/>
            <w:rPr>
              <w:kern w:val="2"/>
              <w:sz w:val="24"/>
              <w:szCs w:val="24"/>
              <w:lang w:val="es-ES" w:eastAsia="es-ES"/>
              <w14:ligatures w14:val="standardContextual"/>
            </w:rPr>
          </w:pPr>
          <w:hyperlink w:anchor="_Toc194330850" w:history="1">
            <w:r w:rsidR="005028CD" w:rsidRPr="005028CD">
              <w:rPr>
                <w:rStyle w:val="Hipervnculo"/>
              </w:rPr>
              <w:t>2.4 Mineral resource extraction</w:t>
            </w:r>
            <w:r w:rsidR="005028CD" w:rsidRPr="005028CD">
              <w:rPr>
                <w:webHidden/>
              </w:rPr>
              <w:tab/>
            </w:r>
            <w:r w:rsidR="005028CD" w:rsidRPr="005028CD">
              <w:rPr>
                <w:webHidden/>
              </w:rPr>
              <w:fldChar w:fldCharType="begin"/>
            </w:r>
            <w:r w:rsidR="005028CD" w:rsidRPr="005028CD">
              <w:rPr>
                <w:webHidden/>
              </w:rPr>
              <w:instrText xml:space="preserve"> PAGEREF _Toc194330850 \h </w:instrText>
            </w:r>
            <w:r w:rsidR="005028CD" w:rsidRPr="005028CD">
              <w:rPr>
                <w:webHidden/>
              </w:rPr>
            </w:r>
            <w:r w:rsidR="005028CD" w:rsidRPr="005028CD">
              <w:rPr>
                <w:webHidden/>
              </w:rPr>
              <w:fldChar w:fldCharType="separate"/>
            </w:r>
            <w:r w:rsidR="005C40AD">
              <w:rPr>
                <w:webHidden/>
              </w:rPr>
              <w:t>15</w:t>
            </w:r>
            <w:r w:rsidR="005028CD" w:rsidRPr="005028CD">
              <w:rPr>
                <w:webHidden/>
              </w:rPr>
              <w:fldChar w:fldCharType="end"/>
            </w:r>
          </w:hyperlink>
        </w:p>
        <w:p w14:paraId="0A5CD46E" w14:textId="05904D37" w:rsidR="005028CD" w:rsidRPr="005028CD" w:rsidRDefault="00000000">
          <w:pPr>
            <w:pStyle w:val="TDC1"/>
            <w:rPr>
              <w:rFonts w:cstheme="minorBidi"/>
              <w:kern w:val="2"/>
              <w:sz w:val="24"/>
              <w:szCs w:val="24"/>
              <w:lang w:val="es-ES" w:eastAsia="es-ES"/>
              <w14:ligatures w14:val="standardContextual"/>
            </w:rPr>
          </w:pPr>
          <w:hyperlink w:anchor="_Toc194330851" w:history="1">
            <w:r w:rsidR="005028CD" w:rsidRPr="005028CD">
              <w:rPr>
                <w:rStyle w:val="Hipervnculo"/>
              </w:rPr>
              <w:t>3. Life cycle models</w:t>
            </w:r>
            <w:r w:rsidR="005028CD" w:rsidRPr="005028CD">
              <w:rPr>
                <w:webHidden/>
              </w:rPr>
              <w:tab/>
            </w:r>
            <w:r w:rsidR="005028CD" w:rsidRPr="005028CD">
              <w:rPr>
                <w:webHidden/>
              </w:rPr>
              <w:fldChar w:fldCharType="begin"/>
            </w:r>
            <w:r w:rsidR="005028CD" w:rsidRPr="005028CD">
              <w:rPr>
                <w:webHidden/>
              </w:rPr>
              <w:instrText xml:space="preserve"> PAGEREF _Toc194330851 \h </w:instrText>
            </w:r>
            <w:r w:rsidR="005028CD" w:rsidRPr="005028CD">
              <w:rPr>
                <w:webHidden/>
              </w:rPr>
            </w:r>
            <w:r w:rsidR="005028CD" w:rsidRPr="005028CD">
              <w:rPr>
                <w:webHidden/>
              </w:rPr>
              <w:fldChar w:fldCharType="separate"/>
            </w:r>
            <w:r w:rsidR="005C40AD">
              <w:rPr>
                <w:webHidden/>
              </w:rPr>
              <w:t>18</w:t>
            </w:r>
            <w:r w:rsidR="005028CD" w:rsidRPr="005028CD">
              <w:rPr>
                <w:webHidden/>
              </w:rPr>
              <w:fldChar w:fldCharType="end"/>
            </w:r>
          </w:hyperlink>
        </w:p>
        <w:p w14:paraId="264E340A" w14:textId="68E46DD2" w:rsidR="005028CD" w:rsidRPr="005028CD" w:rsidRDefault="00000000">
          <w:pPr>
            <w:pStyle w:val="TDC2"/>
            <w:rPr>
              <w:kern w:val="2"/>
              <w:sz w:val="24"/>
              <w:szCs w:val="24"/>
              <w:lang w:val="es-ES" w:eastAsia="es-ES"/>
              <w14:ligatures w14:val="standardContextual"/>
            </w:rPr>
          </w:pPr>
          <w:hyperlink w:anchor="_Toc194330852" w:history="1">
            <w:r w:rsidR="005028CD" w:rsidRPr="005028CD">
              <w:rPr>
                <w:rStyle w:val="Hipervnculo"/>
                <w:rFonts w:cstheme="minorHAnsi"/>
              </w:rPr>
              <w:t>3.1 Direct Air Carbon Capture and Storage</w:t>
            </w:r>
            <w:r w:rsidR="005028CD" w:rsidRPr="005028CD">
              <w:rPr>
                <w:webHidden/>
              </w:rPr>
              <w:tab/>
            </w:r>
            <w:r w:rsidR="005028CD" w:rsidRPr="005028CD">
              <w:rPr>
                <w:webHidden/>
              </w:rPr>
              <w:fldChar w:fldCharType="begin"/>
            </w:r>
            <w:r w:rsidR="005028CD" w:rsidRPr="005028CD">
              <w:rPr>
                <w:webHidden/>
              </w:rPr>
              <w:instrText xml:space="preserve"> PAGEREF _Toc194330852 \h </w:instrText>
            </w:r>
            <w:r w:rsidR="005028CD" w:rsidRPr="005028CD">
              <w:rPr>
                <w:webHidden/>
              </w:rPr>
            </w:r>
            <w:r w:rsidR="005028CD" w:rsidRPr="005028CD">
              <w:rPr>
                <w:webHidden/>
              </w:rPr>
              <w:fldChar w:fldCharType="separate"/>
            </w:r>
            <w:r w:rsidR="005C40AD">
              <w:rPr>
                <w:webHidden/>
              </w:rPr>
              <w:t>18</w:t>
            </w:r>
            <w:r w:rsidR="005028CD" w:rsidRPr="005028CD">
              <w:rPr>
                <w:webHidden/>
              </w:rPr>
              <w:fldChar w:fldCharType="end"/>
            </w:r>
          </w:hyperlink>
        </w:p>
        <w:p w14:paraId="212F2054" w14:textId="6188FE64" w:rsidR="005028CD" w:rsidRPr="005028CD" w:rsidRDefault="00000000">
          <w:pPr>
            <w:pStyle w:val="TDC2"/>
            <w:rPr>
              <w:kern w:val="2"/>
              <w:sz w:val="24"/>
              <w:szCs w:val="24"/>
              <w:lang w:val="es-ES" w:eastAsia="es-ES"/>
              <w14:ligatures w14:val="standardContextual"/>
            </w:rPr>
          </w:pPr>
          <w:hyperlink w:anchor="_Toc194330853" w:history="1">
            <w:r w:rsidR="005028CD" w:rsidRPr="005028CD">
              <w:rPr>
                <w:rStyle w:val="Hipervnculo"/>
                <w:rFonts w:cstheme="minorHAnsi"/>
              </w:rPr>
              <w:t>3.2 Ocean liming</w:t>
            </w:r>
            <w:r w:rsidR="005028CD" w:rsidRPr="005028CD">
              <w:rPr>
                <w:webHidden/>
              </w:rPr>
              <w:tab/>
            </w:r>
            <w:r w:rsidR="005028CD" w:rsidRPr="005028CD">
              <w:rPr>
                <w:webHidden/>
              </w:rPr>
              <w:fldChar w:fldCharType="begin"/>
            </w:r>
            <w:r w:rsidR="005028CD" w:rsidRPr="005028CD">
              <w:rPr>
                <w:webHidden/>
              </w:rPr>
              <w:instrText xml:space="preserve"> PAGEREF _Toc194330853 \h </w:instrText>
            </w:r>
            <w:r w:rsidR="005028CD" w:rsidRPr="005028CD">
              <w:rPr>
                <w:webHidden/>
              </w:rPr>
            </w:r>
            <w:r w:rsidR="005028CD" w:rsidRPr="005028CD">
              <w:rPr>
                <w:webHidden/>
              </w:rPr>
              <w:fldChar w:fldCharType="separate"/>
            </w:r>
            <w:r w:rsidR="005C40AD">
              <w:rPr>
                <w:webHidden/>
              </w:rPr>
              <w:t>19</w:t>
            </w:r>
            <w:r w:rsidR="005028CD" w:rsidRPr="005028CD">
              <w:rPr>
                <w:webHidden/>
              </w:rPr>
              <w:fldChar w:fldCharType="end"/>
            </w:r>
          </w:hyperlink>
        </w:p>
        <w:p w14:paraId="27F7EEF0" w14:textId="5295F1EF" w:rsidR="005028CD" w:rsidRPr="005028CD" w:rsidRDefault="00000000">
          <w:pPr>
            <w:pStyle w:val="TDC2"/>
            <w:rPr>
              <w:kern w:val="2"/>
              <w:sz w:val="24"/>
              <w:szCs w:val="24"/>
              <w:lang w:val="es-ES" w:eastAsia="es-ES"/>
              <w14:ligatures w14:val="standardContextual"/>
            </w:rPr>
          </w:pPr>
          <w:hyperlink w:anchor="_Toc194330854" w:history="1">
            <w:r w:rsidR="005028CD" w:rsidRPr="005028CD">
              <w:rPr>
                <w:rStyle w:val="Hipervnculo"/>
                <w:rFonts w:cstheme="minorHAnsi"/>
              </w:rPr>
              <w:t>3.3 Enhanced weathering</w:t>
            </w:r>
            <w:r w:rsidR="005028CD" w:rsidRPr="005028CD">
              <w:rPr>
                <w:webHidden/>
              </w:rPr>
              <w:tab/>
            </w:r>
            <w:r w:rsidR="005028CD" w:rsidRPr="005028CD">
              <w:rPr>
                <w:webHidden/>
              </w:rPr>
              <w:fldChar w:fldCharType="begin"/>
            </w:r>
            <w:r w:rsidR="005028CD" w:rsidRPr="005028CD">
              <w:rPr>
                <w:webHidden/>
              </w:rPr>
              <w:instrText xml:space="preserve"> PAGEREF _Toc194330854 \h </w:instrText>
            </w:r>
            <w:r w:rsidR="005028CD" w:rsidRPr="005028CD">
              <w:rPr>
                <w:webHidden/>
              </w:rPr>
            </w:r>
            <w:r w:rsidR="005028CD" w:rsidRPr="005028CD">
              <w:rPr>
                <w:webHidden/>
              </w:rPr>
              <w:fldChar w:fldCharType="separate"/>
            </w:r>
            <w:r w:rsidR="005C40AD">
              <w:rPr>
                <w:webHidden/>
              </w:rPr>
              <w:t>20</w:t>
            </w:r>
            <w:r w:rsidR="005028CD" w:rsidRPr="005028CD">
              <w:rPr>
                <w:webHidden/>
              </w:rPr>
              <w:fldChar w:fldCharType="end"/>
            </w:r>
          </w:hyperlink>
        </w:p>
        <w:p w14:paraId="6D963E68" w14:textId="122F7E79" w:rsidR="005028CD" w:rsidRPr="005028CD" w:rsidRDefault="00000000">
          <w:pPr>
            <w:pStyle w:val="TDC2"/>
            <w:rPr>
              <w:kern w:val="2"/>
              <w:sz w:val="24"/>
              <w:szCs w:val="24"/>
              <w:lang w:val="es-ES" w:eastAsia="es-ES"/>
              <w14:ligatures w14:val="standardContextual"/>
            </w:rPr>
          </w:pPr>
          <w:hyperlink w:anchor="_Toc194330855" w:history="1">
            <w:r w:rsidR="005028CD" w:rsidRPr="005028CD">
              <w:rPr>
                <w:rStyle w:val="Hipervnculo"/>
                <w:rFonts w:cstheme="minorHAnsi"/>
              </w:rPr>
              <w:t>3.4 Bioenergy with Carbon Capture and Storage</w:t>
            </w:r>
            <w:r w:rsidR="005028CD" w:rsidRPr="005028CD">
              <w:rPr>
                <w:webHidden/>
              </w:rPr>
              <w:tab/>
            </w:r>
            <w:r w:rsidR="005028CD" w:rsidRPr="005028CD">
              <w:rPr>
                <w:webHidden/>
              </w:rPr>
              <w:fldChar w:fldCharType="begin"/>
            </w:r>
            <w:r w:rsidR="005028CD" w:rsidRPr="005028CD">
              <w:rPr>
                <w:webHidden/>
              </w:rPr>
              <w:instrText xml:space="preserve"> PAGEREF _Toc194330855 \h </w:instrText>
            </w:r>
            <w:r w:rsidR="005028CD" w:rsidRPr="005028CD">
              <w:rPr>
                <w:webHidden/>
              </w:rPr>
            </w:r>
            <w:r w:rsidR="005028CD" w:rsidRPr="005028CD">
              <w:rPr>
                <w:webHidden/>
              </w:rPr>
              <w:fldChar w:fldCharType="separate"/>
            </w:r>
            <w:r w:rsidR="005C40AD">
              <w:rPr>
                <w:webHidden/>
              </w:rPr>
              <w:t>23</w:t>
            </w:r>
            <w:r w:rsidR="005028CD" w:rsidRPr="005028CD">
              <w:rPr>
                <w:webHidden/>
              </w:rPr>
              <w:fldChar w:fldCharType="end"/>
            </w:r>
          </w:hyperlink>
        </w:p>
        <w:p w14:paraId="37E51817" w14:textId="6110F093" w:rsidR="005028CD" w:rsidRPr="005028CD" w:rsidRDefault="00000000">
          <w:pPr>
            <w:pStyle w:val="TDC2"/>
            <w:rPr>
              <w:kern w:val="2"/>
              <w:sz w:val="24"/>
              <w:szCs w:val="24"/>
              <w:lang w:val="es-ES" w:eastAsia="es-ES"/>
              <w14:ligatures w14:val="standardContextual"/>
            </w:rPr>
          </w:pPr>
          <w:hyperlink w:anchor="_Toc194330856" w:history="1">
            <w:r w:rsidR="005028CD" w:rsidRPr="005028CD">
              <w:rPr>
                <w:rStyle w:val="Hipervnculo"/>
                <w:rFonts w:cstheme="minorHAnsi"/>
              </w:rPr>
              <w:t>3.5 Forestation</w:t>
            </w:r>
            <w:r w:rsidR="005028CD" w:rsidRPr="005028CD">
              <w:rPr>
                <w:webHidden/>
              </w:rPr>
              <w:tab/>
            </w:r>
            <w:r w:rsidR="005028CD" w:rsidRPr="005028CD">
              <w:rPr>
                <w:webHidden/>
              </w:rPr>
              <w:fldChar w:fldCharType="begin"/>
            </w:r>
            <w:r w:rsidR="005028CD" w:rsidRPr="005028CD">
              <w:rPr>
                <w:webHidden/>
              </w:rPr>
              <w:instrText xml:space="preserve"> PAGEREF _Toc194330856 \h </w:instrText>
            </w:r>
            <w:r w:rsidR="005028CD" w:rsidRPr="005028CD">
              <w:rPr>
                <w:webHidden/>
              </w:rPr>
            </w:r>
            <w:r w:rsidR="005028CD" w:rsidRPr="005028CD">
              <w:rPr>
                <w:webHidden/>
              </w:rPr>
              <w:fldChar w:fldCharType="separate"/>
            </w:r>
            <w:r w:rsidR="005C40AD">
              <w:rPr>
                <w:webHidden/>
              </w:rPr>
              <w:t>25</w:t>
            </w:r>
            <w:r w:rsidR="005028CD" w:rsidRPr="005028CD">
              <w:rPr>
                <w:webHidden/>
              </w:rPr>
              <w:fldChar w:fldCharType="end"/>
            </w:r>
          </w:hyperlink>
        </w:p>
        <w:p w14:paraId="6AD9EB04" w14:textId="6D2E177A" w:rsidR="005028CD" w:rsidRPr="005028CD" w:rsidRDefault="00000000">
          <w:pPr>
            <w:pStyle w:val="TDC2"/>
            <w:rPr>
              <w:kern w:val="2"/>
              <w:sz w:val="24"/>
              <w:szCs w:val="24"/>
              <w:lang w:val="es-ES" w:eastAsia="es-ES"/>
              <w14:ligatures w14:val="standardContextual"/>
            </w:rPr>
          </w:pPr>
          <w:hyperlink w:anchor="_Toc194330857" w:history="1">
            <w:r w:rsidR="005028CD" w:rsidRPr="005028CD">
              <w:rPr>
                <w:rStyle w:val="Hipervnculo"/>
                <w:rFonts w:cstheme="minorHAnsi"/>
              </w:rPr>
              <w:t>3.6 Biochar</w:t>
            </w:r>
            <w:r w:rsidR="005028CD" w:rsidRPr="005028CD">
              <w:rPr>
                <w:webHidden/>
              </w:rPr>
              <w:tab/>
            </w:r>
            <w:r w:rsidR="005028CD" w:rsidRPr="005028CD">
              <w:rPr>
                <w:webHidden/>
              </w:rPr>
              <w:fldChar w:fldCharType="begin"/>
            </w:r>
            <w:r w:rsidR="005028CD" w:rsidRPr="005028CD">
              <w:rPr>
                <w:webHidden/>
              </w:rPr>
              <w:instrText xml:space="preserve"> PAGEREF _Toc194330857 \h </w:instrText>
            </w:r>
            <w:r w:rsidR="005028CD" w:rsidRPr="005028CD">
              <w:rPr>
                <w:webHidden/>
              </w:rPr>
            </w:r>
            <w:r w:rsidR="005028CD" w:rsidRPr="005028CD">
              <w:rPr>
                <w:webHidden/>
              </w:rPr>
              <w:fldChar w:fldCharType="separate"/>
            </w:r>
            <w:r w:rsidR="005C40AD">
              <w:rPr>
                <w:webHidden/>
              </w:rPr>
              <w:t>26</w:t>
            </w:r>
            <w:r w:rsidR="005028CD" w:rsidRPr="005028CD">
              <w:rPr>
                <w:webHidden/>
              </w:rPr>
              <w:fldChar w:fldCharType="end"/>
            </w:r>
          </w:hyperlink>
        </w:p>
        <w:p w14:paraId="4519EF4A" w14:textId="7F28EDBD" w:rsidR="005028CD" w:rsidRPr="005028CD" w:rsidRDefault="00000000">
          <w:pPr>
            <w:pStyle w:val="TDC1"/>
            <w:rPr>
              <w:rFonts w:cstheme="minorBidi"/>
              <w:kern w:val="2"/>
              <w:sz w:val="24"/>
              <w:szCs w:val="24"/>
              <w:lang w:val="es-ES" w:eastAsia="es-ES"/>
              <w14:ligatures w14:val="standardContextual"/>
            </w:rPr>
          </w:pPr>
          <w:hyperlink w:anchor="_Toc194330858" w:history="1">
            <w:r w:rsidR="005028CD" w:rsidRPr="005028CD">
              <w:rPr>
                <w:rStyle w:val="Hipervnculo"/>
              </w:rPr>
              <w:t>4. Summary of assumptions and limitations</w:t>
            </w:r>
            <w:r w:rsidR="005028CD" w:rsidRPr="005028CD">
              <w:rPr>
                <w:webHidden/>
              </w:rPr>
              <w:tab/>
            </w:r>
            <w:r w:rsidR="005028CD" w:rsidRPr="005028CD">
              <w:rPr>
                <w:webHidden/>
              </w:rPr>
              <w:fldChar w:fldCharType="begin"/>
            </w:r>
            <w:r w:rsidR="005028CD" w:rsidRPr="005028CD">
              <w:rPr>
                <w:webHidden/>
              </w:rPr>
              <w:instrText xml:space="preserve"> PAGEREF _Toc194330858 \h </w:instrText>
            </w:r>
            <w:r w:rsidR="005028CD" w:rsidRPr="005028CD">
              <w:rPr>
                <w:webHidden/>
              </w:rPr>
            </w:r>
            <w:r w:rsidR="005028CD" w:rsidRPr="005028CD">
              <w:rPr>
                <w:webHidden/>
              </w:rPr>
              <w:fldChar w:fldCharType="separate"/>
            </w:r>
            <w:r w:rsidR="005C40AD">
              <w:rPr>
                <w:webHidden/>
              </w:rPr>
              <w:t>28</w:t>
            </w:r>
            <w:r w:rsidR="005028CD" w:rsidRPr="005028CD">
              <w:rPr>
                <w:webHidden/>
              </w:rPr>
              <w:fldChar w:fldCharType="end"/>
            </w:r>
          </w:hyperlink>
        </w:p>
        <w:p w14:paraId="0EFDC706" w14:textId="79221583" w:rsidR="005028CD" w:rsidRPr="005028CD" w:rsidRDefault="00000000">
          <w:pPr>
            <w:pStyle w:val="TDC2"/>
            <w:rPr>
              <w:kern w:val="2"/>
              <w:sz w:val="24"/>
              <w:szCs w:val="24"/>
              <w:lang w:val="es-ES" w:eastAsia="es-ES"/>
              <w14:ligatures w14:val="standardContextual"/>
            </w:rPr>
          </w:pPr>
          <w:hyperlink w:anchor="_Toc194330859" w:history="1">
            <w:r w:rsidR="005028CD" w:rsidRPr="005028CD">
              <w:rPr>
                <w:rStyle w:val="Hipervnculo"/>
                <w:rFonts w:ascii="Calibri" w:hAnsi="Calibri" w:cs="Calibri"/>
              </w:rPr>
              <w:t>4.1 Modeling framework</w:t>
            </w:r>
            <w:r w:rsidR="005028CD" w:rsidRPr="005028CD">
              <w:rPr>
                <w:webHidden/>
              </w:rPr>
              <w:tab/>
            </w:r>
            <w:r w:rsidR="005028CD" w:rsidRPr="005028CD">
              <w:rPr>
                <w:webHidden/>
              </w:rPr>
              <w:fldChar w:fldCharType="begin"/>
            </w:r>
            <w:r w:rsidR="005028CD" w:rsidRPr="005028CD">
              <w:rPr>
                <w:webHidden/>
              </w:rPr>
              <w:instrText xml:space="preserve"> PAGEREF _Toc194330859 \h </w:instrText>
            </w:r>
            <w:r w:rsidR="005028CD" w:rsidRPr="005028CD">
              <w:rPr>
                <w:webHidden/>
              </w:rPr>
            </w:r>
            <w:r w:rsidR="005028CD" w:rsidRPr="005028CD">
              <w:rPr>
                <w:webHidden/>
              </w:rPr>
              <w:fldChar w:fldCharType="separate"/>
            </w:r>
            <w:r w:rsidR="005C40AD">
              <w:rPr>
                <w:webHidden/>
              </w:rPr>
              <w:t>28</w:t>
            </w:r>
            <w:r w:rsidR="005028CD" w:rsidRPr="005028CD">
              <w:rPr>
                <w:webHidden/>
              </w:rPr>
              <w:fldChar w:fldCharType="end"/>
            </w:r>
          </w:hyperlink>
        </w:p>
        <w:p w14:paraId="38C8DC30" w14:textId="3FA7C6A0" w:rsidR="005028CD" w:rsidRPr="005028CD" w:rsidRDefault="00000000">
          <w:pPr>
            <w:pStyle w:val="TDC2"/>
            <w:rPr>
              <w:kern w:val="2"/>
              <w:sz w:val="24"/>
              <w:szCs w:val="24"/>
              <w:lang w:val="es-ES" w:eastAsia="es-ES"/>
              <w14:ligatures w14:val="standardContextual"/>
            </w:rPr>
          </w:pPr>
          <w:hyperlink w:anchor="_Toc194330860" w:history="1">
            <w:r w:rsidR="005028CD" w:rsidRPr="005028CD">
              <w:rPr>
                <w:rStyle w:val="Hipervnculo"/>
                <w:rFonts w:ascii="Calibri" w:hAnsi="Calibri" w:cs="Calibri"/>
              </w:rPr>
              <w:t>4.2 NETPs models</w:t>
            </w:r>
            <w:r w:rsidR="005028CD" w:rsidRPr="005028CD">
              <w:rPr>
                <w:webHidden/>
              </w:rPr>
              <w:tab/>
            </w:r>
            <w:r w:rsidR="005028CD" w:rsidRPr="005028CD">
              <w:rPr>
                <w:webHidden/>
              </w:rPr>
              <w:fldChar w:fldCharType="begin"/>
            </w:r>
            <w:r w:rsidR="005028CD" w:rsidRPr="005028CD">
              <w:rPr>
                <w:webHidden/>
              </w:rPr>
              <w:instrText xml:space="preserve"> PAGEREF _Toc194330860 \h </w:instrText>
            </w:r>
            <w:r w:rsidR="005028CD" w:rsidRPr="005028CD">
              <w:rPr>
                <w:webHidden/>
              </w:rPr>
            </w:r>
            <w:r w:rsidR="005028CD" w:rsidRPr="005028CD">
              <w:rPr>
                <w:webHidden/>
              </w:rPr>
              <w:fldChar w:fldCharType="separate"/>
            </w:r>
            <w:r w:rsidR="005C40AD">
              <w:rPr>
                <w:webHidden/>
              </w:rPr>
              <w:t>29</w:t>
            </w:r>
            <w:r w:rsidR="005028CD" w:rsidRPr="005028CD">
              <w:rPr>
                <w:webHidden/>
              </w:rPr>
              <w:fldChar w:fldCharType="end"/>
            </w:r>
          </w:hyperlink>
        </w:p>
        <w:p w14:paraId="0CB40152" w14:textId="0267FFEA" w:rsidR="005028CD" w:rsidRPr="005028CD" w:rsidRDefault="00000000">
          <w:pPr>
            <w:pStyle w:val="TDC1"/>
            <w:rPr>
              <w:rFonts w:cstheme="minorBidi"/>
              <w:kern w:val="2"/>
              <w:sz w:val="24"/>
              <w:szCs w:val="24"/>
              <w:lang w:val="es-ES" w:eastAsia="es-ES"/>
              <w14:ligatures w14:val="standardContextual"/>
            </w:rPr>
          </w:pPr>
          <w:hyperlink w:anchor="_Toc194330861" w:history="1">
            <w:r w:rsidR="005028CD" w:rsidRPr="005028CD">
              <w:rPr>
                <w:rStyle w:val="Hipervnculo"/>
              </w:rPr>
              <w:t>5. Supplementary results</w:t>
            </w:r>
            <w:r w:rsidR="005028CD" w:rsidRPr="005028CD">
              <w:rPr>
                <w:webHidden/>
              </w:rPr>
              <w:tab/>
            </w:r>
            <w:r w:rsidR="005028CD" w:rsidRPr="005028CD">
              <w:rPr>
                <w:webHidden/>
              </w:rPr>
              <w:fldChar w:fldCharType="begin"/>
            </w:r>
            <w:r w:rsidR="005028CD" w:rsidRPr="005028CD">
              <w:rPr>
                <w:webHidden/>
              </w:rPr>
              <w:instrText xml:space="preserve"> PAGEREF _Toc194330861 \h </w:instrText>
            </w:r>
            <w:r w:rsidR="005028CD" w:rsidRPr="005028CD">
              <w:rPr>
                <w:webHidden/>
              </w:rPr>
            </w:r>
            <w:r w:rsidR="005028CD" w:rsidRPr="005028CD">
              <w:rPr>
                <w:webHidden/>
              </w:rPr>
              <w:fldChar w:fldCharType="separate"/>
            </w:r>
            <w:r w:rsidR="005C40AD">
              <w:rPr>
                <w:webHidden/>
              </w:rPr>
              <w:t>31</w:t>
            </w:r>
            <w:r w:rsidR="005028CD" w:rsidRPr="005028CD">
              <w:rPr>
                <w:webHidden/>
              </w:rPr>
              <w:fldChar w:fldCharType="end"/>
            </w:r>
          </w:hyperlink>
        </w:p>
        <w:p w14:paraId="70A35F22" w14:textId="7C56CA6B" w:rsidR="005028CD" w:rsidRPr="005028CD" w:rsidRDefault="00000000">
          <w:pPr>
            <w:pStyle w:val="TDC1"/>
            <w:rPr>
              <w:rFonts w:cstheme="minorBidi"/>
              <w:kern w:val="2"/>
              <w:sz w:val="24"/>
              <w:szCs w:val="24"/>
              <w:lang w:val="es-ES" w:eastAsia="es-ES"/>
              <w14:ligatures w14:val="standardContextual"/>
            </w:rPr>
          </w:pPr>
          <w:hyperlink w:anchor="_Toc194330862" w:history="1">
            <w:r w:rsidR="005028CD" w:rsidRPr="005028CD">
              <w:rPr>
                <w:rStyle w:val="Hipervnculo"/>
              </w:rPr>
              <w:t>6. References</w:t>
            </w:r>
            <w:r w:rsidR="005028CD" w:rsidRPr="005028CD">
              <w:rPr>
                <w:webHidden/>
              </w:rPr>
              <w:tab/>
            </w:r>
            <w:r w:rsidR="005028CD" w:rsidRPr="005028CD">
              <w:rPr>
                <w:webHidden/>
              </w:rPr>
              <w:fldChar w:fldCharType="begin"/>
            </w:r>
            <w:r w:rsidR="005028CD" w:rsidRPr="005028CD">
              <w:rPr>
                <w:webHidden/>
              </w:rPr>
              <w:instrText xml:space="preserve"> PAGEREF _Toc194330862 \h </w:instrText>
            </w:r>
            <w:r w:rsidR="005028CD" w:rsidRPr="005028CD">
              <w:rPr>
                <w:webHidden/>
              </w:rPr>
            </w:r>
            <w:r w:rsidR="005028CD" w:rsidRPr="005028CD">
              <w:rPr>
                <w:webHidden/>
              </w:rPr>
              <w:fldChar w:fldCharType="separate"/>
            </w:r>
            <w:r w:rsidR="005C40AD">
              <w:rPr>
                <w:webHidden/>
              </w:rPr>
              <w:t>40</w:t>
            </w:r>
            <w:r w:rsidR="005028CD" w:rsidRPr="005028CD">
              <w:rPr>
                <w:webHidden/>
              </w:rPr>
              <w:fldChar w:fldCharType="end"/>
            </w:r>
          </w:hyperlink>
        </w:p>
        <w:p w14:paraId="500F104B" w14:textId="77777777" w:rsidR="00BA3044" w:rsidRDefault="00326717">
          <w:r w:rsidRPr="005028CD">
            <w:fldChar w:fldCharType="end"/>
          </w:r>
        </w:p>
      </w:sdtContent>
    </w:sdt>
    <w:p w14:paraId="4568181F" w14:textId="1D292F7A" w:rsidR="00A94B67" w:rsidRPr="00BA3044" w:rsidRDefault="00A94B67">
      <w:r>
        <w:rPr>
          <w:rFonts w:cstheme="minorHAnsi"/>
          <w:b/>
          <w:bCs/>
          <w:sz w:val="24"/>
          <w:szCs w:val="24"/>
        </w:rPr>
        <w:br w:type="page"/>
      </w:r>
    </w:p>
    <w:p w14:paraId="4CAC3FA1" w14:textId="486E2AAD" w:rsidR="007B7988" w:rsidRPr="009C50C9" w:rsidRDefault="007B7988" w:rsidP="009C50C9">
      <w:pPr>
        <w:pStyle w:val="Ttulo1"/>
        <w:rPr>
          <w:rFonts w:asciiTheme="minorHAnsi" w:hAnsiTheme="minorHAnsi" w:cstheme="minorHAnsi"/>
          <w:b/>
          <w:bCs/>
          <w:color w:val="auto"/>
          <w:sz w:val="24"/>
          <w:szCs w:val="24"/>
        </w:rPr>
      </w:pPr>
      <w:bookmarkStart w:id="0" w:name="_Toc194330845"/>
      <w:r w:rsidRPr="009C50C9">
        <w:rPr>
          <w:rFonts w:asciiTheme="minorHAnsi" w:hAnsiTheme="minorHAnsi" w:cstheme="minorHAnsi"/>
          <w:b/>
          <w:bCs/>
          <w:color w:val="auto"/>
          <w:sz w:val="24"/>
          <w:szCs w:val="24"/>
        </w:rPr>
        <w:lastRenderedPageBreak/>
        <w:t>1. Nomenclature</w:t>
      </w:r>
      <w:bookmarkEnd w:id="0"/>
    </w:p>
    <w:p w14:paraId="7D3BD33A" w14:textId="77777777" w:rsidR="00A77106" w:rsidRDefault="00A77106" w:rsidP="00A77106">
      <w:pPr>
        <w:spacing w:before="240" w:after="0" w:line="360" w:lineRule="auto"/>
        <w:jc w:val="both"/>
        <w:rPr>
          <w:rFonts w:ascii="Calibri" w:hAnsi="Calibri" w:cs="Calibri"/>
        </w:rPr>
      </w:pPr>
      <w:r w:rsidRPr="008F6870">
        <w:rPr>
          <w:rFonts w:ascii="Calibri" w:hAnsi="Calibri" w:cs="Calibri"/>
        </w:rPr>
        <w:t>This section provides the definition of the sets</w:t>
      </w:r>
      <w:r>
        <w:rPr>
          <w:rFonts w:ascii="Calibri" w:hAnsi="Calibri" w:cs="Calibri"/>
        </w:rPr>
        <w:t>, parameters and variables</w:t>
      </w:r>
      <w:r w:rsidRPr="008F6870">
        <w:rPr>
          <w:rFonts w:ascii="Calibri" w:hAnsi="Calibri" w:cs="Calibri"/>
        </w:rPr>
        <w:t xml:space="preserve"> used </w:t>
      </w:r>
      <w:r>
        <w:rPr>
          <w:rFonts w:ascii="Calibri" w:hAnsi="Calibri" w:cs="Calibri"/>
        </w:rPr>
        <w:t>to estimate the greenhouse gas removal efficiency (Supplementary Table 1), health and ecosystem impacts (Supplementary Table 2), Earth system impacts (Supplementary Table 3), mineral resource extraction (Supplementary Table 4) and enhanced weathering life cycle inventories (Supplementary Table 5)</w:t>
      </w:r>
      <w:r w:rsidRPr="008F6870">
        <w:rPr>
          <w:rFonts w:ascii="Calibri" w:hAnsi="Calibri" w:cs="Calibri"/>
        </w:rPr>
        <w:t xml:space="preserve">. </w:t>
      </w:r>
    </w:p>
    <w:p w14:paraId="7B234683" w14:textId="77777777" w:rsidR="00A77106" w:rsidRDefault="00A77106" w:rsidP="00A77106">
      <w:pPr>
        <w:spacing w:after="0" w:line="360" w:lineRule="auto"/>
        <w:jc w:val="both"/>
        <w:rPr>
          <w:rFonts w:ascii="Calibri" w:hAnsi="Calibri" w:cs="Calibri"/>
        </w:rPr>
      </w:pPr>
    </w:p>
    <w:p w14:paraId="135505E8" w14:textId="77777777" w:rsidR="00A77106" w:rsidRPr="008F6870" w:rsidRDefault="00A77106" w:rsidP="00A77106">
      <w:pPr>
        <w:spacing w:after="0" w:line="360" w:lineRule="auto"/>
        <w:rPr>
          <w:rFonts w:ascii="Calibri" w:hAnsi="Calibri" w:cs="Calibri"/>
        </w:rPr>
      </w:pPr>
      <w:r w:rsidRPr="008F6870">
        <w:rPr>
          <w:rFonts w:ascii="Calibri" w:hAnsi="Calibri" w:cs="Calibri"/>
        </w:rPr>
        <w:t xml:space="preserve">We defined these main sets: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
        <w:gridCol w:w="422"/>
        <w:gridCol w:w="7596"/>
      </w:tblGrid>
      <w:tr w:rsidR="001F2171" w:rsidRPr="001F2171" w14:paraId="215E23ED" w14:textId="77777777" w:rsidTr="00BD2C93">
        <w:tc>
          <w:tcPr>
            <w:tcW w:w="476" w:type="dxa"/>
          </w:tcPr>
          <w:p w14:paraId="3FD04190"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A</m:t>
                </m:r>
              </m:oMath>
            </m:oMathPara>
          </w:p>
        </w:tc>
        <w:tc>
          <w:tcPr>
            <w:tcW w:w="422" w:type="dxa"/>
          </w:tcPr>
          <w:p w14:paraId="33701891"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6E6B31B0" w14:textId="77777777" w:rsidR="00A77106" w:rsidRPr="001F2171" w:rsidRDefault="00A77106" w:rsidP="00232799">
            <w:pPr>
              <w:spacing w:line="360" w:lineRule="auto"/>
              <w:rPr>
                <w:rFonts w:ascii="Calibri" w:hAnsi="Calibri" w:cs="Calibri"/>
              </w:rPr>
            </w:pPr>
            <w:r w:rsidRPr="001F2171">
              <w:rPr>
                <w:rFonts w:ascii="Calibri" w:hAnsi="Calibri" w:cs="Calibri"/>
              </w:rPr>
              <w:t>{a: Activities}</w:t>
            </w:r>
          </w:p>
        </w:tc>
      </w:tr>
      <w:tr w:rsidR="001F2171" w:rsidRPr="001F2171" w14:paraId="29992AC7" w14:textId="77777777" w:rsidTr="00BD2C93">
        <w:tc>
          <w:tcPr>
            <w:tcW w:w="476" w:type="dxa"/>
          </w:tcPr>
          <w:p w14:paraId="3394FFA8"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C</m:t>
                </m:r>
              </m:oMath>
            </m:oMathPara>
          </w:p>
        </w:tc>
        <w:tc>
          <w:tcPr>
            <w:tcW w:w="422" w:type="dxa"/>
          </w:tcPr>
          <w:p w14:paraId="7620B196"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5F49B45D" w14:textId="77777777" w:rsidR="00A77106" w:rsidRPr="001F2171" w:rsidRDefault="00A77106" w:rsidP="00232799">
            <w:pPr>
              <w:spacing w:line="360" w:lineRule="auto"/>
              <w:rPr>
                <w:rFonts w:ascii="Calibri" w:hAnsi="Calibri" w:cs="Calibri"/>
              </w:rPr>
            </w:pPr>
            <w:r w:rsidRPr="001F2171">
              <w:rPr>
                <w:rFonts w:ascii="Calibri" w:hAnsi="Calibri" w:cs="Calibri"/>
              </w:rPr>
              <w:t>{c: Supply chain stages}</w:t>
            </w:r>
          </w:p>
        </w:tc>
      </w:tr>
      <w:tr w:rsidR="001F2171" w:rsidRPr="001F2171" w14:paraId="3FE0D62C" w14:textId="77777777" w:rsidTr="00BD2C93">
        <w:tc>
          <w:tcPr>
            <w:tcW w:w="476" w:type="dxa"/>
          </w:tcPr>
          <w:p w14:paraId="740AE9B5"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D</m:t>
                </m:r>
              </m:oMath>
            </m:oMathPara>
          </w:p>
        </w:tc>
        <w:tc>
          <w:tcPr>
            <w:tcW w:w="422" w:type="dxa"/>
          </w:tcPr>
          <w:p w14:paraId="61B4C7A7"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6F5C3818" w14:textId="77777777" w:rsidR="00A77106" w:rsidRPr="001F2171" w:rsidRDefault="00A77106" w:rsidP="00232799">
            <w:pPr>
              <w:spacing w:line="360" w:lineRule="auto"/>
              <w:rPr>
                <w:rFonts w:ascii="Calibri" w:hAnsi="Calibri" w:cs="Calibri"/>
              </w:rPr>
            </w:pPr>
            <w:r w:rsidRPr="001F2171">
              <w:rPr>
                <w:rFonts w:ascii="Calibri" w:hAnsi="Calibri" w:cs="Calibri"/>
              </w:rPr>
              <w:t>{d: Enhanced weathering datasets}</w:t>
            </w:r>
          </w:p>
        </w:tc>
      </w:tr>
      <w:tr w:rsidR="001F2171" w:rsidRPr="001F2171" w14:paraId="43B43D0B" w14:textId="77777777" w:rsidTr="00BD2C93">
        <w:tc>
          <w:tcPr>
            <w:tcW w:w="476" w:type="dxa"/>
          </w:tcPr>
          <w:p w14:paraId="2F852DBA"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hAnsi="Cambria Math" w:cs="Calibri"/>
                  </w:rPr>
                  <m:t>E</m:t>
                </m:r>
              </m:oMath>
            </m:oMathPara>
          </w:p>
        </w:tc>
        <w:tc>
          <w:tcPr>
            <w:tcW w:w="422" w:type="dxa"/>
          </w:tcPr>
          <w:p w14:paraId="233806F3"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376F4B9B" w14:textId="77777777" w:rsidR="00A77106" w:rsidRPr="001F2171" w:rsidRDefault="00A77106" w:rsidP="00232799">
            <w:pPr>
              <w:spacing w:line="360" w:lineRule="auto"/>
              <w:rPr>
                <w:rFonts w:ascii="Calibri" w:hAnsi="Calibri" w:cs="Calibri"/>
              </w:rPr>
            </w:pPr>
            <w:r w:rsidRPr="001F2171">
              <w:rPr>
                <w:rFonts w:ascii="Calibri" w:hAnsi="Calibri" w:cs="Calibri"/>
              </w:rPr>
              <w:t>{e: Endpoint areas of protection}</w:t>
            </w:r>
          </w:p>
        </w:tc>
      </w:tr>
      <w:tr w:rsidR="001F2171" w:rsidRPr="001F2171" w14:paraId="586E0C9C" w14:textId="77777777" w:rsidTr="00BD2C93">
        <w:tc>
          <w:tcPr>
            <w:tcW w:w="476" w:type="dxa"/>
          </w:tcPr>
          <w:p w14:paraId="7496B0A0"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G</m:t>
                </m:r>
              </m:oMath>
            </m:oMathPara>
          </w:p>
        </w:tc>
        <w:tc>
          <w:tcPr>
            <w:tcW w:w="422" w:type="dxa"/>
          </w:tcPr>
          <w:p w14:paraId="5402DDF7"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0D0A1FAE" w14:textId="77777777" w:rsidR="00A77106" w:rsidRPr="001F2171" w:rsidRDefault="00A77106" w:rsidP="00232799">
            <w:pPr>
              <w:spacing w:line="360" w:lineRule="auto"/>
              <w:rPr>
                <w:rFonts w:ascii="Calibri" w:hAnsi="Calibri" w:cs="Calibri"/>
              </w:rPr>
            </w:pPr>
            <w:r w:rsidRPr="001F2171">
              <w:rPr>
                <w:rFonts w:ascii="Calibri" w:hAnsi="Calibri" w:cs="Calibri"/>
              </w:rPr>
              <w:t xml:space="preserve">{g: </w:t>
            </w:r>
            <w:r w:rsidRPr="001F2171">
              <w:rPr>
                <w:rFonts w:ascii="Calibri" w:eastAsia="Calibri" w:hAnsi="Calibri" w:cs="Calibri"/>
              </w:rPr>
              <w:t>Global carbon sinks</w:t>
            </w:r>
            <w:r w:rsidRPr="001F2171">
              <w:rPr>
                <w:rFonts w:ascii="Calibri" w:hAnsi="Calibri" w:cs="Calibri"/>
              </w:rPr>
              <w:t>}</w:t>
            </w:r>
          </w:p>
        </w:tc>
      </w:tr>
      <w:tr w:rsidR="001F2171" w:rsidRPr="001F2171" w14:paraId="2890D6DA" w14:textId="77777777" w:rsidTr="00BD2C93">
        <w:tc>
          <w:tcPr>
            <w:tcW w:w="476" w:type="dxa"/>
          </w:tcPr>
          <w:p w14:paraId="10E69192" w14:textId="77777777" w:rsidR="00A77106" w:rsidRPr="001F2171" w:rsidRDefault="00A77106" w:rsidP="00BD2C93">
            <w:pPr>
              <w:spacing w:line="360" w:lineRule="auto"/>
              <w:jc w:val="both"/>
              <w:rPr>
                <w:rFonts w:ascii="Calibri" w:hAnsi="Calibri" w:cs="Calibri"/>
              </w:rPr>
            </w:pPr>
            <m:oMathPara>
              <m:oMathParaPr>
                <m:jc m:val="left"/>
              </m:oMathParaPr>
              <m:oMath>
                <m:r>
                  <w:rPr>
                    <w:rFonts w:ascii="Cambria Math" w:hAnsi="Cambria Math" w:cs="Calibri"/>
                  </w:rPr>
                  <m:t>I</m:t>
                </m:r>
              </m:oMath>
            </m:oMathPara>
          </w:p>
        </w:tc>
        <w:tc>
          <w:tcPr>
            <w:tcW w:w="422" w:type="dxa"/>
          </w:tcPr>
          <w:p w14:paraId="786B39CB" w14:textId="77777777" w:rsidR="00A77106" w:rsidRPr="001F2171" w:rsidRDefault="00A77106" w:rsidP="00232799">
            <w:pPr>
              <w:spacing w:line="360" w:lineRule="auto"/>
              <w:rPr>
                <w:rFonts w:ascii="Calibri" w:hAnsi="Calibri" w:cs="Calibri"/>
              </w:rPr>
            </w:pPr>
            <m:oMathPara>
              <m:oMath>
                <m:r>
                  <w:rPr>
                    <w:rFonts w:ascii="Cambria Math" w:hAnsi="Cambria Math" w:cs="Calibri"/>
                  </w:rPr>
                  <m:t>≔</m:t>
                </m:r>
              </m:oMath>
            </m:oMathPara>
          </w:p>
        </w:tc>
        <w:tc>
          <w:tcPr>
            <w:tcW w:w="7596" w:type="dxa"/>
          </w:tcPr>
          <w:p w14:paraId="449523F2" w14:textId="77777777" w:rsidR="00A77106" w:rsidRPr="001F2171" w:rsidRDefault="00A77106" w:rsidP="00232799">
            <w:pPr>
              <w:spacing w:line="360" w:lineRule="auto"/>
              <w:rPr>
                <w:rFonts w:ascii="Calibri" w:hAnsi="Calibri" w:cs="Calibri"/>
              </w:rPr>
            </w:pPr>
            <w:r w:rsidRPr="001F2171">
              <w:rPr>
                <w:rFonts w:ascii="Calibri" w:hAnsi="Calibri" w:cs="Calibri"/>
              </w:rPr>
              <w:t>{</w:t>
            </w:r>
            <w:proofErr w:type="spellStart"/>
            <w:r w:rsidRPr="001F2171">
              <w:rPr>
                <w:rFonts w:ascii="Calibri" w:hAnsi="Calibri" w:cs="Calibri"/>
              </w:rPr>
              <w:t>i</w:t>
            </w:r>
            <w:proofErr w:type="spellEnd"/>
            <w:r w:rsidRPr="001F2171">
              <w:rPr>
                <w:rFonts w:ascii="Calibri" w:hAnsi="Calibri" w:cs="Calibri"/>
              </w:rPr>
              <w:t xml:space="preserve">: </w:t>
            </w:r>
            <w:r w:rsidRPr="001F2171">
              <w:rPr>
                <w:rFonts w:ascii="Calibri" w:eastAsia="Calibri" w:hAnsi="Calibri" w:cs="Calibri"/>
              </w:rPr>
              <w:t>Negative Emissions Technologies or Practices (NETPs)</w:t>
            </w:r>
            <w:r w:rsidRPr="001F2171">
              <w:rPr>
                <w:rFonts w:ascii="Calibri" w:hAnsi="Calibri" w:cs="Calibri"/>
              </w:rPr>
              <w:t>}</w:t>
            </w:r>
          </w:p>
        </w:tc>
      </w:tr>
      <w:tr w:rsidR="001F2171" w:rsidRPr="001F2171" w14:paraId="4E633598" w14:textId="77777777" w:rsidTr="00BD2C93">
        <w:tc>
          <w:tcPr>
            <w:tcW w:w="476" w:type="dxa"/>
          </w:tcPr>
          <w:p w14:paraId="578F3E2A"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K</m:t>
                </m:r>
              </m:oMath>
            </m:oMathPara>
          </w:p>
        </w:tc>
        <w:tc>
          <w:tcPr>
            <w:tcW w:w="422" w:type="dxa"/>
          </w:tcPr>
          <w:p w14:paraId="2D50AA59"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0AA3F10D" w14:textId="77777777" w:rsidR="00A77106" w:rsidRPr="001F2171" w:rsidRDefault="00A77106" w:rsidP="00232799">
            <w:pPr>
              <w:spacing w:line="360" w:lineRule="auto"/>
              <w:rPr>
                <w:rFonts w:ascii="Calibri" w:hAnsi="Calibri" w:cs="Calibri"/>
              </w:rPr>
            </w:pPr>
            <w:r w:rsidRPr="001F2171">
              <w:rPr>
                <w:rFonts w:ascii="Calibri" w:hAnsi="Calibri" w:cs="Calibri"/>
              </w:rPr>
              <w:t xml:space="preserve">{k: </w:t>
            </w:r>
            <w:r w:rsidRPr="001F2171">
              <w:rPr>
                <w:rFonts w:ascii="Calibri" w:eastAsia="Calibri" w:hAnsi="Calibri" w:cs="Calibri"/>
              </w:rPr>
              <w:t>Earth-system processes</w:t>
            </w:r>
            <w:r w:rsidRPr="001F2171">
              <w:rPr>
                <w:rFonts w:ascii="Calibri" w:hAnsi="Calibri" w:cs="Calibri"/>
              </w:rPr>
              <w:t>}</w:t>
            </w:r>
          </w:p>
        </w:tc>
      </w:tr>
      <w:tr w:rsidR="001F2171" w:rsidRPr="001F2171" w14:paraId="24E58C25" w14:textId="77777777" w:rsidTr="00BD2C93">
        <w:tc>
          <w:tcPr>
            <w:tcW w:w="476" w:type="dxa"/>
          </w:tcPr>
          <w:p w14:paraId="4F0BF90F" w14:textId="77777777" w:rsidR="00A77106" w:rsidRPr="001F2171" w:rsidRDefault="00A77106" w:rsidP="00BD2C93">
            <w:pPr>
              <w:spacing w:line="360" w:lineRule="auto"/>
              <w:jc w:val="both"/>
              <w:rPr>
                <w:rFonts w:ascii="Aptos" w:eastAsia="Yu Mincho" w:hAnsi="Aptos" w:cs="Times New Roman"/>
              </w:rPr>
            </w:pPr>
            <m:oMathPara>
              <m:oMathParaPr>
                <m:jc m:val="left"/>
              </m:oMathParaPr>
              <m:oMath>
                <m:r>
                  <w:rPr>
                    <w:rFonts w:ascii="Cambria Math" w:eastAsia="Times New Roman" w:hAnsi="Cambria Math" w:cs="Calibri"/>
                  </w:rPr>
                  <m:t>L</m:t>
                </m:r>
              </m:oMath>
            </m:oMathPara>
          </w:p>
        </w:tc>
        <w:tc>
          <w:tcPr>
            <w:tcW w:w="422" w:type="dxa"/>
          </w:tcPr>
          <w:p w14:paraId="195EA36C"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5EB01A15" w14:textId="77777777" w:rsidR="00A77106" w:rsidRPr="001F2171" w:rsidRDefault="00A77106" w:rsidP="00232799">
            <w:pPr>
              <w:spacing w:line="360" w:lineRule="auto"/>
              <w:rPr>
                <w:rFonts w:ascii="Calibri" w:hAnsi="Calibri" w:cs="Calibri"/>
              </w:rPr>
            </w:pPr>
            <w:r w:rsidRPr="001F2171">
              <w:rPr>
                <w:rFonts w:ascii="Calibri" w:hAnsi="Calibri" w:cs="Calibri"/>
              </w:rPr>
              <w:t xml:space="preserve">{l: </w:t>
            </w:r>
            <w:r w:rsidRPr="001F2171">
              <w:rPr>
                <w:rFonts w:ascii="Calibri" w:eastAsia="Calibri" w:hAnsi="Calibri" w:cs="Calibri"/>
              </w:rPr>
              <w:t>Locations</w:t>
            </w:r>
            <w:r w:rsidRPr="001F2171">
              <w:rPr>
                <w:rFonts w:ascii="Calibri" w:hAnsi="Calibri" w:cs="Calibri"/>
              </w:rPr>
              <w:t>}</w:t>
            </w:r>
          </w:p>
        </w:tc>
      </w:tr>
      <w:tr w:rsidR="001F2171" w:rsidRPr="001F2171" w14:paraId="72F8B907" w14:textId="77777777" w:rsidTr="00BD2C93">
        <w:tc>
          <w:tcPr>
            <w:tcW w:w="476" w:type="dxa"/>
          </w:tcPr>
          <w:p w14:paraId="153E2C3B" w14:textId="77777777" w:rsidR="00A77106" w:rsidRPr="001F2171" w:rsidRDefault="00A77106" w:rsidP="00BD2C93">
            <w:pPr>
              <w:spacing w:line="360" w:lineRule="auto"/>
              <w:jc w:val="both"/>
              <w:rPr>
                <w:rFonts w:ascii="Calibri" w:eastAsia="Times New Roman" w:hAnsi="Calibri" w:cs="Calibri"/>
              </w:rPr>
            </w:pPr>
            <m:oMathPara>
              <m:oMathParaPr>
                <m:jc m:val="left"/>
              </m:oMathParaPr>
              <m:oMath>
                <m:r>
                  <w:rPr>
                    <w:rFonts w:ascii="Cambria Math" w:hAnsi="Cambria Math" w:cs="Calibri"/>
                  </w:rPr>
                  <m:t>M</m:t>
                </m:r>
              </m:oMath>
            </m:oMathPara>
          </w:p>
        </w:tc>
        <w:tc>
          <w:tcPr>
            <w:tcW w:w="422" w:type="dxa"/>
          </w:tcPr>
          <w:p w14:paraId="0D337D2C"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0B55BB22" w14:textId="77777777" w:rsidR="00A77106" w:rsidRPr="001F2171" w:rsidRDefault="00A77106" w:rsidP="00232799">
            <w:pPr>
              <w:spacing w:line="360" w:lineRule="auto"/>
              <w:rPr>
                <w:rFonts w:ascii="Calibri" w:hAnsi="Calibri" w:cs="Calibri"/>
              </w:rPr>
            </w:pPr>
            <w:r w:rsidRPr="001F2171">
              <w:rPr>
                <w:rFonts w:ascii="Calibri" w:hAnsi="Calibri" w:cs="Calibri"/>
              </w:rPr>
              <w:t xml:space="preserve">{m: </w:t>
            </w:r>
            <w:r w:rsidRPr="001F2171">
              <w:rPr>
                <w:rFonts w:ascii="Calibri" w:eastAsia="Calibri" w:hAnsi="Calibri" w:cs="Calibri"/>
              </w:rPr>
              <w:t>Midpoint impact categories</w:t>
            </w:r>
            <w:r w:rsidRPr="001F2171">
              <w:rPr>
                <w:rFonts w:ascii="Calibri" w:hAnsi="Calibri" w:cs="Calibri"/>
              </w:rPr>
              <w:t>}</w:t>
            </w:r>
          </w:p>
        </w:tc>
      </w:tr>
      <w:tr w:rsidR="001F2171" w:rsidRPr="001F2171" w14:paraId="7288C4D9" w14:textId="77777777" w:rsidTr="00BD2C93">
        <w:tc>
          <w:tcPr>
            <w:tcW w:w="476" w:type="dxa"/>
          </w:tcPr>
          <w:p w14:paraId="4ADF2BCA" w14:textId="7B81926A" w:rsidR="00A77106" w:rsidRPr="001F2171" w:rsidRDefault="00F44480" w:rsidP="00BD2C93">
            <w:pPr>
              <w:spacing w:line="360" w:lineRule="auto"/>
              <w:jc w:val="both"/>
              <w:rPr>
                <w:rFonts w:ascii="Aptos" w:eastAsia="Yu Mincho" w:hAnsi="Aptos" w:cs="Times New Roman"/>
              </w:rPr>
            </w:pPr>
            <m:oMathPara>
              <m:oMathParaPr>
                <m:jc m:val="left"/>
              </m:oMathParaPr>
              <m:oMath>
                <m:r>
                  <w:rPr>
                    <w:rFonts w:ascii="Cambria Math" w:eastAsia="Yu Mincho" w:hAnsi="Cambria Math" w:cs="Times New Roman"/>
                  </w:rPr>
                  <m:t>N</m:t>
                </m:r>
              </m:oMath>
            </m:oMathPara>
          </w:p>
        </w:tc>
        <w:tc>
          <w:tcPr>
            <w:tcW w:w="422" w:type="dxa"/>
          </w:tcPr>
          <w:p w14:paraId="6E9FD419" w14:textId="77777777" w:rsidR="00A77106" w:rsidRPr="001F2171"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0498BC9F" w14:textId="5B483145" w:rsidR="00A77106" w:rsidRPr="001F2171" w:rsidRDefault="00A77106" w:rsidP="00232799">
            <w:pPr>
              <w:spacing w:line="360" w:lineRule="auto"/>
              <w:rPr>
                <w:rFonts w:ascii="Calibri" w:hAnsi="Calibri" w:cs="Calibri"/>
              </w:rPr>
            </w:pPr>
            <w:r w:rsidRPr="001F2171">
              <w:rPr>
                <w:rFonts w:ascii="Calibri" w:hAnsi="Calibri" w:cs="Calibri"/>
              </w:rPr>
              <w:t>{</w:t>
            </w:r>
            <w:r w:rsidR="00F44480" w:rsidRPr="001F2171">
              <w:rPr>
                <w:rFonts w:ascii="Calibri" w:hAnsi="Calibri" w:cs="Calibri"/>
              </w:rPr>
              <w:t>n:</w:t>
            </w:r>
            <w:r w:rsidRPr="001F2171">
              <w:rPr>
                <w:rFonts w:ascii="Calibri" w:hAnsi="Calibri" w:cs="Calibri"/>
              </w:rPr>
              <w:t xml:space="preserve"> </w:t>
            </w:r>
            <w:r w:rsidRPr="001F2171">
              <w:rPr>
                <w:rFonts w:ascii="Calibri" w:eastAsia="Calibri" w:hAnsi="Calibri" w:cs="Calibri"/>
              </w:rPr>
              <w:t>Type of rocks</w:t>
            </w:r>
            <w:r w:rsidRPr="001F2171">
              <w:rPr>
                <w:rFonts w:ascii="Calibri" w:hAnsi="Calibri" w:cs="Calibri"/>
              </w:rPr>
              <w:t>}</w:t>
            </w:r>
          </w:p>
        </w:tc>
      </w:tr>
      <w:tr w:rsidR="001F2171" w:rsidRPr="001F2171" w14:paraId="69552FF3" w14:textId="77777777" w:rsidTr="00BD2C93">
        <w:tc>
          <w:tcPr>
            <w:tcW w:w="476" w:type="dxa"/>
          </w:tcPr>
          <w:p w14:paraId="7847034C" w14:textId="1C5B07AD" w:rsidR="009F62C2" w:rsidRPr="001F2171" w:rsidRDefault="009F62C2" w:rsidP="00BD2C93">
            <w:pPr>
              <w:spacing w:line="360" w:lineRule="auto"/>
              <w:jc w:val="both"/>
              <w:rPr>
                <w:rFonts w:ascii="Calibri" w:eastAsia="Yu Mincho" w:hAnsi="Calibri" w:cs="Times New Roman"/>
              </w:rPr>
            </w:pPr>
            <m:oMathPara>
              <m:oMathParaPr>
                <m:jc m:val="left"/>
              </m:oMathParaPr>
              <m:oMath>
                <m:r>
                  <w:rPr>
                    <w:rFonts w:ascii="Cambria Math" w:eastAsia="Yu Mincho" w:hAnsi="Cambria Math" w:cs="Times New Roman"/>
                  </w:rPr>
                  <m:t>P</m:t>
                </m:r>
              </m:oMath>
            </m:oMathPara>
          </w:p>
        </w:tc>
        <w:tc>
          <w:tcPr>
            <w:tcW w:w="422" w:type="dxa"/>
          </w:tcPr>
          <w:p w14:paraId="57566395" w14:textId="54D3B1E9" w:rsidR="009F62C2" w:rsidRPr="001F2171" w:rsidRDefault="009F62C2" w:rsidP="009F62C2">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28373767" w14:textId="07633AC5" w:rsidR="009F62C2" w:rsidRPr="001F2171" w:rsidRDefault="009F62C2" w:rsidP="009F62C2">
            <w:pPr>
              <w:spacing w:line="360" w:lineRule="auto"/>
              <w:rPr>
                <w:rFonts w:ascii="Calibri" w:hAnsi="Calibri" w:cs="Calibri"/>
              </w:rPr>
            </w:pPr>
            <w:r w:rsidRPr="001F2171">
              <w:rPr>
                <w:rFonts w:ascii="Calibri" w:hAnsi="Calibri" w:cs="Calibri"/>
              </w:rPr>
              <w:t xml:space="preserve">{p: </w:t>
            </w:r>
            <w:r w:rsidRPr="001F2171">
              <w:rPr>
                <w:rFonts w:ascii="Calibri" w:eastAsia="Calibri" w:hAnsi="Calibri" w:cs="Calibri"/>
              </w:rPr>
              <w:t>Rock particle size</w:t>
            </w:r>
            <w:r w:rsidRPr="001F2171">
              <w:rPr>
                <w:rFonts w:ascii="Calibri" w:hAnsi="Calibri" w:cs="Calibri"/>
              </w:rPr>
              <w:t>}</w:t>
            </w:r>
          </w:p>
        </w:tc>
      </w:tr>
      <w:tr w:rsidR="001F2171" w:rsidRPr="001F2171" w14:paraId="51119B6F" w14:textId="77777777" w:rsidTr="00BD2C93">
        <w:tc>
          <w:tcPr>
            <w:tcW w:w="476" w:type="dxa"/>
          </w:tcPr>
          <w:p w14:paraId="03F4B5AB" w14:textId="77777777" w:rsidR="009F62C2" w:rsidRPr="001F2171" w:rsidRDefault="009F62C2"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R</m:t>
                </m:r>
              </m:oMath>
            </m:oMathPara>
          </w:p>
        </w:tc>
        <w:tc>
          <w:tcPr>
            <w:tcW w:w="422" w:type="dxa"/>
          </w:tcPr>
          <w:p w14:paraId="5DEA05E9" w14:textId="77777777" w:rsidR="009F62C2" w:rsidRPr="001F2171" w:rsidRDefault="009F62C2" w:rsidP="009F62C2">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75F19C99" w14:textId="77777777" w:rsidR="009F62C2" w:rsidRPr="001F2171" w:rsidRDefault="009F62C2" w:rsidP="009F62C2">
            <w:pPr>
              <w:spacing w:line="360" w:lineRule="auto"/>
              <w:rPr>
                <w:rFonts w:ascii="Calibri" w:hAnsi="Calibri" w:cs="Calibri"/>
              </w:rPr>
            </w:pPr>
            <w:r w:rsidRPr="001F2171">
              <w:rPr>
                <w:rFonts w:ascii="Calibri" w:hAnsi="Calibri" w:cs="Calibri"/>
              </w:rPr>
              <w:t>{r: Mineral resources}</w:t>
            </w:r>
          </w:p>
        </w:tc>
      </w:tr>
      <w:tr w:rsidR="001F2171" w:rsidRPr="001F2171" w14:paraId="6F518D1D" w14:textId="77777777" w:rsidTr="00BD2C93">
        <w:tc>
          <w:tcPr>
            <w:tcW w:w="476" w:type="dxa"/>
          </w:tcPr>
          <w:p w14:paraId="2B84C2EC" w14:textId="77777777" w:rsidR="009F62C2" w:rsidRPr="001F2171" w:rsidRDefault="009F62C2"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S</m:t>
                </m:r>
              </m:oMath>
            </m:oMathPara>
          </w:p>
        </w:tc>
        <w:tc>
          <w:tcPr>
            <w:tcW w:w="422" w:type="dxa"/>
          </w:tcPr>
          <w:p w14:paraId="1F36AA28" w14:textId="77777777" w:rsidR="009F62C2" w:rsidRPr="001F2171" w:rsidRDefault="009F62C2" w:rsidP="009F62C2">
            <w:pPr>
              <w:spacing w:line="360" w:lineRule="auto"/>
              <w:rPr>
                <w:rFonts w:ascii="Calibri" w:eastAsia="Times New Roman" w:hAnsi="Calibri" w:cs="Calibri"/>
                <w:i/>
                <w:iCs/>
              </w:rPr>
            </w:pPr>
            <m:oMathPara>
              <m:oMath>
                <m:r>
                  <w:rPr>
                    <w:rFonts w:ascii="Cambria Math" w:hAnsi="Cambria Math" w:cs="Calibri"/>
                  </w:rPr>
                  <m:t>≔</m:t>
                </m:r>
              </m:oMath>
            </m:oMathPara>
          </w:p>
        </w:tc>
        <w:tc>
          <w:tcPr>
            <w:tcW w:w="7596" w:type="dxa"/>
          </w:tcPr>
          <w:p w14:paraId="0F2A92E1" w14:textId="77777777" w:rsidR="009F62C2" w:rsidRPr="001F2171" w:rsidRDefault="009F62C2" w:rsidP="009F62C2">
            <w:pPr>
              <w:spacing w:line="360" w:lineRule="auto"/>
              <w:rPr>
                <w:rFonts w:ascii="Calibri" w:hAnsi="Calibri" w:cs="Calibri"/>
              </w:rPr>
            </w:pPr>
            <w:r w:rsidRPr="001F2171">
              <w:rPr>
                <w:rFonts w:ascii="Calibri" w:hAnsi="Calibri" w:cs="Calibri"/>
              </w:rPr>
              <w:t>{s: Elementary flows}</w:t>
            </w:r>
          </w:p>
        </w:tc>
      </w:tr>
      <w:tr w:rsidR="001F2171" w:rsidRPr="001F2171" w14:paraId="6310EA33" w14:textId="77777777" w:rsidTr="00BD2C93">
        <w:tc>
          <w:tcPr>
            <w:tcW w:w="476" w:type="dxa"/>
          </w:tcPr>
          <w:p w14:paraId="269F8766" w14:textId="77777777" w:rsidR="009F62C2" w:rsidRPr="007E4295" w:rsidRDefault="009F62C2"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T</m:t>
                </m:r>
              </m:oMath>
            </m:oMathPara>
          </w:p>
        </w:tc>
        <w:tc>
          <w:tcPr>
            <w:tcW w:w="422" w:type="dxa"/>
          </w:tcPr>
          <w:p w14:paraId="511A2341" w14:textId="77777777" w:rsidR="009F62C2" w:rsidRPr="007E4295" w:rsidRDefault="009F62C2" w:rsidP="009F62C2">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72C74E3A" w14:textId="77777777" w:rsidR="009F62C2" w:rsidRPr="007E4295" w:rsidRDefault="009F62C2" w:rsidP="009F62C2">
            <w:pPr>
              <w:spacing w:line="360" w:lineRule="auto"/>
              <w:rPr>
                <w:rFonts w:ascii="Calibri" w:hAnsi="Calibri" w:cs="Calibri"/>
              </w:rPr>
            </w:pPr>
            <w:r w:rsidRPr="007E4295">
              <w:rPr>
                <w:rFonts w:ascii="Calibri" w:hAnsi="Calibri" w:cs="Calibri"/>
              </w:rPr>
              <w:t>{t: Number of years after CDR deployment}</w:t>
            </w:r>
          </w:p>
        </w:tc>
      </w:tr>
      <w:tr w:rsidR="001F2171" w:rsidRPr="001F2171" w14:paraId="6E6E4DE0" w14:textId="77777777" w:rsidTr="00BD2C93">
        <w:tc>
          <w:tcPr>
            <w:tcW w:w="476" w:type="dxa"/>
          </w:tcPr>
          <w:p w14:paraId="1AF58C5C" w14:textId="77777777" w:rsidR="009F62C2" w:rsidRPr="001F2171" w:rsidRDefault="00000000" w:rsidP="00BD2C93">
            <w:pPr>
              <w:spacing w:line="360" w:lineRule="auto"/>
              <w:jc w:val="both"/>
              <w:rPr>
                <w:rFonts w:ascii="Calibri" w:eastAsia="Times New Roman" w:hAnsi="Calibri" w:cs="Calibri"/>
              </w:rPr>
            </w:pPr>
            <m:oMathPara>
              <m:oMathParaPr>
                <m:jc m:val="left"/>
              </m:oMathParaPr>
              <m:oMath>
                <m:sSup>
                  <m:sSupPr>
                    <m:ctrlPr>
                      <w:rPr>
                        <w:rFonts w:ascii="Cambria Math" w:eastAsia="Times New Roman" w:hAnsi="Cambria Math" w:cs="Calibri"/>
                        <w:i/>
                      </w:rPr>
                    </m:ctrlPr>
                  </m:sSupPr>
                  <m:e>
                    <m:r>
                      <w:rPr>
                        <w:rFonts w:ascii="Cambria Math" w:eastAsia="Times New Roman" w:hAnsi="Cambria Math" w:cs="Calibri"/>
                      </w:rPr>
                      <m:t>T</m:t>
                    </m:r>
                  </m:e>
                  <m:sup>
                    <m:r>
                      <w:rPr>
                        <w:rFonts w:ascii="Cambria Math" w:eastAsia="Times New Roman" w:hAnsi="Cambria Math" w:cs="Calibri"/>
                      </w:rPr>
                      <m:t>P</m:t>
                    </m:r>
                  </m:sup>
                </m:sSup>
              </m:oMath>
            </m:oMathPara>
          </w:p>
        </w:tc>
        <w:tc>
          <w:tcPr>
            <w:tcW w:w="422" w:type="dxa"/>
          </w:tcPr>
          <w:p w14:paraId="59165320" w14:textId="77777777" w:rsidR="009F62C2" w:rsidRPr="001F2171" w:rsidRDefault="009F62C2" w:rsidP="009F62C2">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487FEB2F" w14:textId="77777777" w:rsidR="009F62C2" w:rsidRPr="001F2171" w:rsidRDefault="009F62C2" w:rsidP="009F62C2">
            <w:pPr>
              <w:spacing w:line="360" w:lineRule="auto"/>
              <w:rPr>
                <w:rFonts w:ascii="Calibri" w:hAnsi="Calibri" w:cs="Calibri"/>
              </w:rPr>
            </w:pPr>
            <w:r w:rsidRPr="001F2171">
              <w:rPr>
                <w:rFonts w:ascii="Calibri" w:hAnsi="Calibri" w:cs="Calibri"/>
              </w:rPr>
              <w:t>{</w:t>
            </w:r>
            <w:proofErr w:type="spellStart"/>
            <w:r w:rsidRPr="001F2171">
              <w:rPr>
                <w:rFonts w:ascii="Calibri" w:hAnsi="Calibri" w:cs="Calibri"/>
              </w:rPr>
              <w:t>t</w:t>
            </w:r>
            <w:r w:rsidRPr="001F2171">
              <w:rPr>
                <w:rFonts w:ascii="Calibri" w:hAnsi="Calibri" w:cs="Calibri"/>
                <w:vertAlign w:val="superscript"/>
              </w:rPr>
              <w:t>p</w:t>
            </w:r>
            <w:proofErr w:type="spellEnd"/>
            <w:r w:rsidRPr="001F2171">
              <w:rPr>
                <w:rFonts w:ascii="Calibri" w:hAnsi="Calibri" w:cs="Calibri"/>
              </w:rPr>
              <w:t>: Number of years after pulse emission}</w:t>
            </w:r>
          </w:p>
        </w:tc>
      </w:tr>
      <w:tr w:rsidR="001F2171" w:rsidRPr="001F2171" w14:paraId="67C334DA" w14:textId="77777777" w:rsidTr="00BD2C93">
        <w:tc>
          <w:tcPr>
            <w:tcW w:w="476" w:type="dxa"/>
          </w:tcPr>
          <w:p w14:paraId="18AE887B" w14:textId="77777777" w:rsidR="009F62C2" w:rsidRPr="001F2171" w:rsidRDefault="009F62C2" w:rsidP="00BD2C93">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Y</m:t>
                </m:r>
              </m:oMath>
            </m:oMathPara>
          </w:p>
        </w:tc>
        <w:tc>
          <w:tcPr>
            <w:tcW w:w="422" w:type="dxa"/>
          </w:tcPr>
          <w:p w14:paraId="7AB6A521" w14:textId="77777777" w:rsidR="009F62C2" w:rsidRPr="001F2171" w:rsidRDefault="009F62C2" w:rsidP="009F62C2">
            <w:pPr>
              <w:spacing w:line="360" w:lineRule="auto"/>
              <w:rPr>
                <w:rFonts w:ascii="Calibri" w:eastAsia="Times New Roman" w:hAnsi="Calibri" w:cs="Calibri"/>
              </w:rPr>
            </w:pPr>
            <m:oMathPara>
              <m:oMath>
                <m:r>
                  <w:rPr>
                    <w:rFonts w:ascii="Cambria Math" w:hAnsi="Cambria Math" w:cs="Calibri"/>
                  </w:rPr>
                  <m:t>≔</m:t>
                </m:r>
              </m:oMath>
            </m:oMathPara>
          </w:p>
        </w:tc>
        <w:tc>
          <w:tcPr>
            <w:tcW w:w="7596" w:type="dxa"/>
          </w:tcPr>
          <w:p w14:paraId="4BE9EA02" w14:textId="77777777" w:rsidR="009F62C2" w:rsidRPr="001F2171" w:rsidRDefault="009F62C2" w:rsidP="009F62C2">
            <w:pPr>
              <w:spacing w:line="360" w:lineRule="auto"/>
              <w:rPr>
                <w:rFonts w:ascii="Calibri" w:hAnsi="Calibri" w:cs="Calibri"/>
              </w:rPr>
            </w:pPr>
            <w:r w:rsidRPr="001F2171">
              <w:rPr>
                <w:rFonts w:ascii="Calibri" w:hAnsi="Calibri" w:cs="Calibri"/>
              </w:rPr>
              <w:t>{y: Years of deployment}</w:t>
            </w:r>
          </w:p>
        </w:tc>
      </w:tr>
    </w:tbl>
    <w:p w14:paraId="46CF7F23" w14:textId="77777777" w:rsidR="00A77106" w:rsidRPr="001F2171" w:rsidRDefault="00A77106" w:rsidP="00A77106">
      <w:pPr>
        <w:spacing w:after="0" w:line="360" w:lineRule="auto"/>
        <w:rPr>
          <w:rFonts w:ascii="Calibri" w:hAnsi="Calibri" w:cs="Calibri"/>
        </w:rPr>
      </w:pPr>
    </w:p>
    <w:p w14:paraId="214D49CB" w14:textId="77777777" w:rsidR="00A77106" w:rsidRDefault="00A77106" w:rsidP="00A77106">
      <w:pPr>
        <w:spacing w:after="0" w:line="360" w:lineRule="auto"/>
        <w:rPr>
          <w:rFonts w:ascii="Calibri" w:hAnsi="Calibri" w:cs="Calibri"/>
          <w:color w:val="FF0000"/>
        </w:rPr>
      </w:pPr>
      <w:r w:rsidRPr="008F6870">
        <w:rPr>
          <w:rFonts w:ascii="Calibri" w:hAnsi="Calibri" w:cs="Calibri"/>
        </w:rPr>
        <w:t>We derived the following subsets from the sets above</w:t>
      </w:r>
      <w:r>
        <w:rPr>
          <w:rFonts w:ascii="Calibri" w:hAnsi="Calibri" w:cs="Calibri"/>
        </w:rPr>
        <w:t>.</w:t>
      </w:r>
      <w:r w:rsidRPr="008F6870">
        <w:rPr>
          <w:rFonts w:ascii="Calibri" w:hAnsi="Calibri" w:cs="Calibri"/>
        </w:rPr>
        <w:t xml:space="preserve"> </w:t>
      </w:r>
    </w:p>
    <w:p w14:paraId="2D14AFB0" w14:textId="77777777" w:rsidR="00A77106" w:rsidRPr="006C39BF" w:rsidRDefault="00A77106" w:rsidP="00A77106">
      <w:pPr>
        <w:spacing w:after="0" w:line="360" w:lineRule="auto"/>
        <w:rPr>
          <w:rFonts w:ascii="Calibri" w:hAnsi="Calibri" w:cs="Calibri"/>
        </w:rPr>
      </w:pPr>
      <w:r w:rsidRPr="006C39BF">
        <w:rPr>
          <w:rFonts w:ascii="Calibri" w:hAnsi="Calibri" w:cs="Calibri"/>
        </w:rPr>
        <w:t xml:space="preserve">Subsets of set </w:t>
      </w:r>
      <m:oMath>
        <m:r>
          <w:rPr>
            <w:rFonts w:ascii="Cambria Math" w:hAnsi="Cambria Math" w:cs="Calibri"/>
          </w:rPr>
          <m:t>A</m:t>
        </m:r>
      </m:oMath>
      <w:r w:rsidRPr="006C39BF">
        <w:rPr>
          <w:rFonts w:ascii="Calibri" w:hAnsi="Calibri" w:cs="Calibri"/>
        </w:rPr>
        <w:t xml:space="preserve">: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
        <w:gridCol w:w="422"/>
        <w:gridCol w:w="7565"/>
      </w:tblGrid>
      <w:tr w:rsidR="00A77106" w:rsidRPr="006C39BF" w14:paraId="2E0207B1" w14:textId="77777777" w:rsidTr="00550962">
        <w:tc>
          <w:tcPr>
            <w:tcW w:w="507" w:type="dxa"/>
          </w:tcPr>
          <w:p w14:paraId="0DA4BC98" w14:textId="77777777" w:rsidR="00A77106" w:rsidRPr="00593A8C" w:rsidRDefault="00A77106" w:rsidP="00232799">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F</m:t>
                </m:r>
              </m:oMath>
            </m:oMathPara>
          </w:p>
        </w:tc>
        <w:tc>
          <w:tcPr>
            <w:tcW w:w="422" w:type="dxa"/>
          </w:tcPr>
          <w:p w14:paraId="03E3DBE7" w14:textId="77777777" w:rsidR="00A77106" w:rsidRPr="006C39BF"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65" w:type="dxa"/>
          </w:tcPr>
          <w:p w14:paraId="5777E7BC" w14:textId="77777777" w:rsidR="00A77106" w:rsidRPr="006C39BF" w:rsidRDefault="00A77106" w:rsidP="00232799">
            <w:pPr>
              <w:spacing w:line="360" w:lineRule="auto"/>
              <w:rPr>
                <w:rFonts w:ascii="Calibri" w:hAnsi="Calibri" w:cs="Calibri"/>
              </w:rPr>
            </w:pPr>
            <w:r w:rsidRPr="006C39BF">
              <w:rPr>
                <w:rFonts w:ascii="Calibri" w:hAnsi="Calibri" w:cs="Calibri"/>
              </w:rPr>
              <w:t>{</w:t>
            </w:r>
            <w:r>
              <w:rPr>
                <w:rFonts w:ascii="Calibri" w:hAnsi="Calibri" w:cs="Calibri"/>
              </w:rPr>
              <w:t>a</w:t>
            </w:r>
            <w:r w:rsidRPr="006C39BF">
              <w:rPr>
                <w:rFonts w:ascii="Calibri" w:hAnsi="Calibri" w:cs="Calibri"/>
              </w:rPr>
              <w:t xml:space="preserve">: </w:t>
            </w:r>
            <w:r>
              <w:rPr>
                <w:rFonts w:ascii="Calibri" w:hAnsi="Calibri" w:cs="Calibri"/>
              </w:rPr>
              <w:t>Fertilizer production</w:t>
            </w:r>
            <w:r w:rsidRPr="006C39BF">
              <w:rPr>
                <w:rFonts w:ascii="Calibri" w:hAnsi="Calibri" w:cs="Calibri"/>
              </w:rPr>
              <w:t xml:space="preserve"> activities}</w:t>
            </w:r>
          </w:p>
        </w:tc>
      </w:tr>
      <w:tr w:rsidR="00A77106" w:rsidRPr="006C39BF" w14:paraId="40EC7B57" w14:textId="77777777" w:rsidTr="00550962">
        <w:tc>
          <w:tcPr>
            <w:tcW w:w="507" w:type="dxa"/>
          </w:tcPr>
          <w:p w14:paraId="1EEDD676" w14:textId="77777777" w:rsidR="00A77106" w:rsidRPr="006C39BF" w:rsidRDefault="00A77106" w:rsidP="00232799">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IN</m:t>
                </m:r>
              </m:oMath>
            </m:oMathPara>
          </w:p>
        </w:tc>
        <w:tc>
          <w:tcPr>
            <w:tcW w:w="422" w:type="dxa"/>
          </w:tcPr>
          <w:p w14:paraId="25493972" w14:textId="77777777" w:rsidR="00A77106" w:rsidRPr="006C39BF"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65" w:type="dxa"/>
          </w:tcPr>
          <w:p w14:paraId="052D9652" w14:textId="77777777" w:rsidR="00A77106" w:rsidRPr="006C39BF" w:rsidRDefault="00A77106" w:rsidP="00232799">
            <w:pPr>
              <w:spacing w:line="360" w:lineRule="auto"/>
              <w:rPr>
                <w:rFonts w:ascii="Calibri" w:hAnsi="Calibri" w:cs="Calibri"/>
              </w:rPr>
            </w:pPr>
            <w:r w:rsidRPr="006C39BF">
              <w:rPr>
                <w:rFonts w:ascii="Calibri" w:hAnsi="Calibri" w:cs="Calibri"/>
              </w:rPr>
              <w:t>{a: Infrastructure activities}</w:t>
            </w:r>
          </w:p>
        </w:tc>
      </w:tr>
      <w:tr w:rsidR="00A77106" w:rsidRPr="006C39BF" w14:paraId="381E2495" w14:textId="77777777" w:rsidTr="00550962">
        <w:tc>
          <w:tcPr>
            <w:tcW w:w="507" w:type="dxa"/>
          </w:tcPr>
          <w:p w14:paraId="4B44913F" w14:textId="77777777" w:rsidR="00A77106" w:rsidRPr="006C39BF" w:rsidRDefault="00A77106" w:rsidP="00232799">
            <w:pPr>
              <w:spacing w:line="360" w:lineRule="auto"/>
              <w:jc w:val="both"/>
              <w:rPr>
                <w:rFonts w:ascii="Calibri" w:eastAsia="Times New Roman" w:hAnsi="Calibri" w:cs="Calibri"/>
              </w:rPr>
            </w:pPr>
            <m:oMathPara>
              <m:oMathParaPr>
                <m:jc m:val="left"/>
              </m:oMathParaPr>
              <m:oMath>
                <m:r>
                  <w:rPr>
                    <w:rFonts w:ascii="Cambria Math" w:eastAsia="Times New Roman" w:hAnsi="Cambria Math" w:cs="Calibri"/>
                  </w:rPr>
                  <m:t>OP</m:t>
                </m:r>
              </m:oMath>
            </m:oMathPara>
          </w:p>
        </w:tc>
        <w:tc>
          <w:tcPr>
            <w:tcW w:w="422" w:type="dxa"/>
          </w:tcPr>
          <w:p w14:paraId="2084F328" w14:textId="77777777" w:rsidR="00A77106" w:rsidRPr="006C39BF"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65" w:type="dxa"/>
          </w:tcPr>
          <w:p w14:paraId="27711422" w14:textId="77777777" w:rsidR="00A77106" w:rsidRPr="006C39BF" w:rsidRDefault="00A77106" w:rsidP="00232799">
            <w:pPr>
              <w:spacing w:line="360" w:lineRule="auto"/>
              <w:rPr>
                <w:rFonts w:ascii="Calibri" w:hAnsi="Calibri" w:cs="Calibri"/>
              </w:rPr>
            </w:pPr>
            <w:r w:rsidRPr="006C39BF">
              <w:rPr>
                <w:rFonts w:ascii="Calibri" w:hAnsi="Calibri" w:cs="Calibri"/>
              </w:rPr>
              <w:t>{a: Operating activities}</w:t>
            </w:r>
          </w:p>
        </w:tc>
      </w:tr>
    </w:tbl>
    <w:p w14:paraId="776E45DC" w14:textId="77777777" w:rsidR="00A77106" w:rsidRPr="008E6C57" w:rsidRDefault="00A77106" w:rsidP="00A77106">
      <w:pPr>
        <w:spacing w:after="0" w:line="360" w:lineRule="auto"/>
        <w:rPr>
          <w:rFonts w:ascii="Calibri" w:hAnsi="Calibri" w:cs="Calibri"/>
        </w:rPr>
      </w:pPr>
    </w:p>
    <w:p w14:paraId="5C7B120A" w14:textId="77777777" w:rsidR="00A77106" w:rsidRPr="00ED479C" w:rsidRDefault="00A77106" w:rsidP="00A77106">
      <w:pPr>
        <w:spacing w:after="0" w:line="360" w:lineRule="auto"/>
        <w:rPr>
          <w:rFonts w:ascii="Calibri" w:hAnsi="Calibri" w:cs="Calibri"/>
        </w:rPr>
      </w:pPr>
      <w:r w:rsidRPr="00ED479C">
        <w:rPr>
          <w:rFonts w:ascii="Calibri" w:hAnsi="Calibri" w:cs="Calibri"/>
        </w:rPr>
        <w:t xml:space="preserve">Subsets of set </w:t>
      </w:r>
      <m:oMath>
        <m:r>
          <w:rPr>
            <w:rFonts w:ascii="Cambria Math" w:hAnsi="Cambria Math" w:cs="Calibri"/>
          </w:rPr>
          <m:t>I</m:t>
        </m:r>
      </m:oMath>
      <w:r w:rsidRPr="00ED479C">
        <w:rPr>
          <w:rFonts w:ascii="Calibri" w:hAnsi="Calibri" w:cs="Calibri"/>
        </w:rPr>
        <w:t xml:space="preserve">: </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9"/>
        <w:gridCol w:w="422"/>
        <w:gridCol w:w="7043"/>
      </w:tblGrid>
      <w:tr w:rsidR="00A77106" w:rsidRPr="008F6870" w14:paraId="70D51EF4" w14:textId="77777777" w:rsidTr="00550962">
        <w:tc>
          <w:tcPr>
            <w:tcW w:w="1029" w:type="dxa"/>
          </w:tcPr>
          <w:p w14:paraId="786FF30E" w14:textId="77777777" w:rsidR="00A77106" w:rsidRPr="00BC0F28" w:rsidRDefault="00A77106" w:rsidP="00232799">
            <w:pPr>
              <w:spacing w:line="360" w:lineRule="auto"/>
              <w:rPr>
                <w:rFonts w:ascii="Calibri" w:eastAsia="Times New Roman" w:hAnsi="Calibri" w:cs="Calibri"/>
              </w:rPr>
            </w:pPr>
            <m:oMathPara>
              <m:oMathParaPr>
                <m:jc m:val="left"/>
              </m:oMathParaPr>
              <m:oMath>
                <m:r>
                  <w:rPr>
                    <w:rFonts w:ascii="Cambria Math" w:eastAsia="Times New Roman" w:hAnsi="Cambria Math" w:cs="Calibri"/>
                  </w:rPr>
                  <m:t>BECCS</m:t>
                </m:r>
              </m:oMath>
            </m:oMathPara>
          </w:p>
        </w:tc>
        <w:tc>
          <w:tcPr>
            <w:tcW w:w="422" w:type="dxa"/>
          </w:tcPr>
          <w:p w14:paraId="79CC4FBA"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043" w:type="dxa"/>
          </w:tcPr>
          <w:p w14:paraId="2E1B8549" w14:textId="77777777" w:rsidR="00A77106" w:rsidRPr="00532290" w:rsidRDefault="00A77106" w:rsidP="00232799">
            <w:pPr>
              <w:spacing w:line="360" w:lineRule="auto"/>
              <w:rPr>
                <w:rFonts w:ascii="Calibri" w:hAnsi="Calibri" w:cs="Calibri"/>
              </w:rPr>
            </w:pPr>
            <w:r w:rsidRPr="00532290">
              <w:rPr>
                <w:rFonts w:ascii="Calibri" w:hAnsi="Calibri" w:cs="Calibri"/>
              </w:rPr>
              <w:t>{</w:t>
            </w:r>
            <w:proofErr w:type="spellStart"/>
            <w:r>
              <w:rPr>
                <w:rFonts w:ascii="Calibri" w:hAnsi="Calibri" w:cs="Calibri"/>
              </w:rPr>
              <w:t>i</w:t>
            </w:r>
            <w:proofErr w:type="spellEnd"/>
            <w:r w:rsidRPr="00532290">
              <w:rPr>
                <w:rFonts w:ascii="Calibri" w:hAnsi="Calibri" w:cs="Calibri"/>
              </w:rPr>
              <w:t xml:space="preserve">: </w:t>
            </w:r>
            <w:r>
              <w:rPr>
                <w:rFonts w:ascii="Calibri" w:hAnsi="Calibri" w:cs="Calibri"/>
              </w:rPr>
              <w:t>Bioenergy with Carbon Capture and Storage systems</w:t>
            </w:r>
            <w:r w:rsidRPr="00532290">
              <w:rPr>
                <w:rFonts w:ascii="Calibri" w:hAnsi="Calibri" w:cs="Calibri"/>
              </w:rPr>
              <w:t>}</w:t>
            </w:r>
          </w:p>
        </w:tc>
      </w:tr>
      <w:tr w:rsidR="00A77106" w:rsidRPr="008F6870" w14:paraId="5086DE4D" w14:textId="77777777" w:rsidTr="00550962">
        <w:tc>
          <w:tcPr>
            <w:tcW w:w="1029" w:type="dxa"/>
          </w:tcPr>
          <w:p w14:paraId="3B1163E3" w14:textId="77777777" w:rsidR="00A77106" w:rsidRPr="00950D72" w:rsidRDefault="00A77106" w:rsidP="00232799">
            <w:pPr>
              <w:spacing w:line="360" w:lineRule="auto"/>
              <w:rPr>
                <w:rFonts w:ascii="Calibri" w:eastAsia="Times New Roman" w:hAnsi="Calibri" w:cs="Calibri"/>
              </w:rPr>
            </w:pPr>
            <m:oMathPara>
              <m:oMathParaPr>
                <m:jc m:val="left"/>
              </m:oMathParaPr>
              <m:oMath>
                <m:r>
                  <w:rPr>
                    <w:rFonts w:ascii="Cambria Math" w:eastAsia="Times New Roman" w:hAnsi="Cambria Math" w:cs="Calibri"/>
                  </w:rPr>
                  <m:t>EW</m:t>
                </m:r>
              </m:oMath>
            </m:oMathPara>
          </w:p>
        </w:tc>
        <w:tc>
          <w:tcPr>
            <w:tcW w:w="422" w:type="dxa"/>
          </w:tcPr>
          <w:p w14:paraId="2531CF03"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043" w:type="dxa"/>
          </w:tcPr>
          <w:p w14:paraId="02DF6DE0" w14:textId="77777777" w:rsidR="00A77106" w:rsidRPr="00532290" w:rsidRDefault="00A77106" w:rsidP="00232799">
            <w:pPr>
              <w:spacing w:line="360" w:lineRule="auto"/>
              <w:rPr>
                <w:rFonts w:ascii="Calibri" w:hAnsi="Calibri" w:cs="Calibri"/>
              </w:rPr>
            </w:pPr>
            <w:r w:rsidRPr="00532290">
              <w:rPr>
                <w:rFonts w:ascii="Calibri" w:hAnsi="Calibri" w:cs="Calibri"/>
              </w:rPr>
              <w:t>{</w:t>
            </w:r>
            <w:proofErr w:type="spellStart"/>
            <w:r>
              <w:rPr>
                <w:rFonts w:ascii="Calibri" w:hAnsi="Calibri" w:cs="Calibri"/>
              </w:rPr>
              <w:t>i</w:t>
            </w:r>
            <w:proofErr w:type="spellEnd"/>
            <w:r w:rsidRPr="00532290">
              <w:rPr>
                <w:rFonts w:ascii="Calibri" w:hAnsi="Calibri" w:cs="Calibri"/>
              </w:rPr>
              <w:t xml:space="preserve">: </w:t>
            </w:r>
            <w:r>
              <w:rPr>
                <w:rFonts w:ascii="Calibri" w:hAnsi="Calibri" w:cs="Calibri"/>
              </w:rPr>
              <w:t>Enhanced weathering systems</w:t>
            </w:r>
            <w:r w:rsidRPr="00532290">
              <w:rPr>
                <w:rFonts w:ascii="Calibri" w:hAnsi="Calibri" w:cs="Calibri"/>
              </w:rPr>
              <w:t>}</w:t>
            </w:r>
          </w:p>
        </w:tc>
      </w:tr>
      <w:tr w:rsidR="00A77106" w:rsidRPr="008F6870" w14:paraId="20282C66" w14:textId="77777777" w:rsidTr="00550962">
        <w:tc>
          <w:tcPr>
            <w:tcW w:w="1029" w:type="dxa"/>
          </w:tcPr>
          <w:p w14:paraId="610B0518"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rPr>
                  <w:lastRenderedPageBreak/>
                  <m:t>FOREST</m:t>
                </m:r>
              </m:oMath>
            </m:oMathPara>
          </w:p>
        </w:tc>
        <w:tc>
          <w:tcPr>
            <w:tcW w:w="422" w:type="dxa"/>
          </w:tcPr>
          <w:p w14:paraId="7ECF4162"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043" w:type="dxa"/>
          </w:tcPr>
          <w:p w14:paraId="700C3A5E" w14:textId="77777777" w:rsidR="00A77106" w:rsidRPr="00532290" w:rsidRDefault="00A77106" w:rsidP="00232799">
            <w:pPr>
              <w:spacing w:line="360" w:lineRule="auto"/>
              <w:rPr>
                <w:rFonts w:ascii="Calibri" w:hAnsi="Calibri" w:cs="Calibri"/>
              </w:rPr>
            </w:pPr>
            <w:r w:rsidRPr="00532290">
              <w:rPr>
                <w:rFonts w:ascii="Calibri" w:hAnsi="Calibri" w:cs="Calibri"/>
              </w:rPr>
              <w:t>{</w:t>
            </w:r>
            <w:proofErr w:type="spellStart"/>
            <w:r>
              <w:rPr>
                <w:rFonts w:ascii="Calibri" w:hAnsi="Calibri" w:cs="Calibri"/>
              </w:rPr>
              <w:t>i</w:t>
            </w:r>
            <w:proofErr w:type="spellEnd"/>
            <w:r w:rsidRPr="00532290">
              <w:rPr>
                <w:rFonts w:ascii="Calibri" w:hAnsi="Calibri" w:cs="Calibri"/>
              </w:rPr>
              <w:t xml:space="preserve">: </w:t>
            </w:r>
            <w:r>
              <w:rPr>
                <w:rFonts w:ascii="Calibri" w:hAnsi="Calibri" w:cs="Calibri"/>
              </w:rPr>
              <w:t>Forestation systems</w:t>
            </w:r>
            <w:r w:rsidRPr="00532290">
              <w:rPr>
                <w:rFonts w:ascii="Calibri" w:hAnsi="Calibri" w:cs="Calibri"/>
              </w:rPr>
              <w:t>}</w:t>
            </w:r>
          </w:p>
        </w:tc>
      </w:tr>
      <w:tr w:rsidR="00A77106" w:rsidRPr="008F6870" w14:paraId="1AD3344E" w14:textId="77777777" w:rsidTr="00550962">
        <w:tc>
          <w:tcPr>
            <w:tcW w:w="1029" w:type="dxa"/>
          </w:tcPr>
          <w:p w14:paraId="403C0F75" w14:textId="77777777" w:rsidR="00A77106" w:rsidRPr="000D297C" w:rsidRDefault="00A77106" w:rsidP="00232799">
            <w:pPr>
              <w:spacing w:line="360" w:lineRule="auto"/>
              <w:rPr>
                <w:rFonts w:ascii="Calibri" w:eastAsia="Times New Roman" w:hAnsi="Calibri" w:cs="Calibri"/>
              </w:rPr>
            </w:pPr>
            <m:oMathPara>
              <m:oMathParaPr>
                <m:jc m:val="left"/>
              </m:oMathParaPr>
              <m:oMath>
                <m:r>
                  <w:rPr>
                    <w:rFonts w:ascii="Cambria Math" w:eastAsia="Times New Roman" w:hAnsi="Cambria Math" w:cs="Calibri"/>
                  </w:rPr>
                  <m:t>HTLS</m:t>
                </m:r>
              </m:oMath>
            </m:oMathPara>
          </w:p>
        </w:tc>
        <w:tc>
          <w:tcPr>
            <w:tcW w:w="422" w:type="dxa"/>
          </w:tcPr>
          <w:p w14:paraId="5B29E381"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043" w:type="dxa"/>
          </w:tcPr>
          <w:p w14:paraId="7109AA32" w14:textId="77777777" w:rsidR="00A77106" w:rsidRPr="00532290" w:rsidRDefault="00A77106" w:rsidP="00232799">
            <w:pPr>
              <w:spacing w:line="360" w:lineRule="auto"/>
              <w:rPr>
                <w:rFonts w:ascii="Calibri" w:hAnsi="Calibri" w:cs="Calibri"/>
              </w:rPr>
            </w:pPr>
            <w:r w:rsidRPr="00532290">
              <w:rPr>
                <w:rFonts w:ascii="Calibri" w:hAnsi="Calibri" w:cs="Calibri"/>
              </w:rPr>
              <w:t>{</w:t>
            </w:r>
            <w:proofErr w:type="spellStart"/>
            <w:r>
              <w:rPr>
                <w:rFonts w:ascii="Calibri" w:hAnsi="Calibri" w:cs="Calibri"/>
              </w:rPr>
              <w:t>i</w:t>
            </w:r>
            <w:proofErr w:type="spellEnd"/>
            <w:r w:rsidRPr="00532290">
              <w:rPr>
                <w:rFonts w:ascii="Calibri" w:hAnsi="Calibri" w:cs="Calibri"/>
              </w:rPr>
              <w:t xml:space="preserve">: </w:t>
            </w:r>
            <w:r>
              <w:rPr>
                <w:rFonts w:ascii="Calibri" w:hAnsi="Calibri" w:cs="Calibri"/>
              </w:rPr>
              <w:t>High Temperature Liquid Sorbent Direct Air Carbon Capture Systems</w:t>
            </w:r>
            <w:r w:rsidRPr="00532290">
              <w:rPr>
                <w:rFonts w:ascii="Calibri" w:hAnsi="Calibri" w:cs="Calibri"/>
              </w:rPr>
              <w:t>}</w:t>
            </w:r>
          </w:p>
        </w:tc>
      </w:tr>
      <w:tr w:rsidR="00A77106" w:rsidRPr="008F6870" w14:paraId="6BE2DB6F" w14:textId="77777777" w:rsidTr="00550962">
        <w:tc>
          <w:tcPr>
            <w:tcW w:w="1029" w:type="dxa"/>
          </w:tcPr>
          <w:p w14:paraId="338A5CCB" w14:textId="77777777" w:rsidR="00A77106" w:rsidRPr="009B6FAA" w:rsidRDefault="00A77106" w:rsidP="00232799">
            <w:pPr>
              <w:spacing w:line="360" w:lineRule="auto"/>
              <w:rPr>
                <w:rFonts w:ascii="Calibri" w:eastAsia="Times New Roman" w:hAnsi="Calibri" w:cs="Calibri"/>
              </w:rPr>
            </w:pPr>
            <m:oMathPara>
              <m:oMathParaPr>
                <m:jc m:val="left"/>
              </m:oMathParaPr>
              <m:oMath>
                <m:r>
                  <w:rPr>
                    <w:rFonts w:ascii="Cambria Math" w:eastAsia="Calibri" w:hAnsi="Cambria Math" w:cs="Calibri"/>
                  </w:rPr>
                  <m:t>TERR</m:t>
                </m:r>
              </m:oMath>
            </m:oMathPara>
          </w:p>
        </w:tc>
        <w:tc>
          <w:tcPr>
            <w:tcW w:w="422" w:type="dxa"/>
          </w:tcPr>
          <w:p w14:paraId="5E16A406"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043" w:type="dxa"/>
          </w:tcPr>
          <w:p w14:paraId="259F5093" w14:textId="77777777" w:rsidR="00A77106" w:rsidRPr="00532290" w:rsidRDefault="00A77106" w:rsidP="00232799">
            <w:pPr>
              <w:spacing w:line="360" w:lineRule="auto"/>
              <w:rPr>
                <w:rFonts w:ascii="Calibri" w:hAnsi="Calibri" w:cs="Calibri"/>
              </w:rPr>
            </w:pPr>
            <w:r w:rsidRPr="00532290">
              <w:rPr>
                <w:rFonts w:ascii="Calibri" w:hAnsi="Calibri" w:cs="Calibri"/>
              </w:rPr>
              <w:t>{</w:t>
            </w:r>
            <w:proofErr w:type="spellStart"/>
            <w:r>
              <w:rPr>
                <w:rFonts w:ascii="Calibri" w:hAnsi="Calibri" w:cs="Calibri"/>
              </w:rPr>
              <w:t>i</w:t>
            </w:r>
            <w:proofErr w:type="spellEnd"/>
            <w:r w:rsidRPr="00532290">
              <w:rPr>
                <w:rFonts w:ascii="Calibri" w:hAnsi="Calibri" w:cs="Calibri"/>
              </w:rPr>
              <w:t xml:space="preserve">: </w:t>
            </w:r>
            <w:r>
              <w:rPr>
                <w:rFonts w:ascii="Calibri" w:hAnsi="Calibri" w:cs="Calibri"/>
              </w:rPr>
              <w:t>Terrestrial NETPs systems</w:t>
            </w:r>
            <w:r w:rsidRPr="00532290">
              <w:rPr>
                <w:rFonts w:ascii="Calibri" w:hAnsi="Calibri" w:cs="Calibri"/>
              </w:rPr>
              <w:t>}</w:t>
            </w:r>
          </w:p>
        </w:tc>
      </w:tr>
    </w:tbl>
    <w:p w14:paraId="79092ED3" w14:textId="77777777" w:rsidR="00A77106" w:rsidRDefault="00A77106" w:rsidP="00A77106">
      <w:pPr>
        <w:spacing w:after="0" w:line="360" w:lineRule="auto"/>
        <w:rPr>
          <w:rFonts w:ascii="Calibri" w:hAnsi="Calibri" w:cs="Calibri"/>
          <w:b/>
          <w:bCs/>
        </w:rPr>
      </w:pPr>
    </w:p>
    <w:p w14:paraId="70565E71" w14:textId="77777777" w:rsidR="00A77106" w:rsidRPr="00091920" w:rsidRDefault="00A77106" w:rsidP="00A77106">
      <w:pPr>
        <w:spacing w:after="0" w:line="360" w:lineRule="auto"/>
        <w:rPr>
          <w:rFonts w:ascii="Calibri" w:hAnsi="Calibri" w:cs="Calibri"/>
          <w:b/>
          <w:bCs/>
        </w:rPr>
      </w:pPr>
      <w:r w:rsidRPr="00091920">
        <w:rPr>
          <w:rFonts w:ascii="Calibri" w:hAnsi="Calibri" w:cs="Calibri"/>
        </w:rPr>
        <w:t xml:space="preserve">Subsets of set </w:t>
      </w:r>
      <m:oMath>
        <m:r>
          <w:rPr>
            <w:rFonts w:ascii="Cambria Math" w:hAnsi="Cambria Math" w:cs="Calibri"/>
          </w:rPr>
          <m:t>S</m:t>
        </m:r>
      </m:oMath>
      <w:r w:rsidRPr="00091920">
        <w:rPr>
          <w:rFonts w:ascii="Calibri" w:hAnsi="Calibri" w:cs="Calibri"/>
        </w:rPr>
        <w:t>:</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
        <w:gridCol w:w="422"/>
        <w:gridCol w:w="7579"/>
      </w:tblGrid>
      <w:tr w:rsidR="00A77106" w:rsidRPr="008F6870" w14:paraId="65D21BF7" w14:textId="77777777" w:rsidTr="00550962">
        <w:tc>
          <w:tcPr>
            <w:tcW w:w="503" w:type="dxa"/>
          </w:tcPr>
          <w:p w14:paraId="3C7216C1" w14:textId="77777777" w:rsidR="00A77106" w:rsidRPr="00950D72" w:rsidRDefault="00A77106" w:rsidP="00543DFB">
            <w:pPr>
              <w:spacing w:line="360" w:lineRule="auto"/>
              <w:rPr>
                <w:rFonts w:ascii="Calibri" w:eastAsia="Times New Roman" w:hAnsi="Calibri" w:cs="Calibri"/>
              </w:rPr>
            </w:pPr>
            <m:oMathPara>
              <m:oMathParaPr>
                <m:jc m:val="left"/>
              </m:oMathParaPr>
              <m:oMath>
                <m:r>
                  <w:rPr>
                    <w:rFonts w:ascii="Cambria Math" w:eastAsia="Times New Roman" w:hAnsi="Cambria Math" w:cs="Calibri"/>
                  </w:rPr>
                  <m:t>FE</m:t>
                </m:r>
              </m:oMath>
            </m:oMathPara>
          </w:p>
        </w:tc>
        <w:tc>
          <w:tcPr>
            <w:tcW w:w="422" w:type="dxa"/>
          </w:tcPr>
          <w:p w14:paraId="7FDFADC5"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79" w:type="dxa"/>
          </w:tcPr>
          <w:p w14:paraId="431A5F98" w14:textId="77777777" w:rsidR="00A77106" w:rsidRPr="00532290" w:rsidRDefault="00A77106" w:rsidP="00232799">
            <w:pPr>
              <w:spacing w:line="360" w:lineRule="auto"/>
              <w:rPr>
                <w:rFonts w:ascii="Calibri" w:hAnsi="Calibri" w:cs="Calibri"/>
              </w:rPr>
            </w:pPr>
            <w:r w:rsidRPr="00532290">
              <w:rPr>
                <w:rFonts w:ascii="Calibri" w:hAnsi="Calibri" w:cs="Calibri"/>
              </w:rPr>
              <w:t xml:space="preserve">{s: </w:t>
            </w:r>
            <w:r>
              <w:rPr>
                <w:rFonts w:ascii="Calibri" w:hAnsi="Calibri" w:cs="Calibri"/>
              </w:rPr>
              <w:t>Non-greenhouse gas emissions due to forest fires</w:t>
            </w:r>
            <w:r w:rsidRPr="00532290">
              <w:rPr>
                <w:rFonts w:ascii="Calibri" w:hAnsi="Calibri" w:cs="Calibri"/>
              </w:rPr>
              <w:t>}</w:t>
            </w:r>
          </w:p>
        </w:tc>
      </w:tr>
      <w:tr w:rsidR="00A77106" w:rsidRPr="008F6870" w14:paraId="72EAEC17" w14:textId="77777777" w:rsidTr="00550962">
        <w:tc>
          <w:tcPr>
            <w:tcW w:w="503" w:type="dxa"/>
          </w:tcPr>
          <w:p w14:paraId="4887B317" w14:textId="77777777" w:rsidR="00A77106" w:rsidRPr="00532290" w:rsidRDefault="00A77106" w:rsidP="00232799">
            <w:pPr>
              <w:spacing w:line="360" w:lineRule="auto"/>
              <w:rPr>
                <w:rFonts w:ascii="Calibri" w:hAnsi="Calibri" w:cs="Calibri"/>
              </w:rPr>
            </w:pPr>
            <m:oMathPara>
              <m:oMathParaPr>
                <m:jc m:val="left"/>
              </m:oMathParaPr>
              <m:oMath>
                <m:r>
                  <w:rPr>
                    <w:rFonts w:ascii="Cambria Math" w:hAnsi="Cambria Math" w:cs="Calibri"/>
                  </w:rPr>
                  <m:t>J</m:t>
                </m:r>
              </m:oMath>
            </m:oMathPara>
          </w:p>
        </w:tc>
        <w:tc>
          <w:tcPr>
            <w:tcW w:w="422" w:type="dxa"/>
          </w:tcPr>
          <w:p w14:paraId="18EE4376" w14:textId="77777777" w:rsidR="00A77106" w:rsidRPr="00532290" w:rsidRDefault="00A77106" w:rsidP="00232799">
            <w:pPr>
              <w:spacing w:line="360" w:lineRule="auto"/>
              <w:rPr>
                <w:rFonts w:ascii="Calibri" w:hAnsi="Calibri" w:cs="Calibri"/>
              </w:rPr>
            </w:pPr>
            <m:oMathPara>
              <m:oMath>
                <m:r>
                  <w:rPr>
                    <w:rFonts w:ascii="Cambria Math" w:hAnsi="Cambria Math" w:cs="Calibri"/>
                  </w:rPr>
                  <m:t>≔</m:t>
                </m:r>
              </m:oMath>
            </m:oMathPara>
          </w:p>
        </w:tc>
        <w:tc>
          <w:tcPr>
            <w:tcW w:w="7579" w:type="dxa"/>
          </w:tcPr>
          <w:p w14:paraId="079ED200" w14:textId="77777777" w:rsidR="00A77106" w:rsidRPr="00532290" w:rsidRDefault="00A77106" w:rsidP="00232799">
            <w:pPr>
              <w:spacing w:line="360" w:lineRule="auto"/>
              <w:rPr>
                <w:rFonts w:ascii="Calibri" w:hAnsi="Calibri" w:cs="Calibri"/>
              </w:rPr>
            </w:pPr>
            <w:r w:rsidRPr="00532290">
              <w:rPr>
                <w:rFonts w:ascii="Calibri" w:hAnsi="Calibri" w:cs="Calibri"/>
              </w:rPr>
              <w:t>{s: Greenhouse gases}</w:t>
            </w:r>
          </w:p>
        </w:tc>
      </w:tr>
      <w:tr w:rsidR="00A77106" w:rsidRPr="008F6870" w14:paraId="3532FB7A" w14:textId="77777777" w:rsidTr="00550962">
        <w:tc>
          <w:tcPr>
            <w:tcW w:w="503" w:type="dxa"/>
          </w:tcPr>
          <w:p w14:paraId="397020FF" w14:textId="77777777" w:rsidR="00A77106" w:rsidRPr="00950D72" w:rsidRDefault="00A77106" w:rsidP="00232799">
            <w:pPr>
              <w:spacing w:line="360" w:lineRule="auto"/>
              <w:rPr>
                <w:rFonts w:ascii="Calibri" w:eastAsia="Times New Roman" w:hAnsi="Calibri" w:cs="Calibri"/>
              </w:rPr>
            </w:pPr>
            <m:oMathPara>
              <m:oMathParaPr>
                <m:jc m:val="left"/>
              </m:oMathParaPr>
              <m:oMath>
                <m:r>
                  <w:rPr>
                    <w:rFonts w:ascii="Cambria Math" w:eastAsia="Times New Roman" w:hAnsi="Cambria Math" w:cs="Calibri"/>
                  </w:rPr>
                  <m:t>RE</m:t>
                </m:r>
              </m:oMath>
            </m:oMathPara>
          </w:p>
        </w:tc>
        <w:tc>
          <w:tcPr>
            <w:tcW w:w="422" w:type="dxa"/>
          </w:tcPr>
          <w:p w14:paraId="1DAEAD2E" w14:textId="77777777" w:rsidR="00A77106" w:rsidRPr="00532290" w:rsidRDefault="00A77106" w:rsidP="00232799">
            <w:pPr>
              <w:spacing w:line="360" w:lineRule="auto"/>
              <w:rPr>
                <w:rFonts w:ascii="Calibri" w:eastAsia="Times New Roman" w:hAnsi="Calibri" w:cs="Calibri"/>
              </w:rPr>
            </w:pPr>
            <m:oMathPara>
              <m:oMath>
                <m:r>
                  <w:rPr>
                    <w:rFonts w:ascii="Cambria Math" w:hAnsi="Cambria Math" w:cs="Calibri"/>
                  </w:rPr>
                  <m:t>≔</m:t>
                </m:r>
              </m:oMath>
            </m:oMathPara>
          </w:p>
        </w:tc>
        <w:tc>
          <w:tcPr>
            <w:tcW w:w="7579" w:type="dxa"/>
          </w:tcPr>
          <w:p w14:paraId="51368FAF" w14:textId="77777777" w:rsidR="00A77106" w:rsidRPr="00532290" w:rsidRDefault="00A77106" w:rsidP="00232799">
            <w:pPr>
              <w:spacing w:line="360" w:lineRule="auto"/>
              <w:rPr>
                <w:rFonts w:ascii="Calibri" w:hAnsi="Calibri" w:cs="Calibri"/>
              </w:rPr>
            </w:pPr>
            <w:r w:rsidRPr="00532290">
              <w:rPr>
                <w:rFonts w:ascii="Calibri" w:hAnsi="Calibri" w:cs="Calibri"/>
              </w:rPr>
              <w:t xml:space="preserve">{s: </w:t>
            </w:r>
            <w:r>
              <w:rPr>
                <w:rFonts w:ascii="Calibri" w:hAnsi="Calibri" w:cs="Calibri"/>
              </w:rPr>
              <w:t>Emissions due to the rock dissolution</w:t>
            </w:r>
            <w:r w:rsidRPr="00532290">
              <w:rPr>
                <w:rFonts w:ascii="Calibri" w:hAnsi="Calibri" w:cs="Calibri"/>
              </w:rPr>
              <w:t>}</w:t>
            </w:r>
          </w:p>
        </w:tc>
      </w:tr>
    </w:tbl>
    <w:p w14:paraId="7FE6350F" w14:textId="77777777" w:rsidR="00A77106" w:rsidRPr="001F2171" w:rsidRDefault="00A77106" w:rsidP="00A77106">
      <w:pPr>
        <w:spacing w:line="360" w:lineRule="auto"/>
        <w:rPr>
          <w:rFonts w:ascii="Calibri" w:hAnsi="Calibri" w:cs="Calibri"/>
        </w:rPr>
      </w:pPr>
    </w:p>
    <w:p w14:paraId="3D8E7410" w14:textId="77777777" w:rsidR="00A77106" w:rsidRPr="001F2171" w:rsidRDefault="00A77106" w:rsidP="00A77106">
      <w:pPr>
        <w:spacing w:line="360" w:lineRule="auto"/>
        <w:rPr>
          <w:rFonts w:ascii="Calibri" w:hAnsi="Calibri" w:cs="Calibri"/>
        </w:rPr>
      </w:pPr>
    </w:p>
    <w:p w14:paraId="1D076E25" w14:textId="77777777" w:rsidR="00A77106" w:rsidRDefault="00A77106" w:rsidP="00A77106">
      <w:pPr>
        <w:spacing w:after="0" w:line="240" w:lineRule="auto"/>
        <w:jc w:val="center"/>
        <w:rPr>
          <w:rFonts w:ascii="Calibri" w:hAnsi="Calibri" w:cs="Calibri"/>
        </w:rPr>
      </w:pPr>
      <w:r>
        <w:rPr>
          <w:rFonts w:ascii="Calibri" w:hAnsi="Calibri" w:cs="Calibri"/>
          <w:b/>
          <w:bCs/>
        </w:rPr>
        <w:t>S</w:t>
      </w:r>
      <w:r w:rsidRPr="008F6870">
        <w:rPr>
          <w:rFonts w:ascii="Calibri" w:hAnsi="Calibri" w:cs="Calibri"/>
          <w:b/>
          <w:bCs/>
        </w:rPr>
        <w:t xml:space="preserve">upplementary Table </w:t>
      </w:r>
      <w:r>
        <w:rPr>
          <w:rFonts w:ascii="Calibri" w:hAnsi="Calibri" w:cs="Calibri"/>
          <w:b/>
          <w:bCs/>
        </w:rPr>
        <w:t>1</w:t>
      </w:r>
      <w:r w:rsidRPr="008F6870">
        <w:rPr>
          <w:rFonts w:ascii="Calibri" w:hAnsi="Calibri" w:cs="Calibri"/>
          <w:b/>
          <w:bCs/>
        </w:rPr>
        <w:t xml:space="preserve">. </w:t>
      </w:r>
      <w:r>
        <w:rPr>
          <w:rFonts w:ascii="Calibri" w:hAnsi="Calibri" w:cs="Calibri"/>
        </w:rPr>
        <w:t>Parameters and v</w:t>
      </w:r>
      <w:r w:rsidRPr="008F6870">
        <w:rPr>
          <w:rFonts w:ascii="Calibri" w:hAnsi="Calibri" w:cs="Calibri"/>
        </w:rPr>
        <w:t xml:space="preserve">ariables used </w:t>
      </w:r>
      <w:r>
        <w:rPr>
          <w:rFonts w:ascii="Calibri" w:hAnsi="Calibri" w:cs="Calibri"/>
        </w:rPr>
        <w:t>to estimate</w:t>
      </w:r>
    </w:p>
    <w:p w14:paraId="41193D3C" w14:textId="77777777" w:rsidR="00A77106" w:rsidRPr="008F6870" w:rsidRDefault="00A77106" w:rsidP="00A77106">
      <w:pPr>
        <w:spacing w:after="0" w:line="240" w:lineRule="auto"/>
        <w:jc w:val="center"/>
        <w:rPr>
          <w:rFonts w:ascii="Calibri" w:hAnsi="Calibri" w:cs="Calibri"/>
          <w:b/>
          <w:bCs/>
        </w:rPr>
      </w:pPr>
      <w:r>
        <w:rPr>
          <w:rFonts w:ascii="Calibri" w:hAnsi="Calibri" w:cs="Calibri"/>
        </w:rPr>
        <w:t>the greenhouse gas removal efficiency</w:t>
      </w:r>
      <w:r w:rsidRPr="008F6870">
        <w:rPr>
          <w:rFonts w:ascii="Calibri" w:hAnsi="Calibri" w:cs="Calibri"/>
        </w:rPr>
        <w:t>.</w:t>
      </w:r>
    </w:p>
    <w:tbl>
      <w:tblPr>
        <w:tblStyle w:val="Tablanormal2"/>
        <w:tblW w:w="8500" w:type="dxa"/>
        <w:tblLook w:val="04A0" w:firstRow="1" w:lastRow="0" w:firstColumn="1" w:lastColumn="0" w:noHBand="0" w:noVBand="1"/>
      </w:tblPr>
      <w:tblGrid>
        <w:gridCol w:w="1188"/>
        <w:gridCol w:w="5363"/>
        <w:gridCol w:w="1949"/>
      </w:tblGrid>
      <w:tr w:rsidR="00A77106" w:rsidRPr="00EB561D" w14:paraId="64D07FF9" w14:textId="77777777" w:rsidTr="00AC3E5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68" w:type="dxa"/>
          </w:tcPr>
          <w:p w14:paraId="004EFEB1" w14:textId="77777777" w:rsidR="00A77106" w:rsidRPr="00EB561D" w:rsidRDefault="00A77106" w:rsidP="00232799">
            <w:pPr>
              <w:spacing w:line="360" w:lineRule="auto"/>
              <w:rPr>
                <w:rFonts w:ascii="Calibri" w:hAnsi="Calibri" w:cs="Calibri"/>
                <w:sz w:val="22"/>
                <w:szCs w:val="22"/>
              </w:rPr>
            </w:pPr>
            <w:r w:rsidRPr="00EB561D">
              <w:rPr>
                <w:rFonts w:ascii="Calibri" w:hAnsi="Calibri" w:cs="Calibri"/>
                <w:sz w:val="22"/>
                <w:szCs w:val="22"/>
              </w:rPr>
              <w:t>Symbol</w:t>
            </w:r>
          </w:p>
        </w:tc>
        <w:tc>
          <w:tcPr>
            <w:tcW w:w="5511" w:type="dxa"/>
          </w:tcPr>
          <w:p w14:paraId="718D823F" w14:textId="77777777" w:rsidR="00A77106" w:rsidRPr="00EB561D"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Description</w:t>
            </w:r>
          </w:p>
        </w:tc>
        <w:tc>
          <w:tcPr>
            <w:tcW w:w="1967" w:type="dxa"/>
          </w:tcPr>
          <w:p w14:paraId="5CCAA2B2" w14:textId="77777777" w:rsidR="00A77106" w:rsidRPr="00EB561D"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r w:rsidRPr="00EB561D">
              <w:rPr>
                <w:rFonts w:ascii="Calibri" w:hAnsi="Calibri" w:cs="Calibri"/>
                <w:sz w:val="22"/>
                <w:szCs w:val="22"/>
              </w:rPr>
              <w:t>Unit</w:t>
            </w:r>
          </w:p>
        </w:tc>
      </w:tr>
      <w:tr w:rsidR="00A77106" w:rsidRPr="00EB561D" w14:paraId="0DC855FF"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2DCA5038" w14:textId="40D0D422" w:rsidR="00A77106" w:rsidRPr="00EB561D" w:rsidRDefault="00000000" w:rsidP="00232799">
            <w:pPr>
              <w:spacing w:line="360" w:lineRule="auto"/>
              <w:rPr>
                <w:rFonts w:ascii="Calibri" w:hAnsi="Calibri" w:cs="Calibri"/>
                <w:b w:val="0"/>
                <w:bCs w:val="0"/>
                <w:sz w:val="22"/>
                <w:szCs w:val="22"/>
              </w:rPr>
            </w:pPr>
            <m:oMathPara>
              <m:oMathParaPr>
                <m:jc m:val="left"/>
              </m:oMathParaPr>
              <m:oMath>
                <m:sSub>
                  <m:sSubPr>
                    <m:ctrlPr>
                      <w:rPr>
                        <w:rFonts w:ascii="Cambria Math" w:hAnsi="Cambria Math" w:cstheme="minorHAnsi"/>
                        <w:b w:val="0"/>
                        <w:bCs w:val="0"/>
                        <w:i/>
                        <w:sz w:val="22"/>
                        <w:szCs w:val="22"/>
                      </w:rPr>
                    </m:ctrlPr>
                  </m:sSubPr>
                  <m:e>
                    <m:r>
                      <m:rPr>
                        <m:sty m:val="bi"/>
                      </m:rPr>
                      <w:rPr>
                        <w:rFonts w:ascii="Cambria Math" w:hAnsi="Cambria Math" w:cstheme="minorHAnsi"/>
                        <w:sz w:val="22"/>
                        <w:szCs w:val="22"/>
                      </w:rPr>
                      <m:t>a</m:t>
                    </m:r>
                  </m:e>
                  <m:sub>
                    <m:r>
                      <m:rPr>
                        <m:sty m:val="bi"/>
                      </m:rPr>
                      <w:rPr>
                        <w:rFonts w:ascii="Cambria Math" w:hAnsi="Cambria Math" w:cstheme="minorHAnsi"/>
                        <w:sz w:val="22"/>
                        <w:szCs w:val="22"/>
                      </w:rPr>
                      <m:t>0</m:t>
                    </m:r>
                  </m:sub>
                </m:sSub>
              </m:oMath>
            </m:oMathPara>
          </w:p>
        </w:tc>
        <w:tc>
          <w:tcPr>
            <w:tcW w:w="5511" w:type="dxa"/>
          </w:tcPr>
          <w:p w14:paraId="4574493D"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CO</w:t>
            </w:r>
            <w:r w:rsidRPr="00EB561D">
              <w:rPr>
                <w:rFonts w:ascii="Calibri" w:hAnsi="Calibri" w:cs="Calibri"/>
                <w:sz w:val="22"/>
                <w:szCs w:val="22"/>
                <w:vertAlign w:val="subscript"/>
              </w:rPr>
              <w:t>2</w:t>
            </w:r>
            <w:r w:rsidRPr="00EB561D">
              <w:rPr>
                <w:rFonts w:ascii="Calibri" w:hAnsi="Calibri" w:cs="Calibri"/>
                <w:sz w:val="22"/>
                <w:szCs w:val="22"/>
              </w:rPr>
              <w:t xml:space="preserve"> fraction that remains in the atmosphere for an infinite number of years after a pulse emission</w:t>
            </w:r>
          </w:p>
        </w:tc>
        <w:tc>
          <w:tcPr>
            <w:tcW w:w="1967" w:type="dxa"/>
          </w:tcPr>
          <w:p w14:paraId="192A7B49"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w:t>
            </w:r>
          </w:p>
        </w:tc>
      </w:tr>
      <w:tr w:rsidR="00A77106" w:rsidRPr="00EB561D" w14:paraId="4AC650A4"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5997CD22" w14:textId="73E56ED9" w:rsidR="00A77106" w:rsidRPr="00EB561D" w:rsidRDefault="00000000" w:rsidP="00232799">
            <w:pPr>
              <w:spacing w:line="360" w:lineRule="auto"/>
              <w:rPr>
                <w:rFonts w:ascii="Calibri" w:eastAsia="Times New Roman" w:hAnsi="Calibri" w:cs="Calibri"/>
                <w:b w:val="0"/>
                <w:bCs w:val="0"/>
                <w:sz w:val="22"/>
                <w:szCs w:val="22"/>
              </w:rPr>
            </w:pPr>
            <m:oMathPara>
              <m:oMathParaPr>
                <m:jc m:val="left"/>
              </m:oMathParaPr>
              <m:oMath>
                <m:sSub>
                  <m:sSubPr>
                    <m:ctrlPr>
                      <w:rPr>
                        <w:rFonts w:ascii="Cambria Math" w:eastAsia="Yu Mincho" w:hAnsi="Cambria Math" w:cs="Times New Roman"/>
                        <w:b w:val="0"/>
                        <w:bCs w:val="0"/>
                        <w:i/>
                        <w:sz w:val="22"/>
                        <w:szCs w:val="22"/>
                      </w:rPr>
                    </m:ctrlPr>
                  </m:sSubPr>
                  <m:e>
                    <m:r>
                      <m:rPr>
                        <m:sty m:val="bi"/>
                      </m:rPr>
                      <w:rPr>
                        <w:rFonts w:ascii="Cambria Math" w:eastAsia="Yu Mincho" w:hAnsi="Cambria Math" w:cs="Times New Roman"/>
                        <w:sz w:val="22"/>
                        <w:szCs w:val="22"/>
                      </w:rPr>
                      <m:t>a</m:t>
                    </m:r>
                  </m:e>
                  <m:sub>
                    <m:r>
                      <m:rPr>
                        <m:sty m:val="bi"/>
                      </m:rPr>
                      <w:rPr>
                        <w:rFonts w:ascii="Cambria Math" w:eastAsia="Yu Mincho" w:hAnsi="Cambria Math" w:cs="Times New Roman"/>
                        <w:sz w:val="22"/>
                        <w:szCs w:val="22"/>
                      </w:rPr>
                      <m:t>g</m:t>
                    </m:r>
                  </m:sub>
                </m:sSub>
              </m:oMath>
            </m:oMathPara>
          </w:p>
        </w:tc>
        <w:tc>
          <w:tcPr>
            <w:tcW w:w="5511" w:type="dxa"/>
          </w:tcPr>
          <w:p w14:paraId="2FA585B7"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EB561D">
              <w:rPr>
                <w:rFonts w:ascii="Calibri" w:eastAsia="Calibri" w:hAnsi="Calibri" w:cs="Calibri"/>
                <w:sz w:val="22"/>
                <w:szCs w:val="22"/>
              </w:rPr>
              <w:t>CO</w:t>
            </w:r>
            <w:r w:rsidRPr="00EB561D">
              <w:rPr>
                <w:rFonts w:ascii="Calibri" w:eastAsia="Calibri" w:hAnsi="Calibri" w:cs="Calibri"/>
                <w:sz w:val="22"/>
                <w:szCs w:val="22"/>
                <w:vertAlign w:val="subscript"/>
              </w:rPr>
              <w:t>2</w:t>
            </w:r>
            <w:r w:rsidRPr="00EB561D">
              <w:rPr>
                <w:rFonts w:ascii="Calibri" w:eastAsia="Calibri" w:hAnsi="Calibri" w:cs="Calibri"/>
                <w:sz w:val="22"/>
                <w:szCs w:val="22"/>
              </w:rPr>
              <w:t xml:space="preserve"> fraction transferred to carbon sink </w:t>
            </w:r>
            <w:r w:rsidRPr="00EB561D">
              <w:rPr>
                <w:rFonts w:ascii="Calibri" w:eastAsia="Calibri" w:hAnsi="Calibri" w:cs="Calibri"/>
                <w:i/>
                <w:iCs/>
                <w:sz w:val="22"/>
                <w:szCs w:val="22"/>
              </w:rPr>
              <w:t>g</w:t>
            </w:r>
            <w:r w:rsidRPr="00EB561D">
              <w:rPr>
                <w:rFonts w:ascii="Calibri" w:eastAsia="Calibri" w:hAnsi="Calibri" w:cs="Calibri"/>
                <w:sz w:val="22"/>
                <w:szCs w:val="22"/>
              </w:rPr>
              <w:t xml:space="preserve"> an infinite number of years after a pulse emission. </w:t>
            </w:r>
          </w:p>
        </w:tc>
        <w:tc>
          <w:tcPr>
            <w:tcW w:w="1967" w:type="dxa"/>
          </w:tcPr>
          <w:p w14:paraId="7C079AB0"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EB561D">
              <w:rPr>
                <w:rFonts w:ascii="Calibri" w:hAnsi="Calibri" w:cs="Calibri"/>
                <w:sz w:val="22"/>
                <w:szCs w:val="22"/>
              </w:rPr>
              <w:t>–</w:t>
            </w:r>
          </w:p>
        </w:tc>
      </w:tr>
      <w:tr w:rsidR="00A77106" w:rsidRPr="00EB561D" w14:paraId="2C8556EA"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3510836A" w14:textId="675F5F98" w:rsidR="00A77106" w:rsidRPr="00EB561D" w:rsidRDefault="002F5BC0" w:rsidP="00232799">
            <w:pPr>
              <w:spacing w:line="360" w:lineRule="auto"/>
              <w:rPr>
                <w:rFonts w:ascii="Calibri" w:eastAsia="Times New Roman" w:hAnsi="Calibri" w:cs="Calibri"/>
                <w:b w:val="0"/>
                <w:bCs w:val="0"/>
                <w:sz w:val="22"/>
                <w:szCs w:val="22"/>
              </w:rPr>
            </w:pPr>
            <m:oMathPara>
              <m:oMathParaPr>
                <m:jc m:val="left"/>
              </m:oMathParaPr>
              <m:oMath>
                <m:r>
                  <m:rPr>
                    <m:sty m:val="bi"/>
                  </m:rPr>
                  <w:rPr>
                    <w:rFonts w:ascii="Cambria Math" w:eastAsia="Calibri" w:hAnsi="Cambria Math" w:cs="Calibri"/>
                    <w:sz w:val="22"/>
                    <w:szCs w:val="22"/>
                  </w:rPr>
                  <m:t>AGW</m:t>
                </m:r>
                <m:sSubSup>
                  <m:sSubSupPr>
                    <m:ctrlPr>
                      <w:rPr>
                        <w:rFonts w:ascii="Cambria Math" w:eastAsia="Calibri" w:hAnsi="Cambria Math" w:cs="Calibri"/>
                        <w:b w:val="0"/>
                        <w:bCs w:val="0"/>
                        <w:i/>
                        <w:sz w:val="22"/>
                        <w:szCs w:val="22"/>
                      </w:rPr>
                    </m:ctrlPr>
                  </m:sSubSupPr>
                  <m:e>
                    <m:r>
                      <m:rPr>
                        <m:sty m:val="bi"/>
                      </m:rPr>
                      <w:rPr>
                        <w:rFonts w:ascii="Cambria Math" w:eastAsia="Calibri" w:hAnsi="Cambria Math" w:cs="Calibri"/>
                        <w:sz w:val="22"/>
                        <w:szCs w:val="22"/>
                      </w:rPr>
                      <m:t>P</m:t>
                    </m:r>
                  </m:e>
                  <m:sub>
                    <m:r>
                      <m:rPr>
                        <m:sty m:val="bi"/>
                      </m:rPr>
                      <w:rPr>
                        <w:rFonts w:ascii="Cambria Math" w:eastAsia="Calibri" w:hAnsi="Cambria Math" w:cs="Calibri"/>
                        <w:sz w:val="22"/>
                        <w:szCs w:val="22"/>
                      </w:rPr>
                      <m:t>C</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O</m:t>
                        </m:r>
                      </m:e>
                      <m:sub>
                        <m:r>
                          <m:rPr>
                            <m:sty m:val="bi"/>
                          </m:rPr>
                          <w:rPr>
                            <w:rFonts w:ascii="Cambria Math" w:eastAsia="Calibri" w:hAnsi="Cambria Math" w:cs="Calibri"/>
                            <w:sz w:val="22"/>
                            <w:szCs w:val="22"/>
                          </w:rPr>
                          <m:t>2</m:t>
                        </m:r>
                      </m:sub>
                    </m:sSub>
                  </m:sub>
                  <m:sup>
                    <m:r>
                      <m:rPr>
                        <m:sty m:val="bi"/>
                      </m:rPr>
                      <w:rPr>
                        <w:rFonts w:ascii="Cambria Math" w:eastAsia="Calibri" w:hAnsi="Cambria Math" w:cs="Calibri"/>
                        <w:sz w:val="22"/>
                        <w:szCs w:val="22"/>
                      </w:rPr>
                      <m:t>TH</m:t>
                    </m:r>
                  </m:sup>
                </m:sSubSup>
              </m:oMath>
            </m:oMathPara>
          </w:p>
        </w:tc>
        <w:tc>
          <w:tcPr>
            <w:tcW w:w="5511" w:type="dxa"/>
          </w:tcPr>
          <w:p w14:paraId="558E3932" w14:textId="3FBB30A3"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EB561D">
              <w:rPr>
                <w:rFonts w:ascii="Calibri" w:eastAsia="Calibri" w:hAnsi="Calibri" w:cs="Calibri"/>
                <w:sz w:val="22"/>
                <w:szCs w:val="22"/>
              </w:rPr>
              <w:t>Absolute global warming potential of CO</w:t>
            </w:r>
            <w:r w:rsidRPr="00EB561D">
              <w:rPr>
                <w:rFonts w:ascii="Calibri" w:eastAsia="Calibri" w:hAnsi="Calibri" w:cs="Calibri"/>
                <w:sz w:val="22"/>
                <w:szCs w:val="22"/>
                <w:vertAlign w:val="subscript"/>
              </w:rPr>
              <w:t>2</w:t>
            </w:r>
            <w:r w:rsidRPr="00EB561D">
              <w:rPr>
                <w:rFonts w:ascii="Calibri" w:eastAsia="Calibri" w:hAnsi="Calibri" w:cs="Calibri"/>
                <w:sz w:val="22"/>
                <w:szCs w:val="22"/>
              </w:rPr>
              <w:t xml:space="preserve"> </w:t>
            </w:r>
            <w:r w:rsidRPr="001924B6">
              <w:rPr>
                <w:rFonts w:ascii="Calibri" w:eastAsia="Calibri" w:hAnsi="Calibri" w:cs="Calibri"/>
                <w:sz w:val="22"/>
                <w:szCs w:val="22"/>
              </w:rPr>
              <w:t xml:space="preserve">over a </w:t>
            </w:r>
            <w:r w:rsidR="003E442C" w:rsidRPr="001924B6">
              <w:rPr>
                <w:rFonts w:ascii="Calibri" w:eastAsia="Calibri" w:hAnsi="Calibri" w:cs="Calibri"/>
                <w:sz w:val="22"/>
                <w:szCs w:val="22"/>
              </w:rPr>
              <w:t>2</w:t>
            </w:r>
            <w:r w:rsidRPr="001924B6">
              <w:rPr>
                <w:rFonts w:ascii="Calibri" w:eastAsia="Calibri" w:hAnsi="Calibri" w:cs="Calibri"/>
                <w:sz w:val="22"/>
                <w:szCs w:val="22"/>
              </w:rPr>
              <w:t xml:space="preserve">0-year </w:t>
            </w:r>
            <w:r w:rsidRPr="00EB561D">
              <w:rPr>
                <w:rFonts w:ascii="Calibri" w:eastAsia="Calibri" w:hAnsi="Calibri" w:cs="Calibri"/>
                <w:sz w:val="22"/>
                <w:szCs w:val="22"/>
              </w:rPr>
              <w:t>period</w:t>
            </w:r>
          </w:p>
        </w:tc>
        <w:tc>
          <w:tcPr>
            <w:tcW w:w="1967" w:type="dxa"/>
          </w:tcPr>
          <w:p w14:paraId="4C351C23"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roofErr w:type="spellStart"/>
            <w:r w:rsidRPr="00EB561D">
              <w:rPr>
                <w:rFonts w:ascii="Calibri" w:eastAsia="Calibri" w:hAnsi="Calibri" w:cs="Calibri"/>
                <w:sz w:val="22"/>
                <w:szCs w:val="22"/>
              </w:rPr>
              <w:t>W·year</w:t>
            </w:r>
            <w:proofErr w:type="spellEnd"/>
            <w:r w:rsidRPr="00EB561D">
              <w:rPr>
                <w:rFonts w:ascii="Calibri" w:eastAsia="Calibri" w:hAnsi="Calibri" w:cs="Calibri"/>
                <w:sz w:val="22"/>
                <w:szCs w:val="22"/>
              </w:rPr>
              <w:t>/m</w:t>
            </w:r>
            <w:r w:rsidRPr="00EB561D">
              <w:rPr>
                <w:rFonts w:ascii="Calibri" w:eastAsia="Calibri" w:hAnsi="Calibri" w:cs="Calibri"/>
                <w:sz w:val="22"/>
                <w:szCs w:val="22"/>
                <w:vertAlign w:val="superscript"/>
              </w:rPr>
              <w:t>2</w:t>
            </w:r>
            <w:r w:rsidRPr="00EB561D">
              <w:rPr>
                <w:rFonts w:ascii="Calibri" w:eastAsia="Calibri" w:hAnsi="Calibri" w:cs="Calibri"/>
                <w:sz w:val="22"/>
                <w:szCs w:val="22"/>
              </w:rPr>
              <w:t>/kg</w:t>
            </w:r>
          </w:p>
        </w:tc>
      </w:tr>
      <w:tr w:rsidR="00A77106" w:rsidRPr="00EB561D" w14:paraId="18648609"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12640D93" w14:textId="2ACDD785" w:rsidR="00A77106" w:rsidRPr="00EB561D" w:rsidRDefault="002F5BC0" w:rsidP="00232799">
            <w:pPr>
              <w:spacing w:line="360" w:lineRule="auto"/>
              <w:rPr>
                <w:rFonts w:ascii="Calibri" w:eastAsia="Times New Roman" w:hAnsi="Calibri" w:cs="Calibri"/>
                <w:b w:val="0"/>
                <w:bCs w:val="0"/>
                <w:sz w:val="22"/>
                <w:szCs w:val="22"/>
              </w:rPr>
            </w:pPr>
            <m:oMathPara>
              <m:oMath>
                <m:r>
                  <m:rPr>
                    <m:sty m:val="bi"/>
                  </m:rPr>
                  <w:rPr>
                    <w:rFonts w:ascii="Cambria Math" w:eastAsia="Calibri" w:hAnsi="Cambria Math" w:cs="Calibri"/>
                    <w:sz w:val="22"/>
                    <w:szCs w:val="22"/>
                  </w:rPr>
                  <m:t>AGW</m:t>
                </m:r>
                <m:sSubSup>
                  <m:sSubSupPr>
                    <m:ctrlPr>
                      <w:rPr>
                        <w:rFonts w:ascii="Cambria Math" w:eastAsia="Calibri" w:hAnsi="Cambria Math" w:cs="Calibri"/>
                        <w:b w:val="0"/>
                        <w:bCs w:val="0"/>
                        <w:i/>
                        <w:sz w:val="22"/>
                        <w:szCs w:val="22"/>
                      </w:rPr>
                    </m:ctrlPr>
                  </m:sSubSupPr>
                  <m:e>
                    <m:r>
                      <m:rPr>
                        <m:sty m:val="bi"/>
                      </m:rPr>
                      <w:rPr>
                        <w:rFonts w:ascii="Cambria Math" w:eastAsia="Calibri" w:hAnsi="Cambria Math" w:cs="Calibri"/>
                        <w:sz w:val="22"/>
                        <w:szCs w:val="22"/>
                      </w:rPr>
                      <m:t>P</m:t>
                    </m:r>
                  </m:e>
                  <m:sub>
                    <m:r>
                      <m:rPr>
                        <m:sty m:val="bi"/>
                      </m:rPr>
                      <w:rPr>
                        <w:rFonts w:ascii="Cambria Math" w:eastAsia="Calibri" w:hAnsi="Cambria Math" w:cs="Calibri"/>
                        <w:sz w:val="22"/>
                        <w:szCs w:val="22"/>
                      </w:rPr>
                      <m:t>s,t</m:t>
                    </m:r>
                  </m:sub>
                  <m:sup>
                    <m:r>
                      <m:rPr>
                        <m:sty m:val="bi"/>
                      </m:rPr>
                      <w:rPr>
                        <w:rFonts w:ascii="Cambria Math" w:eastAsia="Calibri" w:hAnsi="Cambria Math" w:cs="Calibri"/>
                        <w:sz w:val="22"/>
                        <w:szCs w:val="22"/>
                      </w:rPr>
                      <m:t>T</m:t>
                    </m:r>
                    <m:sSup>
                      <m:sSupPr>
                        <m:ctrlPr>
                          <w:rPr>
                            <w:rFonts w:ascii="Cambria Math" w:eastAsia="Calibri" w:hAnsi="Cambria Math" w:cs="Calibri"/>
                            <w:b w:val="0"/>
                            <w:bCs w:val="0"/>
                            <w:i/>
                            <w:sz w:val="22"/>
                            <w:szCs w:val="22"/>
                          </w:rPr>
                        </m:ctrlPr>
                      </m:sSupPr>
                      <m:e>
                        <m:r>
                          <m:rPr>
                            <m:sty m:val="bi"/>
                          </m:rPr>
                          <w:rPr>
                            <w:rFonts w:ascii="Cambria Math" w:eastAsia="Calibri" w:hAnsi="Cambria Math" w:cs="Calibri"/>
                            <w:sz w:val="22"/>
                            <w:szCs w:val="22"/>
                          </w:rPr>
                          <m:t>H</m:t>
                        </m:r>
                      </m:e>
                      <m:sup>
                        <m:r>
                          <m:rPr>
                            <m:sty m:val="bi"/>
                          </m:rPr>
                          <w:rPr>
                            <w:rFonts w:ascii="Cambria Math" w:eastAsia="Calibri" w:hAnsi="Cambria Math" w:cs="Calibri"/>
                            <w:sz w:val="22"/>
                            <w:szCs w:val="22"/>
                          </w:rPr>
                          <m:t>'</m:t>
                        </m:r>
                      </m:sup>
                    </m:sSup>
                  </m:sup>
                </m:sSubSup>
              </m:oMath>
            </m:oMathPara>
          </w:p>
        </w:tc>
        <w:tc>
          <w:tcPr>
            <w:tcW w:w="5511" w:type="dxa"/>
          </w:tcPr>
          <w:p w14:paraId="23698D95" w14:textId="0DDE06D3"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EB561D">
              <w:rPr>
                <w:rFonts w:ascii="Calibri" w:eastAsia="Calibri" w:hAnsi="Calibri" w:cs="Calibri"/>
                <w:sz w:val="22"/>
                <w:szCs w:val="22"/>
              </w:rPr>
              <w:t xml:space="preserve">Absolute global warming potential of greenhouse gas </w:t>
            </w:r>
            <w:r w:rsidRPr="00EB561D">
              <w:rPr>
                <w:rFonts w:ascii="Calibri" w:eastAsia="Calibri" w:hAnsi="Calibri" w:cs="Calibri"/>
                <w:i/>
                <w:iCs/>
                <w:sz w:val="22"/>
                <w:szCs w:val="22"/>
              </w:rPr>
              <w:t>s</w:t>
            </w:r>
            <w:r w:rsidRPr="00EB561D">
              <w:rPr>
                <w:rFonts w:ascii="Calibri" w:eastAsia="Calibri" w:hAnsi="Calibri" w:cs="Calibri"/>
                <w:sz w:val="22"/>
                <w:szCs w:val="22"/>
              </w:rPr>
              <w:t xml:space="preserve"> emitted or removed in year </w:t>
            </w:r>
            <w:r w:rsidRPr="00EB561D">
              <w:rPr>
                <w:rFonts w:ascii="Calibri" w:eastAsia="Calibri" w:hAnsi="Calibri" w:cs="Calibri"/>
                <w:i/>
                <w:iCs/>
                <w:sz w:val="22"/>
                <w:szCs w:val="22"/>
              </w:rPr>
              <w:t>t</w:t>
            </w:r>
            <w:r w:rsidRPr="00EB561D">
              <w:rPr>
                <w:rFonts w:ascii="Calibri" w:eastAsia="Calibri" w:hAnsi="Calibri" w:cs="Calibri"/>
                <w:sz w:val="22"/>
                <w:szCs w:val="22"/>
              </w:rPr>
              <w:t xml:space="preserve"> and quantified over period </w:t>
            </w:r>
            <m:oMath>
              <m:r>
                <w:rPr>
                  <w:rFonts w:ascii="Cambria Math" w:eastAsia="Calibri" w:hAnsi="Cambria Math" w:cs="Calibri"/>
                  <w:sz w:val="22"/>
                  <w:szCs w:val="22"/>
                </w:rPr>
                <m:t>T</m:t>
              </m:r>
              <m:sSup>
                <m:sSupPr>
                  <m:ctrlPr>
                    <w:rPr>
                      <w:rFonts w:ascii="Cambria Math" w:eastAsia="Calibri" w:hAnsi="Cambria Math" w:cs="Calibri"/>
                      <w:i/>
                      <w:sz w:val="22"/>
                      <w:szCs w:val="22"/>
                    </w:rPr>
                  </m:ctrlPr>
                </m:sSupPr>
                <m:e>
                  <m:r>
                    <w:rPr>
                      <w:rFonts w:ascii="Cambria Math" w:eastAsia="Calibri" w:hAnsi="Cambria Math" w:cs="Calibri"/>
                      <w:sz w:val="22"/>
                      <w:szCs w:val="22"/>
                    </w:rPr>
                    <m:t>H</m:t>
                  </m:r>
                </m:e>
                <m:sup>
                  <m:r>
                    <w:rPr>
                      <w:rFonts w:ascii="Cambria Math" w:eastAsia="Calibri" w:hAnsi="Cambria Math" w:cs="Calibri"/>
                      <w:sz w:val="22"/>
                      <w:szCs w:val="22"/>
                    </w:rPr>
                    <m:t>'</m:t>
                  </m:r>
                </m:sup>
              </m:sSup>
            </m:oMath>
          </w:p>
        </w:tc>
        <w:tc>
          <w:tcPr>
            <w:tcW w:w="1967" w:type="dxa"/>
          </w:tcPr>
          <w:p w14:paraId="2369440E"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roofErr w:type="spellStart"/>
            <w:r w:rsidRPr="00EB561D">
              <w:rPr>
                <w:rFonts w:ascii="Calibri" w:eastAsia="Calibri" w:hAnsi="Calibri" w:cs="Calibri"/>
                <w:sz w:val="22"/>
                <w:szCs w:val="22"/>
              </w:rPr>
              <w:t>W·year</w:t>
            </w:r>
            <w:proofErr w:type="spellEnd"/>
            <w:r w:rsidRPr="00EB561D">
              <w:rPr>
                <w:rFonts w:ascii="Calibri" w:eastAsia="Calibri" w:hAnsi="Calibri" w:cs="Calibri"/>
                <w:sz w:val="22"/>
                <w:szCs w:val="22"/>
              </w:rPr>
              <w:t>/m</w:t>
            </w:r>
            <w:r w:rsidRPr="00EB561D">
              <w:rPr>
                <w:rFonts w:ascii="Calibri" w:eastAsia="Calibri" w:hAnsi="Calibri" w:cs="Calibri"/>
                <w:sz w:val="22"/>
                <w:szCs w:val="22"/>
                <w:vertAlign w:val="superscript"/>
              </w:rPr>
              <w:t>2</w:t>
            </w:r>
            <w:r w:rsidRPr="00EB561D">
              <w:rPr>
                <w:rFonts w:ascii="Calibri" w:eastAsia="Calibri" w:hAnsi="Calibri" w:cs="Calibri"/>
                <w:sz w:val="22"/>
                <w:szCs w:val="22"/>
              </w:rPr>
              <w:t>/kg</w:t>
            </w:r>
          </w:p>
        </w:tc>
      </w:tr>
      <w:tr w:rsidR="00A77106" w:rsidRPr="00EB561D" w14:paraId="37F89E33"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6376BC8B" w14:textId="04A14EDB" w:rsidR="00A77106" w:rsidRPr="00EB561D" w:rsidRDefault="00000000" w:rsidP="00232799">
            <w:pPr>
              <w:spacing w:line="360" w:lineRule="auto"/>
              <w:rPr>
                <w:rFonts w:ascii="Calibri" w:eastAsia="Times New Roman" w:hAnsi="Calibri" w:cs="Calibri"/>
                <w:b w:val="0"/>
                <w:bCs w:val="0"/>
                <w:sz w:val="22"/>
                <w:szCs w:val="22"/>
              </w:rPr>
            </w:pPr>
            <m:oMathPara>
              <m:oMathParaPr>
                <m:jc m:val="left"/>
              </m:oMathParaPr>
              <m:oMath>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C</m:t>
                    </m:r>
                  </m:e>
                  <m:sub>
                    <m:r>
                      <m:rPr>
                        <m:sty m:val="bi"/>
                      </m:rPr>
                      <w:rPr>
                        <w:rFonts w:ascii="Cambria Math" w:eastAsia="Calibri" w:hAnsi="Cambria Math" w:cs="Calibri"/>
                        <w:sz w:val="22"/>
                        <w:szCs w:val="22"/>
                      </w:rPr>
                      <m:t>s,</m:t>
                    </m:r>
                    <m:sSup>
                      <m:sSupPr>
                        <m:ctrlPr>
                          <w:rPr>
                            <w:rFonts w:ascii="Cambria Math" w:eastAsia="Calibri" w:hAnsi="Cambria Math" w:cs="Calibri"/>
                            <w:b w:val="0"/>
                            <w:bCs w:val="0"/>
                            <w:i/>
                            <w:sz w:val="22"/>
                            <w:szCs w:val="22"/>
                          </w:rPr>
                        </m:ctrlPr>
                      </m:sSupPr>
                      <m:e>
                        <m:r>
                          <m:rPr>
                            <m:sty m:val="bi"/>
                          </m:rPr>
                          <w:rPr>
                            <w:rFonts w:ascii="Cambria Math" w:eastAsia="Calibri" w:hAnsi="Cambria Math" w:cs="Calibri"/>
                            <w:sz w:val="22"/>
                            <w:szCs w:val="22"/>
                          </w:rPr>
                          <m:t>t</m:t>
                        </m:r>
                      </m:e>
                      <m:sup>
                        <m:r>
                          <m:rPr>
                            <m:sty m:val="bi"/>
                          </m:rPr>
                          <w:rPr>
                            <w:rFonts w:ascii="Cambria Math" w:eastAsia="Calibri" w:hAnsi="Cambria Math" w:cs="Calibri"/>
                            <w:sz w:val="22"/>
                            <w:szCs w:val="22"/>
                          </w:rPr>
                          <m:t>p</m:t>
                        </m:r>
                      </m:sup>
                    </m:sSup>
                  </m:sub>
                </m:sSub>
              </m:oMath>
            </m:oMathPara>
          </w:p>
        </w:tc>
        <w:tc>
          <w:tcPr>
            <w:tcW w:w="5511" w:type="dxa"/>
          </w:tcPr>
          <w:p w14:paraId="5D2BFFF4" w14:textId="2E26750A" w:rsidR="00A77106" w:rsidRPr="00EB561D"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EB561D">
              <w:rPr>
                <w:rFonts w:ascii="Calibri" w:eastAsia="Calibri" w:hAnsi="Calibri" w:cs="Calibri"/>
                <w:sz w:val="22"/>
                <w:szCs w:val="22"/>
              </w:rPr>
              <w:t xml:space="preserve">Fraction of greenhouse gas </w:t>
            </w:r>
            <w:r w:rsidRPr="00EB561D">
              <w:rPr>
                <w:rFonts w:ascii="Calibri" w:eastAsia="Calibri" w:hAnsi="Calibri" w:cs="Calibri"/>
                <w:i/>
                <w:iCs/>
                <w:sz w:val="22"/>
                <w:szCs w:val="22"/>
              </w:rPr>
              <w:t>s</w:t>
            </w:r>
            <w:r w:rsidRPr="00EB561D">
              <w:rPr>
                <w:rFonts w:ascii="Calibri" w:eastAsia="Calibri" w:hAnsi="Calibri" w:cs="Calibri"/>
                <w:sz w:val="22"/>
                <w:szCs w:val="22"/>
              </w:rPr>
              <w:t xml:space="preserve"> that remains in the atmosphere </w:t>
            </w:r>
            <m:oMath>
              <m:sSup>
                <m:sSupPr>
                  <m:ctrlPr>
                    <w:rPr>
                      <w:rFonts w:ascii="Cambria Math" w:eastAsia="Calibri" w:hAnsi="Cambria Math" w:cs="Calibri"/>
                      <w:i/>
                      <w:sz w:val="22"/>
                      <w:szCs w:val="22"/>
                    </w:rPr>
                  </m:ctrlPr>
                </m:sSupPr>
                <m:e>
                  <m:r>
                    <w:rPr>
                      <w:rFonts w:ascii="Cambria Math" w:eastAsia="Calibri" w:hAnsi="Cambria Math" w:cs="Calibri"/>
                      <w:sz w:val="22"/>
                      <w:szCs w:val="22"/>
                    </w:rPr>
                    <m:t>t</m:t>
                  </m:r>
                </m:e>
                <m:sup>
                  <m:r>
                    <w:rPr>
                      <w:rFonts w:ascii="Cambria Math" w:eastAsia="Calibri" w:hAnsi="Cambria Math" w:cs="Calibri"/>
                      <w:sz w:val="22"/>
                      <w:szCs w:val="22"/>
                    </w:rPr>
                    <m:t>p</m:t>
                  </m:r>
                </m:sup>
              </m:sSup>
            </m:oMath>
            <w:r w:rsidRPr="00EB561D">
              <w:rPr>
                <w:rFonts w:ascii="Calibri" w:eastAsia="Calibri" w:hAnsi="Calibri" w:cs="Calibri"/>
                <w:i/>
                <w:iCs/>
                <w:sz w:val="22"/>
                <w:szCs w:val="22"/>
              </w:rPr>
              <w:t xml:space="preserve"> </w:t>
            </w:r>
            <w:r w:rsidRPr="00EB561D">
              <w:rPr>
                <w:rFonts w:ascii="Calibri" w:eastAsia="Calibri" w:hAnsi="Calibri" w:cs="Calibri"/>
                <w:sz w:val="22"/>
                <w:szCs w:val="22"/>
              </w:rPr>
              <w:t>years after being emitted</w:t>
            </w:r>
          </w:p>
        </w:tc>
        <w:tc>
          <w:tcPr>
            <w:tcW w:w="1967" w:type="dxa"/>
          </w:tcPr>
          <w:p w14:paraId="7C071D36"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w:t>
            </w:r>
          </w:p>
        </w:tc>
      </w:tr>
      <w:tr w:rsidR="00A77106" w:rsidRPr="00EB561D" w14:paraId="2646A63B"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57D9CE7C" w14:textId="458D9B7F" w:rsidR="00A77106" w:rsidRPr="00924693"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CD</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R</m:t>
                    </m:r>
                  </m:e>
                  <m:sub>
                    <m:r>
                      <m:rPr>
                        <m:sty m:val="bi"/>
                      </m:rPr>
                      <w:rPr>
                        <w:rFonts w:ascii="Cambria Math" w:eastAsia="Calibri" w:hAnsi="Cambria Math" w:cs="Calibri"/>
                        <w:sz w:val="22"/>
                        <w:szCs w:val="22"/>
                      </w:rPr>
                      <m:t>i,s,t,y</m:t>
                    </m:r>
                  </m:sub>
                </m:sSub>
              </m:oMath>
            </m:oMathPara>
          </w:p>
        </w:tc>
        <w:tc>
          <w:tcPr>
            <w:tcW w:w="5511" w:type="dxa"/>
          </w:tcPr>
          <w:p w14:paraId="59D36195" w14:textId="77777777"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Gross amount of CO</w:t>
            </w:r>
            <w:r w:rsidRPr="00924693">
              <w:rPr>
                <w:rFonts w:ascii="Calibri" w:eastAsia="Calibri" w:hAnsi="Calibri" w:cs="Calibri"/>
                <w:sz w:val="22"/>
                <w:szCs w:val="22"/>
                <w:vertAlign w:val="subscript"/>
              </w:rPr>
              <w:t>2</w:t>
            </w:r>
            <w:r w:rsidRPr="00924693">
              <w:rPr>
                <w:rFonts w:ascii="Calibri" w:eastAsia="Calibri" w:hAnsi="Calibri" w:cs="Calibri"/>
                <w:sz w:val="22"/>
                <w:szCs w:val="22"/>
              </w:rPr>
              <w:t xml:space="preserve"> removed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1D53789B" w14:textId="51968FAB"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hAnsi="Calibri" w:cs="Calibri"/>
                <w:sz w:val="22"/>
                <w:szCs w:val="22"/>
              </w:rPr>
              <w:t>kg</w:t>
            </w:r>
            <w:r w:rsidR="00F575D2" w:rsidRPr="00924693">
              <w:rPr>
                <w:rFonts w:ascii="Calibri" w:hAnsi="Calibri" w:cs="Calibri"/>
                <w:sz w:val="22"/>
                <w:szCs w:val="22"/>
              </w:rPr>
              <w:t>/functional unit</w:t>
            </w:r>
            <w:r w:rsidR="00F575D2" w:rsidRPr="00DD2CD7">
              <w:rPr>
                <w:rStyle w:val="Refdenotaalpie"/>
              </w:rPr>
              <w:footnoteReference w:id="2"/>
            </w:r>
          </w:p>
        </w:tc>
      </w:tr>
      <w:tr w:rsidR="00A77106" w:rsidRPr="00EB561D" w14:paraId="6B6D6D4F"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7F63E9B1" w14:textId="0FA63452" w:rsidR="00A77106" w:rsidRPr="00EB561D"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GGR</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η</m:t>
                    </m:r>
                  </m:e>
                  <m:sub>
                    <m:r>
                      <m:rPr>
                        <m:sty m:val="bi"/>
                      </m:rPr>
                      <w:rPr>
                        <w:rFonts w:ascii="Cambria Math" w:eastAsia="Calibri" w:hAnsi="Cambria Math" w:cs="Calibri"/>
                        <w:sz w:val="22"/>
                        <w:szCs w:val="22"/>
                      </w:rPr>
                      <m:t>i,t,y</m:t>
                    </m:r>
                  </m:sub>
                </m:sSub>
              </m:oMath>
            </m:oMathPara>
          </w:p>
        </w:tc>
        <w:tc>
          <w:tcPr>
            <w:tcW w:w="5511" w:type="dxa"/>
          </w:tcPr>
          <w:p w14:paraId="37091759" w14:textId="77777777" w:rsidR="00A77106" w:rsidRPr="00EB561D"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 xml:space="preserve">Greenhouse gas removal efficiency </w:t>
            </w:r>
            <w:r w:rsidRPr="00EB561D">
              <w:rPr>
                <w:rFonts w:ascii="Calibri" w:eastAsia="Calibri" w:hAnsi="Calibri" w:cs="Calibri"/>
                <w:sz w:val="22"/>
                <w:szCs w:val="22"/>
              </w:rPr>
              <w:t xml:space="preserve">of Negative Emissions Technology or Practice </w:t>
            </w:r>
            <w:proofErr w:type="spellStart"/>
            <w:r w:rsidRPr="00EB561D">
              <w:rPr>
                <w:rFonts w:ascii="Calibri" w:eastAsia="Calibri" w:hAnsi="Calibri" w:cs="Calibri"/>
                <w:i/>
                <w:iCs/>
                <w:sz w:val="22"/>
                <w:szCs w:val="22"/>
              </w:rPr>
              <w:t>i</w:t>
            </w:r>
            <w:proofErr w:type="spellEnd"/>
            <w:r w:rsidRPr="00EB561D">
              <w:rPr>
                <w:rFonts w:ascii="Calibri" w:eastAsia="Calibri" w:hAnsi="Calibri" w:cs="Calibri"/>
                <w:sz w:val="22"/>
                <w:szCs w:val="22"/>
              </w:rPr>
              <w:t xml:space="preserve"> </w:t>
            </w:r>
            <w:r w:rsidRPr="00EB561D">
              <w:rPr>
                <w:rFonts w:ascii="Calibri" w:eastAsia="Calibri" w:hAnsi="Calibri" w:cs="Calibri"/>
                <w:i/>
                <w:iCs/>
                <w:sz w:val="22"/>
                <w:szCs w:val="22"/>
              </w:rPr>
              <w:t>t</w:t>
            </w:r>
            <w:r w:rsidRPr="00EB561D">
              <w:rPr>
                <w:rFonts w:ascii="Calibri" w:eastAsia="Calibri" w:hAnsi="Calibri" w:cs="Calibri"/>
                <w:sz w:val="22"/>
                <w:szCs w:val="22"/>
              </w:rPr>
              <w:t xml:space="preserve"> years after deployment in year </w:t>
            </w:r>
            <w:r w:rsidRPr="00EB561D">
              <w:rPr>
                <w:rFonts w:ascii="Calibri" w:eastAsia="Calibri" w:hAnsi="Calibri" w:cs="Calibri"/>
                <w:i/>
                <w:iCs/>
                <w:sz w:val="22"/>
                <w:szCs w:val="22"/>
              </w:rPr>
              <w:t>y</w:t>
            </w:r>
          </w:p>
        </w:tc>
        <w:tc>
          <w:tcPr>
            <w:tcW w:w="1967" w:type="dxa"/>
          </w:tcPr>
          <w:p w14:paraId="72D18879"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w:t>
            </w:r>
          </w:p>
        </w:tc>
      </w:tr>
      <w:tr w:rsidR="00A77106" w:rsidRPr="00EB561D" w14:paraId="15F3BE68"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60076A81" w14:textId="1FB3E03D" w:rsidR="00A77106" w:rsidRPr="00924693"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GH</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G</m:t>
                    </m:r>
                  </m:e>
                  <m:sub>
                    <m:r>
                      <m:rPr>
                        <m:sty m:val="bi"/>
                      </m:rPr>
                      <w:rPr>
                        <w:rFonts w:ascii="Cambria Math" w:eastAsia="Calibri" w:hAnsi="Cambria Math" w:cs="Calibri"/>
                        <w:sz w:val="22"/>
                        <w:szCs w:val="22"/>
                      </w:rPr>
                      <m:t>i,s,t,y</m:t>
                    </m:r>
                  </m:sub>
                </m:sSub>
              </m:oMath>
            </m:oMathPara>
          </w:p>
        </w:tc>
        <w:tc>
          <w:tcPr>
            <w:tcW w:w="5511" w:type="dxa"/>
          </w:tcPr>
          <w:p w14:paraId="178DCBFB" w14:textId="77777777"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 xml:space="preserve">Gross amount of greenhouse gas </w:t>
            </w:r>
            <w:r w:rsidRPr="00924693">
              <w:rPr>
                <w:rFonts w:ascii="Calibri" w:eastAsia="Calibri" w:hAnsi="Calibri" w:cs="Calibri"/>
                <w:i/>
                <w:iCs/>
                <w:sz w:val="22"/>
                <w:szCs w:val="22"/>
              </w:rPr>
              <w:t>s</w:t>
            </w:r>
            <w:r w:rsidRPr="00924693">
              <w:rPr>
                <w:rFonts w:ascii="Calibri" w:eastAsia="Calibri" w:hAnsi="Calibri" w:cs="Calibri"/>
                <w:sz w:val="22"/>
                <w:szCs w:val="22"/>
              </w:rPr>
              <w:t xml:space="preserve"> emitted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35D70BFD" w14:textId="5FD04932"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hAnsi="Calibri" w:cs="Calibri"/>
                <w:sz w:val="22"/>
                <w:szCs w:val="22"/>
              </w:rPr>
              <w:t>kg</w:t>
            </w:r>
            <w:r w:rsidR="00F575D2" w:rsidRPr="00924693">
              <w:rPr>
                <w:rFonts w:ascii="Calibri" w:hAnsi="Calibri" w:cs="Calibri"/>
                <w:sz w:val="22"/>
                <w:szCs w:val="22"/>
              </w:rPr>
              <w:t xml:space="preserve">/functional </w:t>
            </w:r>
            <w:proofErr w:type="spellStart"/>
            <w:r w:rsidR="00F575D2" w:rsidRPr="00924693">
              <w:rPr>
                <w:rFonts w:ascii="Calibri" w:hAnsi="Calibri" w:cs="Calibri"/>
                <w:sz w:val="22"/>
                <w:szCs w:val="22"/>
              </w:rPr>
              <w:t>unit</w:t>
            </w:r>
            <w:r w:rsidR="00785BD6" w:rsidRPr="00924693">
              <w:rPr>
                <w:vertAlign w:val="superscript"/>
              </w:rPr>
              <w:t>a</w:t>
            </w:r>
            <w:proofErr w:type="spellEnd"/>
          </w:p>
        </w:tc>
      </w:tr>
      <w:tr w:rsidR="00A77106" w:rsidRPr="00EB561D" w14:paraId="5740C20C"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42DC58EC" w14:textId="6A522C72" w:rsidR="00A77106" w:rsidRPr="00876932"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GW</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P</m:t>
                    </m:r>
                  </m:e>
                  <m:sub>
                    <m:r>
                      <m:rPr>
                        <m:sty m:val="bi"/>
                      </m:rPr>
                      <w:rPr>
                        <w:rFonts w:ascii="Cambria Math" w:eastAsia="Calibri" w:hAnsi="Cambria Math" w:cs="Calibri"/>
                        <w:sz w:val="22"/>
                        <w:szCs w:val="22"/>
                      </w:rPr>
                      <m:t>s,t</m:t>
                    </m:r>
                  </m:sub>
                </m:sSub>
              </m:oMath>
            </m:oMathPara>
          </w:p>
        </w:tc>
        <w:tc>
          <w:tcPr>
            <w:tcW w:w="5511" w:type="dxa"/>
          </w:tcPr>
          <w:p w14:paraId="1A4C37F8" w14:textId="77777777" w:rsidR="00A77106" w:rsidRPr="00876932"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876932">
              <w:rPr>
                <w:rFonts w:ascii="Calibri" w:eastAsia="Calibri" w:hAnsi="Calibri" w:cs="Calibri"/>
                <w:sz w:val="22"/>
                <w:szCs w:val="22"/>
              </w:rPr>
              <w:t xml:space="preserve">Global warming potential of greenhouse gas </w:t>
            </w:r>
            <w:r w:rsidRPr="00876932">
              <w:rPr>
                <w:rFonts w:ascii="Calibri" w:eastAsia="Calibri" w:hAnsi="Calibri" w:cs="Calibri"/>
                <w:i/>
                <w:iCs/>
                <w:sz w:val="22"/>
                <w:szCs w:val="22"/>
              </w:rPr>
              <w:t>s</w:t>
            </w:r>
            <w:r w:rsidRPr="00876932">
              <w:rPr>
                <w:rFonts w:ascii="Calibri" w:eastAsia="Calibri" w:hAnsi="Calibri" w:cs="Calibri"/>
                <w:sz w:val="22"/>
                <w:szCs w:val="22"/>
              </w:rPr>
              <w:t xml:space="preserve"> emitted in year </w:t>
            </w:r>
            <w:r w:rsidRPr="00876932">
              <w:rPr>
                <w:rFonts w:ascii="Calibri" w:eastAsia="Calibri" w:hAnsi="Calibri" w:cs="Calibri"/>
                <w:i/>
                <w:iCs/>
                <w:sz w:val="22"/>
                <w:szCs w:val="22"/>
              </w:rPr>
              <w:t>t</w:t>
            </w:r>
          </w:p>
        </w:tc>
        <w:tc>
          <w:tcPr>
            <w:tcW w:w="1967" w:type="dxa"/>
          </w:tcPr>
          <w:p w14:paraId="790BDD96"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kgCO</w:t>
            </w:r>
            <w:r w:rsidRPr="00EB561D">
              <w:rPr>
                <w:rFonts w:ascii="Calibri" w:hAnsi="Calibri" w:cs="Calibri"/>
                <w:sz w:val="22"/>
                <w:szCs w:val="22"/>
                <w:vertAlign w:val="subscript"/>
              </w:rPr>
              <w:t>2</w:t>
            </w:r>
            <w:r w:rsidRPr="00EB561D">
              <w:rPr>
                <w:rFonts w:ascii="Calibri" w:hAnsi="Calibri" w:cs="Calibri"/>
                <w:sz w:val="22"/>
                <w:szCs w:val="22"/>
              </w:rPr>
              <w:t>eq/kg</w:t>
            </w:r>
          </w:p>
        </w:tc>
      </w:tr>
      <w:tr w:rsidR="00A77106" w:rsidRPr="00EB561D" w14:paraId="5BAA7F1A"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6A611841" w14:textId="15EE8903" w:rsidR="00A77106" w:rsidRPr="00EB561D"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Times New Roman" w:hAnsi="Cambria Math" w:cs="Calibri"/>
                    <w:sz w:val="22"/>
                    <w:szCs w:val="22"/>
                  </w:rPr>
                  <m:t>R</m:t>
                </m:r>
                <m:sSub>
                  <m:sSubPr>
                    <m:ctrlPr>
                      <w:rPr>
                        <w:rFonts w:ascii="Cambria Math" w:eastAsia="Times New Roman" w:hAnsi="Cambria Math" w:cs="Calibri"/>
                        <w:b w:val="0"/>
                        <w:bCs w:val="0"/>
                        <w:i/>
                        <w:sz w:val="22"/>
                        <w:szCs w:val="22"/>
                      </w:rPr>
                    </m:ctrlPr>
                  </m:sSubPr>
                  <m:e>
                    <m:r>
                      <m:rPr>
                        <m:sty m:val="bi"/>
                      </m:rPr>
                      <w:rPr>
                        <w:rFonts w:ascii="Cambria Math" w:eastAsia="Times New Roman" w:hAnsi="Cambria Math" w:cs="Calibri"/>
                        <w:sz w:val="22"/>
                        <w:szCs w:val="22"/>
                      </w:rPr>
                      <m:t>F</m:t>
                    </m:r>
                  </m:e>
                  <m:sub>
                    <m:r>
                      <m:rPr>
                        <m:sty m:val="bi"/>
                      </m:rPr>
                      <w:rPr>
                        <w:rFonts w:ascii="Cambria Math" w:eastAsia="Times New Roman" w:hAnsi="Cambria Math" w:cs="Calibri"/>
                        <w:sz w:val="22"/>
                        <w:szCs w:val="22"/>
                      </w:rPr>
                      <m:t>s</m:t>
                    </m:r>
                  </m:sub>
                </m:sSub>
              </m:oMath>
            </m:oMathPara>
          </w:p>
        </w:tc>
        <w:tc>
          <w:tcPr>
            <w:tcW w:w="5511" w:type="dxa"/>
          </w:tcPr>
          <w:p w14:paraId="29EC63E9"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 xml:space="preserve">Radiative forcing of greenhouse gas </w:t>
            </w:r>
            <w:r w:rsidRPr="00EB561D">
              <w:rPr>
                <w:rFonts w:ascii="Calibri" w:hAnsi="Calibri" w:cs="Calibri"/>
                <w:i/>
                <w:iCs/>
                <w:sz w:val="22"/>
                <w:szCs w:val="22"/>
              </w:rPr>
              <w:t>s</w:t>
            </w:r>
          </w:p>
        </w:tc>
        <w:tc>
          <w:tcPr>
            <w:tcW w:w="1967" w:type="dxa"/>
          </w:tcPr>
          <w:p w14:paraId="6CC1A381"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eastAsia="Calibri" w:hAnsi="Calibri" w:cs="Calibri"/>
                <w:sz w:val="22"/>
                <w:szCs w:val="22"/>
              </w:rPr>
              <w:t>W/m</w:t>
            </w:r>
            <w:r w:rsidRPr="00EB561D">
              <w:rPr>
                <w:rFonts w:ascii="Calibri" w:eastAsia="Calibri" w:hAnsi="Calibri" w:cs="Calibri"/>
                <w:sz w:val="22"/>
                <w:szCs w:val="22"/>
                <w:vertAlign w:val="superscript"/>
              </w:rPr>
              <w:t>2</w:t>
            </w:r>
            <w:r w:rsidRPr="00EB561D">
              <w:rPr>
                <w:rFonts w:ascii="Calibri" w:eastAsia="Calibri" w:hAnsi="Calibri" w:cs="Calibri"/>
                <w:sz w:val="22"/>
                <w:szCs w:val="22"/>
              </w:rPr>
              <w:t>/kg</w:t>
            </w:r>
          </w:p>
        </w:tc>
      </w:tr>
      <w:tr w:rsidR="00A77106" w:rsidRPr="00EB561D" w14:paraId="43729525"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36DAF05F" w14:textId="70A5012F" w:rsidR="00A77106" w:rsidRPr="00EB561D" w:rsidRDefault="002F5BC0" w:rsidP="00232799">
            <w:pPr>
              <w:spacing w:line="360" w:lineRule="auto"/>
              <w:rPr>
                <w:rFonts w:ascii="Calibri" w:eastAsia="Times New Roman" w:hAnsi="Calibri" w:cs="Calibri"/>
                <w:b w:val="0"/>
                <w:bCs w:val="0"/>
                <w:sz w:val="22"/>
                <w:szCs w:val="22"/>
              </w:rPr>
            </w:pPr>
            <m:oMathPara>
              <m:oMathParaPr>
                <m:jc m:val="left"/>
              </m:oMathParaPr>
              <m:oMath>
                <m:r>
                  <m:rPr>
                    <m:sty m:val="bi"/>
                  </m:rPr>
                  <w:rPr>
                    <w:rFonts w:ascii="Cambria Math" w:eastAsia="Calibri" w:hAnsi="Cambria Math" w:cs="Calibri"/>
                    <w:sz w:val="22"/>
                    <w:szCs w:val="22"/>
                  </w:rPr>
                  <w:lastRenderedPageBreak/>
                  <m:t>t</m:t>
                </m:r>
              </m:oMath>
            </m:oMathPara>
          </w:p>
        </w:tc>
        <w:tc>
          <w:tcPr>
            <w:tcW w:w="5511" w:type="dxa"/>
          </w:tcPr>
          <w:p w14:paraId="084443E2"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Number of years after CDR deployment</w:t>
            </w:r>
          </w:p>
        </w:tc>
        <w:tc>
          <w:tcPr>
            <w:tcW w:w="1967" w:type="dxa"/>
          </w:tcPr>
          <w:p w14:paraId="3DECE0A3" w14:textId="1E788E72" w:rsidR="00A77106" w:rsidRPr="00EB561D" w:rsidRDefault="00724852"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w:t>
            </w:r>
            <w:r w:rsidR="00A77106" w:rsidRPr="00EB561D">
              <w:rPr>
                <w:rFonts w:ascii="Calibri" w:hAnsi="Calibri" w:cs="Calibri"/>
                <w:sz w:val="22"/>
                <w:szCs w:val="22"/>
              </w:rPr>
              <w:t>ear</w:t>
            </w:r>
          </w:p>
        </w:tc>
      </w:tr>
      <w:tr w:rsidR="00A77106" w:rsidRPr="00EB561D" w14:paraId="5ABC41F0"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1DD094AB" w14:textId="598423C8" w:rsidR="00A77106" w:rsidRPr="00EB561D" w:rsidRDefault="00000000" w:rsidP="00232799">
            <w:pPr>
              <w:spacing w:line="360" w:lineRule="auto"/>
              <w:rPr>
                <w:rFonts w:ascii="Calibri" w:eastAsia="Times New Roman" w:hAnsi="Calibri" w:cs="Calibri"/>
                <w:b w:val="0"/>
                <w:bCs w:val="0"/>
                <w:sz w:val="22"/>
                <w:szCs w:val="22"/>
              </w:rPr>
            </w:pPr>
            <m:oMathPara>
              <m:oMathParaPr>
                <m:jc m:val="left"/>
              </m:oMathParaPr>
              <m:oMath>
                <m:sSup>
                  <m:sSupPr>
                    <m:ctrlPr>
                      <w:rPr>
                        <w:rFonts w:ascii="Cambria Math" w:eastAsia="Calibri" w:hAnsi="Cambria Math" w:cs="Calibri"/>
                        <w:b w:val="0"/>
                        <w:bCs w:val="0"/>
                        <w:i/>
                        <w:sz w:val="22"/>
                        <w:szCs w:val="22"/>
                      </w:rPr>
                    </m:ctrlPr>
                  </m:sSupPr>
                  <m:e>
                    <m:r>
                      <m:rPr>
                        <m:sty m:val="bi"/>
                      </m:rPr>
                      <w:rPr>
                        <w:rFonts w:ascii="Cambria Math" w:eastAsia="Calibri" w:hAnsi="Cambria Math" w:cs="Calibri"/>
                        <w:sz w:val="22"/>
                        <w:szCs w:val="22"/>
                      </w:rPr>
                      <m:t>t</m:t>
                    </m:r>
                  </m:e>
                  <m:sup>
                    <m:r>
                      <m:rPr>
                        <m:sty m:val="bi"/>
                      </m:rPr>
                      <w:rPr>
                        <w:rFonts w:ascii="Cambria Math" w:eastAsia="Calibri" w:hAnsi="Cambria Math" w:cs="Calibri"/>
                        <w:sz w:val="22"/>
                        <w:szCs w:val="22"/>
                      </w:rPr>
                      <m:t>p</m:t>
                    </m:r>
                  </m:sup>
                </m:sSup>
              </m:oMath>
            </m:oMathPara>
          </w:p>
        </w:tc>
        <w:tc>
          <w:tcPr>
            <w:tcW w:w="5511" w:type="dxa"/>
          </w:tcPr>
          <w:p w14:paraId="65E430FF"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Number of years after pulse emission</w:t>
            </w:r>
          </w:p>
        </w:tc>
        <w:tc>
          <w:tcPr>
            <w:tcW w:w="1967" w:type="dxa"/>
          </w:tcPr>
          <w:p w14:paraId="7E388E69" w14:textId="41D78F5C" w:rsidR="00A77106" w:rsidRPr="00EB561D" w:rsidRDefault="00724852"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w:t>
            </w:r>
            <w:r w:rsidR="00A77106" w:rsidRPr="00EB561D">
              <w:rPr>
                <w:rFonts w:ascii="Calibri" w:hAnsi="Calibri" w:cs="Calibri"/>
                <w:sz w:val="22"/>
                <w:szCs w:val="22"/>
              </w:rPr>
              <w:t>ear</w:t>
            </w:r>
          </w:p>
        </w:tc>
      </w:tr>
      <w:tr w:rsidR="00A77106" w:rsidRPr="00EB561D" w14:paraId="1D3D318E"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33A6E55" w14:textId="0589445B" w:rsidR="00A77106" w:rsidRPr="00EB561D" w:rsidRDefault="00000000" w:rsidP="00221DDD">
            <w:pPr>
              <w:spacing w:line="360" w:lineRule="auto"/>
              <w:jc w:val="both"/>
              <w:rPr>
                <w:rFonts w:ascii="Calibri" w:eastAsia="Times New Roman" w:hAnsi="Calibri" w:cs="Calibri"/>
                <w:b w:val="0"/>
                <w:bCs w:val="0"/>
                <w:sz w:val="22"/>
                <w:szCs w:val="22"/>
              </w:rPr>
            </w:pPr>
            <m:oMathPara>
              <m:oMathParaPr>
                <m:jc m:val="left"/>
              </m:oMathParaPr>
              <m:oMath>
                <m:sSub>
                  <m:sSubPr>
                    <m:ctrlPr>
                      <w:rPr>
                        <w:rFonts w:ascii="Cambria Math" w:eastAsia="Yu Mincho" w:hAnsi="Cambria Math" w:cs="Times New Roman"/>
                        <w:b w:val="0"/>
                        <w:bCs w:val="0"/>
                        <w:i/>
                        <w:sz w:val="22"/>
                        <w:szCs w:val="22"/>
                      </w:rPr>
                    </m:ctrlPr>
                  </m:sSubPr>
                  <m:e>
                    <m:r>
                      <m:rPr>
                        <m:sty m:val="bi"/>
                      </m:rPr>
                      <w:rPr>
                        <w:rFonts w:ascii="Cambria Math" w:eastAsia="Yu Mincho" w:hAnsi="Cambria Math" w:cs="Times New Roman"/>
                        <w:sz w:val="22"/>
                        <w:szCs w:val="22"/>
                      </w:rPr>
                      <m:t>τ</m:t>
                    </m:r>
                  </m:e>
                  <m:sub>
                    <m:r>
                      <m:rPr>
                        <m:sty m:val="bi"/>
                      </m:rPr>
                      <w:rPr>
                        <w:rFonts w:ascii="Cambria Math" w:eastAsia="Yu Mincho" w:hAnsi="Cambria Math" w:cs="Times New Roman"/>
                        <w:sz w:val="22"/>
                        <w:szCs w:val="22"/>
                      </w:rPr>
                      <m:t>g</m:t>
                    </m:r>
                  </m:sub>
                </m:sSub>
              </m:oMath>
            </m:oMathPara>
          </w:p>
        </w:tc>
        <w:tc>
          <w:tcPr>
            <w:tcW w:w="5511" w:type="dxa"/>
          </w:tcPr>
          <w:p w14:paraId="73A753B2"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Lifetime of CO</w:t>
            </w:r>
            <w:r w:rsidRPr="00EB561D">
              <w:rPr>
                <w:rFonts w:ascii="Calibri" w:hAnsi="Calibri" w:cs="Calibri"/>
                <w:sz w:val="22"/>
                <w:szCs w:val="22"/>
                <w:vertAlign w:val="subscript"/>
              </w:rPr>
              <w:t>2</w:t>
            </w:r>
            <w:r w:rsidRPr="00EB561D">
              <w:rPr>
                <w:rFonts w:ascii="Calibri" w:hAnsi="Calibri" w:cs="Calibri"/>
                <w:sz w:val="22"/>
                <w:szCs w:val="22"/>
              </w:rPr>
              <w:t xml:space="preserve"> perturbation in carbon sink </w:t>
            </w:r>
            <w:r w:rsidRPr="00EB561D">
              <w:rPr>
                <w:rFonts w:ascii="Calibri" w:hAnsi="Calibri" w:cs="Calibri"/>
                <w:i/>
                <w:iCs/>
                <w:sz w:val="22"/>
                <w:szCs w:val="22"/>
              </w:rPr>
              <w:t>g</w:t>
            </w:r>
          </w:p>
        </w:tc>
        <w:tc>
          <w:tcPr>
            <w:tcW w:w="1967" w:type="dxa"/>
          </w:tcPr>
          <w:p w14:paraId="7542C2EF" w14:textId="704C940F" w:rsidR="00A77106" w:rsidRPr="00EB561D" w:rsidRDefault="00724852"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w:t>
            </w:r>
            <w:r w:rsidR="00A77106" w:rsidRPr="00EB561D">
              <w:rPr>
                <w:rFonts w:ascii="Calibri" w:hAnsi="Calibri" w:cs="Calibri"/>
                <w:sz w:val="22"/>
                <w:szCs w:val="22"/>
              </w:rPr>
              <w:t>ear</w:t>
            </w:r>
          </w:p>
        </w:tc>
      </w:tr>
      <w:tr w:rsidR="00A77106" w:rsidRPr="00EB561D" w14:paraId="6A9CA728"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4FA2C943" w14:textId="166EAA03" w:rsidR="00A77106" w:rsidRPr="00EB561D" w:rsidRDefault="00000000" w:rsidP="00221DDD">
            <w:pPr>
              <w:spacing w:line="360" w:lineRule="auto"/>
              <w:jc w:val="both"/>
              <w:rPr>
                <w:rFonts w:ascii="Calibri" w:eastAsia="Times New Roman" w:hAnsi="Calibri" w:cs="Calibri"/>
                <w:b w:val="0"/>
                <w:bCs w:val="0"/>
                <w:sz w:val="22"/>
                <w:szCs w:val="22"/>
              </w:rPr>
            </w:pPr>
            <m:oMathPara>
              <m:oMathParaPr>
                <m:jc m:val="left"/>
              </m:oMathParaPr>
              <m:oMath>
                <m:sSub>
                  <m:sSubPr>
                    <m:ctrlPr>
                      <w:rPr>
                        <w:rFonts w:ascii="Cambria Math" w:eastAsia="Yu Mincho" w:hAnsi="Cambria Math" w:cs="Times New Roman"/>
                        <w:b w:val="0"/>
                        <w:bCs w:val="0"/>
                        <w:i/>
                        <w:sz w:val="22"/>
                        <w:szCs w:val="22"/>
                      </w:rPr>
                    </m:ctrlPr>
                  </m:sSubPr>
                  <m:e>
                    <m:r>
                      <m:rPr>
                        <m:sty m:val="bi"/>
                      </m:rPr>
                      <w:rPr>
                        <w:rFonts w:ascii="Cambria Math" w:eastAsia="Yu Mincho" w:hAnsi="Cambria Math" w:cs="Times New Roman"/>
                        <w:sz w:val="22"/>
                        <w:szCs w:val="22"/>
                      </w:rPr>
                      <m:t>τ</m:t>
                    </m:r>
                  </m:e>
                  <m:sub>
                    <m:r>
                      <m:rPr>
                        <m:sty m:val="bi"/>
                      </m:rPr>
                      <w:rPr>
                        <w:rFonts w:ascii="Cambria Math" w:eastAsia="Yu Mincho" w:hAnsi="Cambria Math" w:cs="Times New Roman"/>
                        <w:sz w:val="22"/>
                        <w:szCs w:val="22"/>
                      </w:rPr>
                      <m:t>s</m:t>
                    </m:r>
                  </m:sub>
                </m:sSub>
              </m:oMath>
            </m:oMathPara>
          </w:p>
        </w:tc>
        <w:tc>
          <w:tcPr>
            <w:tcW w:w="5511" w:type="dxa"/>
          </w:tcPr>
          <w:p w14:paraId="330FDD6B" w14:textId="77777777"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 xml:space="preserve">Lifetime of greenhouse gas </w:t>
            </w:r>
            <w:r w:rsidRPr="00EB561D">
              <w:rPr>
                <w:rFonts w:ascii="Calibri" w:hAnsi="Calibri" w:cs="Calibri"/>
                <w:i/>
                <w:iCs/>
                <w:sz w:val="22"/>
                <w:szCs w:val="22"/>
              </w:rPr>
              <w:t>s</w:t>
            </w:r>
            <w:r w:rsidRPr="00EB561D">
              <w:rPr>
                <w:rFonts w:ascii="Calibri" w:hAnsi="Calibri" w:cs="Calibri"/>
                <w:sz w:val="22"/>
                <w:szCs w:val="22"/>
              </w:rPr>
              <w:t xml:space="preserve"> in the atmosphere</w:t>
            </w:r>
          </w:p>
        </w:tc>
        <w:tc>
          <w:tcPr>
            <w:tcW w:w="1967" w:type="dxa"/>
          </w:tcPr>
          <w:p w14:paraId="02AE0FB1" w14:textId="54B2EC4F" w:rsidR="00A77106" w:rsidRPr="00EB561D" w:rsidRDefault="00724852"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w:t>
            </w:r>
            <w:r w:rsidR="00A77106" w:rsidRPr="00EB561D">
              <w:rPr>
                <w:rFonts w:ascii="Calibri" w:hAnsi="Calibri" w:cs="Calibri"/>
                <w:sz w:val="22"/>
                <w:szCs w:val="22"/>
              </w:rPr>
              <w:t>ear</w:t>
            </w:r>
          </w:p>
        </w:tc>
      </w:tr>
      <w:tr w:rsidR="00A77106" w:rsidRPr="00EB561D" w14:paraId="257351EC"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6C589AB" w14:textId="0A12476B" w:rsidR="00A77106" w:rsidRPr="00EB561D"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TH</m:t>
                </m:r>
              </m:oMath>
            </m:oMathPara>
          </w:p>
        </w:tc>
        <w:tc>
          <w:tcPr>
            <w:tcW w:w="5511" w:type="dxa"/>
          </w:tcPr>
          <w:p w14:paraId="333F3153" w14:textId="77777777" w:rsidR="00A77106" w:rsidRPr="00EB561D"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Time horizon</w:t>
            </w:r>
          </w:p>
        </w:tc>
        <w:tc>
          <w:tcPr>
            <w:tcW w:w="1967" w:type="dxa"/>
          </w:tcPr>
          <w:p w14:paraId="1A540C94" w14:textId="4D57B49E" w:rsidR="00A77106" w:rsidRPr="00EB561D" w:rsidRDefault="00724852"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w:t>
            </w:r>
            <w:r w:rsidR="00A77106" w:rsidRPr="00EB561D">
              <w:rPr>
                <w:rFonts w:ascii="Calibri" w:hAnsi="Calibri" w:cs="Calibri"/>
                <w:sz w:val="22"/>
                <w:szCs w:val="22"/>
              </w:rPr>
              <w:t>ear</w:t>
            </w:r>
          </w:p>
        </w:tc>
      </w:tr>
      <w:tr w:rsidR="00A77106" w:rsidRPr="00EB561D" w14:paraId="4D357228"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541AA180" w14:textId="09938C9D" w:rsidR="00A77106" w:rsidRPr="00EB561D"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T</m:t>
                </m:r>
                <m:sSup>
                  <m:sSupPr>
                    <m:ctrlPr>
                      <w:rPr>
                        <w:rFonts w:ascii="Cambria Math" w:eastAsia="Calibri" w:hAnsi="Cambria Math" w:cs="Calibri"/>
                        <w:b w:val="0"/>
                        <w:bCs w:val="0"/>
                        <w:i/>
                        <w:sz w:val="22"/>
                        <w:szCs w:val="22"/>
                      </w:rPr>
                    </m:ctrlPr>
                  </m:sSupPr>
                  <m:e>
                    <m:r>
                      <m:rPr>
                        <m:sty m:val="bi"/>
                      </m:rPr>
                      <w:rPr>
                        <w:rFonts w:ascii="Cambria Math" w:eastAsia="Calibri" w:hAnsi="Cambria Math" w:cs="Calibri"/>
                        <w:sz w:val="22"/>
                        <w:szCs w:val="22"/>
                      </w:rPr>
                      <m:t>H</m:t>
                    </m:r>
                  </m:e>
                  <m:sup>
                    <m:r>
                      <m:rPr>
                        <m:sty m:val="bi"/>
                      </m:rPr>
                      <w:rPr>
                        <w:rFonts w:ascii="Cambria Math" w:eastAsia="Calibri" w:hAnsi="Cambria Math" w:cs="Calibri"/>
                        <w:sz w:val="22"/>
                        <w:szCs w:val="22"/>
                      </w:rPr>
                      <m:t>'</m:t>
                    </m:r>
                  </m:sup>
                </m:sSup>
              </m:oMath>
            </m:oMathPara>
          </w:p>
        </w:tc>
        <w:tc>
          <w:tcPr>
            <w:tcW w:w="5511" w:type="dxa"/>
          </w:tcPr>
          <w:p w14:paraId="1CB29261" w14:textId="4108DB05"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 xml:space="preserve">Time horizon spanning from the year of the emission to the final year of </w:t>
            </w:r>
            <m:oMath>
              <m:r>
                <w:rPr>
                  <w:rFonts w:ascii="Cambria Math" w:hAnsi="Cambria Math" w:cs="Calibri"/>
                  <w:sz w:val="22"/>
                  <w:szCs w:val="22"/>
                </w:rPr>
                <m:t>TH</m:t>
              </m:r>
            </m:oMath>
          </w:p>
        </w:tc>
        <w:tc>
          <w:tcPr>
            <w:tcW w:w="1967" w:type="dxa"/>
          </w:tcPr>
          <w:p w14:paraId="09A655C7" w14:textId="3D7DF9AC" w:rsidR="00A77106" w:rsidRPr="00EB561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B561D">
              <w:rPr>
                <w:rFonts w:ascii="Calibri" w:hAnsi="Calibri" w:cs="Calibri"/>
                <w:sz w:val="22"/>
                <w:szCs w:val="22"/>
              </w:rPr>
              <w:t>year</w:t>
            </w:r>
          </w:p>
        </w:tc>
      </w:tr>
    </w:tbl>
    <w:p w14:paraId="16695195" w14:textId="77777777" w:rsidR="00A77106" w:rsidRDefault="00A77106" w:rsidP="00A77106">
      <w:pPr>
        <w:spacing w:line="360" w:lineRule="auto"/>
        <w:rPr>
          <w:rFonts w:ascii="Calibri" w:hAnsi="Calibri" w:cs="Calibri"/>
          <w:b/>
          <w:bCs/>
        </w:rPr>
      </w:pPr>
    </w:p>
    <w:p w14:paraId="691CE8E8" w14:textId="77777777" w:rsidR="00453711" w:rsidRDefault="00453711" w:rsidP="00A77106">
      <w:pPr>
        <w:spacing w:line="360" w:lineRule="auto"/>
        <w:rPr>
          <w:rFonts w:ascii="Calibri" w:hAnsi="Calibri" w:cs="Calibri"/>
          <w:b/>
          <w:bCs/>
        </w:rPr>
      </w:pPr>
    </w:p>
    <w:p w14:paraId="616B8DEE" w14:textId="77777777" w:rsidR="00A77106" w:rsidRDefault="00A77106" w:rsidP="00A77106">
      <w:pPr>
        <w:spacing w:after="0" w:line="240" w:lineRule="auto"/>
        <w:jc w:val="center"/>
        <w:rPr>
          <w:rFonts w:ascii="Calibri" w:hAnsi="Calibri" w:cs="Calibri"/>
        </w:rPr>
      </w:pPr>
      <w:r>
        <w:rPr>
          <w:rFonts w:ascii="Calibri" w:hAnsi="Calibri" w:cs="Calibri"/>
          <w:b/>
          <w:bCs/>
        </w:rPr>
        <w:t>S</w:t>
      </w:r>
      <w:r w:rsidRPr="008F6870">
        <w:rPr>
          <w:rFonts w:ascii="Calibri" w:hAnsi="Calibri" w:cs="Calibri"/>
          <w:b/>
          <w:bCs/>
        </w:rPr>
        <w:t xml:space="preserve">upplementary Table </w:t>
      </w:r>
      <w:r>
        <w:rPr>
          <w:rFonts w:ascii="Calibri" w:hAnsi="Calibri" w:cs="Calibri"/>
          <w:b/>
          <w:bCs/>
        </w:rPr>
        <w:t>2</w:t>
      </w:r>
      <w:r w:rsidRPr="008F6870">
        <w:rPr>
          <w:rFonts w:ascii="Calibri" w:hAnsi="Calibri" w:cs="Calibri"/>
          <w:b/>
          <w:bCs/>
        </w:rPr>
        <w:t xml:space="preserve">. </w:t>
      </w:r>
      <w:r>
        <w:rPr>
          <w:rFonts w:ascii="Calibri" w:hAnsi="Calibri" w:cs="Calibri"/>
        </w:rPr>
        <w:t>Parameters and v</w:t>
      </w:r>
      <w:r w:rsidRPr="008F6870">
        <w:rPr>
          <w:rFonts w:ascii="Calibri" w:hAnsi="Calibri" w:cs="Calibri"/>
        </w:rPr>
        <w:t xml:space="preserve">ariables used </w:t>
      </w:r>
      <w:r>
        <w:rPr>
          <w:rFonts w:ascii="Calibri" w:hAnsi="Calibri" w:cs="Calibri"/>
        </w:rPr>
        <w:t>to estimate</w:t>
      </w:r>
    </w:p>
    <w:p w14:paraId="7630C444" w14:textId="28B2A454" w:rsidR="00A77106" w:rsidRPr="008F6870" w:rsidRDefault="00A77106" w:rsidP="00A77106">
      <w:pPr>
        <w:spacing w:after="0" w:line="240" w:lineRule="auto"/>
        <w:jc w:val="center"/>
        <w:rPr>
          <w:rFonts w:ascii="Calibri" w:hAnsi="Calibri" w:cs="Calibri"/>
          <w:b/>
          <w:bCs/>
        </w:rPr>
      </w:pPr>
      <w:r>
        <w:rPr>
          <w:rFonts w:ascii="Calibri" w:hAnsi="Calibri" w:cs="Calibri"/>
        </w:rPr>
        <w:t>health and ecosystem impacts</w:t>
      </w:r>
      <w:r w:rsidRPr="008F6870">
        <w:rPr>
          <w:rFonts w:ascii="Calibri" w:hAnsi="Calibri" w:cs="Calibri"/>
        </w:rPr>
        <w:t>.</w:t>
      </w:r>
    </w:p>
    <w:tbl>
      <w:tblPr>
        <w:tblStyle w:val="Tablanormal2"/>
        <w:tblW w:w="8500" w:type="dxa"/>
        <w:tblLook w:val="04A0" w:firstRow="1" w:lastRow="0" w:firstColumn="1" w:lastColumn="0" w:noHBand="0" w:noVBand="1"/>
      </w:tblPr>
      <w:tblGrid>
        <w:gridCol w:w="1213"/>
        <w:gridCol w:w="5324"/>
        <w:gridCol w:w="1963"/>
      </w:tblGrid>
      <w:tr w:rsidR="00A77106" w:rsidRPr="00F60990" w14:paraId="191D7CEC" w14:textId="77777777" w:rsidTr="00AC3E5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68" w:type="dxa"/>
          </w:tcPr>
          <w:p w14:paraId="47E6589E" w14:textId="77777777" w:rsidR="00A77106" w:rsidRPr="00F60990" w:rsidRDefault="00A77106" w:rsidP="00232799">
            <w:pPr>
              <w:spacing w:line="360" w:lineRule="auto"/>
              <w:rPr>
                <w:rFonts w:ascii="Calibri" w:hAnsi="Calibri" w:cs="Calibri"/>
                <w:sz w:val="22"/>
                <w:szCs w:val="22"/>
              </w:rPr>
            </w:pPr>
            <w:r w:rsidRPr="00F60990">
              <w:rPr>
                <w:rFonts w:ascii="Calibri" w:hAnsi="Calibri" w:cs="Calibri"/>
                <w:sz w:val="22"/>
                <w:szCs w:val="22"/>
              </w:rPr>
              <w:t>Symbol</w:t>
            </w:r>
          </w:p>
        </w:tc>
        <w:tc>
          <w:tcPr>
            <w:tcW w:w="5511" w:type="dxa"/>
          </w:tcPr>
          <w:p w14:paraId="6AE27F3C" w14:textId="77777777" w:rsidR="00A77106" w:rsidRPr="00F60990"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Description</w:t>
            </w:r>
          </w:p>
        </w:tc>
        <w:tc>
          <w:tcPr>
            <w:tcW w:w="1967" w:type="dxa"/>
          </w:tcPr>
          <w:p w14:paraId="0E3818D6" w14:textId="77777777" w:rsidR="00A77106" w:rsidRPr="00F60990"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r w:rsidRPr="00F60990">
              <w:rPr>
                <w:rFonts w:ascii="Calibri" w:hAnsi="Calibri" w:cs="Calibri"/>
                <w:sz w:val="22"/>
                <w:szCs w:val="22"/>
              </w:rPr>
              <w:t>Unit</w:t>
            </w:r>
          </w:p>
        </w:tc>
      </w:tr>
      <w:tr w:rsidR="00A77106" w:rsidRPr="00F60990" w14:paraId="6745B3F0"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B4E1F89" w14:textId="0D106723" w:rsidR="00A77106" w:rsidRPr="00924693"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CD</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R</m:t>
                    </m:r>
                  </m:e>
                  <m:sub>
                    <m:r>
                      <m:rPr>
                        <m:sty m:val="bi"/>
                      </m:rPr>
                      <w:rPr>
                        <w:rFonts w:ascii="Cambria Math" w:eastAsia="Calibri" w:hAnsi="Cambria Math" w:cs="Calibri"/>
                        <w:sz w:val="22"/>
                        <w:szCs w:val="22"/>
                      </w:rPr>
                      <m:t>i,s,t,y</m:t>
                    </m:r>
                  </m:sub>
                </m:sSub>
              </m:oMath>
            </m:oMathPara>
          </w:p>
        </w:tc>
        <w:tc>
          <w:tcPr>
            <w:tcW w:w="5511" w:type="dxa"/>
          </w:tcPr>
          <w:p w14:paraId="1F1C8E48" w14:textId="77777777" w:rsidR="00A77106" w:rsidRPr="00924693"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Gross amount of CO</w:t>
            </w:r>
            <w:r w:rsidRPr="00924693">
              <w:rPr>
                <w:rFonts w:ascii="Calibri" w:eastAsia="Calibri" w:hAnsi="Calibri" w:cs="Calibri"/>
                <w:sz w:val="22"/>
                <w:szCs w:val="22"/>
                <w:vertAlign w:val="subscript"/>
              </w:rPr>
              <w:t>2</w:t>
            </w:r>
            <w:r w:rsidRPr="00924693">
              <w:rPr>
                <w:rFonts w:ascii="Calibri" w:eastAsia="Calibri" w:hAnsi="Calibri" w:cs="Calibri"/>
                <w:sz w:val="22"/>
                <w:szCs w:val="22"/>
              </w:rPr>
              <w:t xml:space="preserve"> removed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258B2CE2" w14:textId="3B7F4190" w:rsidR="00A77106" w:rsidRPr="00924693"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924693">
              <w:rPr>
                <w:rFonts w:ascii="Calibri" w:hAnsi="Calibri" w:cs="Calibri"/>
                <w:sz w:val="22"/>
                <w:szCs w:val="22"/>
              </w:rPr>
              <w:t>kg</w:t>
            </w:r>
            <w:r w:rsidR="00AA43EF" w:rsidRPr="00924693">
              <w:rPr>
                <w:rFonts w:ascii="Calibri" w:hAnsi="Calibri" w:cs="Calibri"/>
                <w:sz w:val="22"/>
                <w:szCs w:val="22"/>
              </w:rPr>
              <w:t xml:space="preserve">/functional </w:t>
            </w:r>
            <w:proofErr w:type="spellStart"/>
            <w:r w:rsidR="00AA43EF" w:rsidRPr="00924693">
              <w:rPr>
                <w:rFonts w:ascii="Calibri" w:hAnsi="Calibri" w:cs="Calibri"/>
                <w:sz w:val="22"/>
                <w:szCs w:val="22"/>
              </w:rPr>
              <w:t>unit</w:t>
            </w:r>
            <w:r w:rsidR="00AA43EF" w:rsidRPr="00924693">
              <w:rPr>
                <w:vertAlign w:val="superscript"/>
              </w:rPr>
              <w:t>a</w:t>
            </w:r>
            <w:proofErr w:type="spellEnd"/>
          </w:p>
        </w:tc>
      </w:tr>
      <w:tr w:rsidR="00A77106" w:rsidRPr="00F60990" w14:paraId="0A450D53"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7814F638" w14:textId="5A49A7DD" w:rsidR="00A77106" w:rsidRPr="00F60990" w:rsidRDefault="002F5BC0" w:rsidP="00232799">
            <w:pPr>
              <w:spacing w:line="360" w:lineRule="auto"/>
              <w:jc w:val="both"/>
              <w:rPr>
                <w:rFonts w:ascii="Calibri" w:eastAsia="Times New Roman" w:hAnsi="Calibri" w:cs="Calibri"/>
                <w:b w:val="0"/>
                <w:bCs w:val="0"/>
                <w:sz w:val="22"/>
                <w:szCs w:val="22"/>
              </w:rPr>
            </w:pPr>
            <m:oMathPara>
              <m:oMathParaPr>
                <m:jc m:val="left"/>
              </m:oMathParaPr>
              <m:oMath>
                <m:r>
                  <m:rPr>
                    <m:sty m:val="bi"/>
                  </m:rPr>
                  <w:rPr>
                    <w:rFonts w:ascii="Cambria Math" w:hAnsi="Cambria Math" w:cs="Calibri"/>
                    <w:sz w:val="22"/>
                    <w:szCs w:val="22"/>
                  </w:rPr>
                  <m:t>C</m:t>
                </m:r>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F</m:t>
                    </m:r>
                  </m:e>
                  <m:sub>
                    <m:r>
                      <m:rPr>
                        <m:sty m:val="bi"/>
                      </m:rPr>
                      <w:rPr>
                        <w:rFonts w:ascii="Cambria Math" w:hAnsi="Cambria Math" w:cs="Calibri"/>
                        <w:sz w:val="22"/>
                        <w:szCs w:val="22"/>
                      </w:rPr>
                      <m:t>m,s,t</m:t>
                    </m:r>
                  </m:sub>
                  <m:sup>
                    <m:r>
                      <m:rPr>
                        <m:sty m:val="bi"/>
                      </m:rPr>
                      <w:rPr>
                        <w:rFonts w:ascii="Cambria Math" w:hAnsi="Cambria Math" w:cs="Calibri"/>
                        <w:sz w:val="22"/>
                        <w:szCs w:val="22"/>
                      </w:rPr>
                      <m:t>MID</m:t>
                    </m:r>
                  </m:sup>
                </m:sSubSup>
              </m:oMath>
            </m:oMathPara>
          </w:p>
        </w:tc>
        <w:tc>
          <w:tcPr>
            <w:tcW w:w="5511" w:type="dxa"/>
          </w:tcPr>
          <w:p w14:paraId="5736C218" w14:textId="77777777" w:rsidR="00A77106" w:rsidRPr="0078678D"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78678D">
              <w:rPr>
                <w:rFonts w:ascii="Calibri" w:eastAsia="Calibri" w:hAnsi="Calibri" w:cs="Calibri"/>
                <w:sz w:val="22"/>
                <w:szCs w:val="22"/>
              </w:rPr>
              <w:t xml:space="preserve">Characterization factor quantifying the impacts of elementary flow </w:t>
            </w:r>
            <w:r w:rsidRPr="0078678D">
              <w:rPr>
                <w:rFonts w:ascii="Calibri" w:eastAsia="Calibri" w:hAnsi="Calibri" w:cs="Calibri"/>
                <w:i/>
                <w:iCs/>
                <w:sz w:val="22"/>
                <w:szCs w:val="22"/>
              </w:rPr>
              <w:t>s</w:t>
            </w:r>
            <w:r w:rsidRPr="0078678D">
              <w:rPr>
                <w:rFonts w:ascii="Calibri" w:eastAsia="Calibri" w:hAnsi="Calibri" w:cs="Calibri"/>
                <w:sz w:val="22"/>
                <w:szCs w:val="22"/>
              </w:rPr>
              <w:t xml:space="preserve"> exchanged with the environment </w:t>
            </w:r>
            <w:r w:rsidRPr="0078678D">
              <w:rPr>
                <w:rFonts w:ascii="Calibri" w:eastAsia="Calibri" w:hAnsi="Calibri" w:cs="Calibri"/>
                <w:i/>
                <w:iCs/>
                <w:sz w:val="22"/>
                <w:szCs w:val="22"/>
              </w:rPr>
              <w:t>t</w:t>
            </w:r>
            <w:r w:rsidRPr="0078678D">
              <w:rPr>
                <w:rFonts w:ascii="Calibri" w:eastAsia="Calibri" w:hAnsi="Calibri" w:cs="Calibri"/>
                <w:sz w:val="22"/>
                <w:szCs w:val="22"/>
              </w:rPr>
              <w:t xml:space="preserve"> years after CDR in terms of midpoint impact category </w:t>
            </w:r>
            <w:r w:rsidRPr="0078678D">
              <w:rPr>
                <w:rFonts w:ascii="Calibri" w:eastAsia="Calibri" w:hAnsi="Calibri" w:cs="Calibri"/>
                <w:i/>
                <w:iCs/>
                <w:sz w:val="22"/>
                <w:szCs w:val="22"/>
              </w:rPr>
              <w:t>m</w:t>
            </w:r>
          </w:p>
        </w:tc>
        <w:tc>
          <w:tcPr>
            <w:tcW w:w="1967" w:type="dxa"/>
          </w:tcPr>
          <w:p w14:paraId="6AC10761" w14:textId="77777777" w:rsidR="00A77106" w:rsidRPr="008879C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highlight w:val="green"/>
              </w:rPr>
            </w:pPr>
            <w:r w:rsidRPr="00403B66">
              <w:rPr>
                <w:rFonts w:ascii="Calibri" w:hAnsi="Calibri" w:cs="Calibri"/>
                <w:sz w:val="22"/>
                <w:szCs w:val="22"/>
              </w:rPr>
              <w:t>unit of midpoint impact</w:t>
            </w:r>
            <w:r w:rsidRPr="00DD2CD7">
              <w:rPr>
                <w:rStyle w:val="Refdenotaalpie"/>
              </w:rPr>
              <w:footnoteReference w:id="3"/>
            </w:r>
            <w:r w:rsidRPr="00403B66">
              <w:rPr>
                <w:rFonts w:ascii="Calibri" w:hAnsi="Calibri" w:cs="Calibri"/>
                <w:sz w:val="22"/>
                <w:szCs w:val="22"/>
              </w:rPr>
              <w:t>/</w:t>
            </w:r>
            <w:r w:rsidRPr="00E434F5">
              <w:rPr>
                <w:rFonts w:ascii="Calibri" w:hAnsi="Calibri" w:cs="Calibri"/>
                <w:sz w:val="22"/>
                <w:szCs w:val="22"/>
              </w:rPr>
              <w:t>unit of elementary flow</w:t>
            </w:r>
            <w:r w:rsidRPr="00DD2CD7">
              <w:rPr>
                <w:rStyle w:val="Refdenotaalpie"/>
              </w:rPr>
              <w:footnoteReference w:id="4"/>
            </w:r>
          </w:p>
        </w:tc>
      </w:tr>
      <w:tr w:rsidR="00A77106" w:rsidRPr="00F60990" w14:paraId="36E389F9"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61CF103" w14:textId="4E6EBC47" w:rsidR="00A77106" w:rsidRPr="00F60990" w:rsidRDefault="00000000" w:rsidP="00232799">
            <w:pPr>
              <w:spacing w:line="360" w:lineRule="auto"/>
              <w:rPr>
                <w:rFonts w:ascii="Calibri" w:eastAsia="Times New Roman"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F</m:t>
                    </m:r>
                  </m:e>
                  <m:sub>
                    <m:r>
                      <m:rPr>
                        <m:sty m:val="bi"/>
                      </m:rPr>
                      <w:rPr>
                        <w:rFonts w:ascii="Cambria Math" w:hAnsi="Cambria Math" w:cs="Calibri"/>
                        <w:sz w:val="22"/>
                        <w:szCs w:val="22"/>
                      </w:rPr>
                      <m:t>m,e,s</m:t>
                    </m:r>
                  </m:sub>
                </m:sSub>
              </m:oMath>
            </m:oMathPara>
          </w:p>
        </w:tc>
        <w:tc>
          <w:tcPr>
            <w:tcW w:w="5511" w:type="dxa"/>
          </w:tcPr>
          <w:p w14:paraId="6F56BAFB" w14:textId="77777777"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F60990">
              <w:rPr>
                <w:rFonts w:ascii="Calibri" w:eastAsia="Calibri" w:hAnsi="Calibri" w:cs="Calibri"/>
                <w:sz w:val="22"/>
                <w:szCs w:val="22"/>
              </w:rPr>
              <w:t xml:space="preserve">Factor converting impacts of elementary flow </w:t>
            </w:r>
            <w:r w:rsidRPr="00F60990">
              <w:rPr>
                <w:rFonts w:ascii="Calibri" w:eastAsia="Calibri" w:hAnsi="Calibri" w:cs="Calibri"/>
                <w:i/>
                <w:iCs/>
                <w:sz w:val="22"/>
                <w:szCs w:val="22"/>
              </w:rPr>
              <w:t>s</w:t>
            </w:r>
            <w:r w:rsidRPr="00F60990">
              <w:rPr>
                <w:rFonts w:ascii="Calibri" w:eastAsia="Calibri" w:hAnsi="Calibri" w:cs="Calibri"/>
                <w:sz w:val="22"/>
                <w:szCs w:val="22"/>
              </w:rPr>
              <w:t xml:space="preserve"> in terms of midpoint impact category </w:t>
            </w:r>
            <w:r w:rsidRPr="00F60990">
              <w:rPr>
                <w:rFonts w:ascii="Calibri" w:eastAsia="Calibri" w:hAnsi="Calibri" w:cs="Calibri"/>
                <w:i/>
                <w:iCs/>
                <w:sz w:val="22"/>
                <w:szCs w:val="22"/>
              </w:rPr>
              <w:t>m</w:t>
            </w:r>
            <w:r w:rsidRPr="00F60990">
              <w:rPr>
                <w:rFonts w:ascii="Calibri" w:eastAsia="Calibri" w:hAnsi="Calibri" w:cs="Calibri"/>
                <w:sz w:val="22"/>
                <w:szCs w:val="22"/>
              </w:rPr>
              <w:t xml:space="preserve"> to impacts on endpoint impact category </w:t>
            </w:r>
            <w:r w:rsidRPr="00F60990">
              <w:rPr>
                <w:rFonts w:ascii="Calibri" w:eastAsia="Calibri" w:hAnsi="Calibri" w:cs="Calibri"/>
                <w:i/>
                <w:iCs/>
                <w:sz w:val="22"/>
                <w:szCs w:val="22"/>
              </w:rPr>
              <w:t>e</w:t>
            </w:r>
            <w:r w:rsidRPr="00F60990">
              <w:rPr>
                <w:rFonts w:ascii="Calibri" w:eastAsia="Calibri" w:hAnsi="Calibri" w:cs="Calibri"/>
                <w:sz w:val="22"/>
                <w:szCs w:val="22"/>
              </w:rPr>
              <w:t xml:space="preserve"> </w:t>
            </w:r>
          </w:p>
        </w:tc>
        <w:tc>
          <w:tcPr>
            <w:tcW w:w="1967" w:type="dxa"/>
          </w:tcPr>
          <w:p w14:paraId="6D50268B" w14:textId="3C89F050"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FF0000"/>
                <w:sz w:val="22"/>
                <w:szCs w:val="22"/>
              </w:rPr>
            </w:pPr>
            <w:r w:rsidRPr="00A30C67">
              <w:rPr>
                <w:rFonts w:ascii="Calibri" w:hAnsi="Calibri" w:cs="Calibri"/>
                <w:sz w:val="22"/>
                <w:szCs w:val="22"/>
              </w:rPr>
              <w:t>unit of endpoint impact</w:t>
            </w:r>
            <w:r w:rsidRPr="00DD2CD7">
              <w:rPr>
                <w:rStyle w:val="Refdenotaalpie"/>
              </w:rPr>
              <w:footnoteReference w:id="5"/>
            </w:r>
            <w:r w:rsidRPr="00A30C67">
              <w:rPr>
                <w:rFonts w:ascii="Calibri" w:hAnsi="Calibri" w:cs="Calibri"/>
                <w:sz w:val="22"/>
                <w:szCs w:val="22"/>
              </w:rPr>
              <w:t>/unit</w:t>
            </w:r>
            <w:r w:rsidRPr="006D5D4F">
              <w:rPr>
                <w:rFonts w:ascii="Calibri" w:hAnsi="Calibri" w:cs="Calibri"/>
                <w:sz w:val="22"/>
                <w:szCs w:val="22"/>
              </w:rPr>
              <w:t xml:space="preserve"> of midpoint </w:t>
            </w:r>
            <w:proofErr w:type="spellStart"/>
            <w:r w:rsidRPr="006D5D4F">
              <w:rPr>
                <w:rFonts w:ascii="Calibri" w:hAnsi="Calibri" w:cs="Calibri"/>
                <w:sz w:val="22"/>
                <w:szCs w:val="22"/>
              </w:rPr>
              <w:t>impact</w:t>
            </w:r>
            <w:r w:rsidR="006D5D4F" w:rsidRPr="006D5D4F">
              <w:rPr>
                <w:rFonts w:ascii="Calibri" w:hAnsi="Calibri" w:cs="Calibri"/>
                <w:sz w:val="22"/>
                <w:szCs w:val="22"/>
                <w:vertAlign w:val="superscript"/>
              </w:rPr>
              <w:t>b</w:t>
            </w:r>
            <w:proofErr w:type="spellEnd"/>
          </w:p>
        </w:tc>
      </w:tr>
      <w:tr w:rsidR="00A77106" w:rsidRPr="00F60990" w14:paraId="7678D844"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5230E973" w14:textId="48863ABE" w:rsidR="00A77106" w:rsidRPr="00924693"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GH</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G</m:t>
                    </m:r>
                  </m:e>
                  <m:sub>
                    <m:r>
                      <m:rPr>
                        <m:sty m:val="bi"/>
                      </m:rPr>
                      <w:rPr>
                        <w:rFonts w:ascii="Cambria Math" w:eastAsia="Calibri" w:hAnsi="Cambria Math" w:cs="Calibri"/>
                        <w:sz w:val="22"/>
                        <w:szCs w:val="22"/>
                      </w:rPr>
                      <m:t>i,s,t,y</m:t>
                    </m:r>
                  </m:sub>
                </m:sSub>
              </m:oMath>
            </m:oMathPara>
          </w:p>
        </w:tc>
        <w:tc>
          <w:tcPr>
            <w:tcW w:w="5511" w:type="dxa"/>
          </w:tcPr>
          <w:p w14:paraId="3978D25F" w14:textId="77777777"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 xml:space="preserve">Gross amount of greenhouse gas </w:t>
            </w:r>
            <w:r w:rsidRPr="00924693">
              <w:rPr>
                <w:rFonts w:ascii="Calibri" w:eastAsia="Calibri" w:hAnsi="Calibri" w:cs="Calibri"/>
                <w:i/>
                <w:iCs/>
                <w:sz w:val="22"/>
                <w:szCs w:val="22"/>
              </w:rPr>
              <w:t>s</w:t>
            </w:r>
            <w:r w:rsidRPr="00924693">
              <w:rPr>
                <w:rFonts w:ascii="Calibri" w:eastAsia="Calibri" w:hAnsi="Calibri" w:cs="Calibri"/>
                <w:sz w:val="22"/>
                <w:szCs w:val="22"/>
              </w:rPr>
              <w:t xml:space="preserve"> emitted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6B2B4812" w14:textId="1C02FDE4"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hAnsi="Calibri" w:cs="Calibri"/>
                <w:sz w:val="22"/>
                <w:szCs w:val="22"/>
              </w:rPr>
              <w:t>kg</w:t>
            </w:r>
            <w:r w:rsidR="00AA43EF" w:rsidRPr="00924693">
              <w:rPr>
                <w:rFonts w:ascii="Calibri" w:hAnsi="Calibri" w:cs="Calibri"/>
                <w:sz w:val="22"/>
                <w:szCs w:val="22"/>
              </w:rPr>
              <w:t xml:space="preserve">/functional </w:t>
            </w:r>
            <w:proofErr w:type="spellStart"/>
            <w:r w:rsidR="00AA43EF" w:rsidRPr="00924693">
              <w:rPr>
                <w:rFonts w:ascii="Calibri" w:hAnsi="Calibri" w:cs="Calibri"/>
                <w:sz w:val="22"/>
                <w:szCs w:val="22"/>
              </w:rPr>
              <w:t>unit</w:t>
            </w:r>
            <w:r w:rsidR="00AA43EF" w:rsidRPr="00924693">
              <w:rPr>
                <w:vertAlign w:val="superscript"/>
              </w:rPr>
              <w:t>a</w:t>
            </w:r>
            <w:proofErr w:type="spellEnd"/>
          </w:p>
        </w:tc>
      </w:tr>
      <w:tr w:rsidR="00A77106" w:rsidRPr="00F60990" w14:paraId="19E49CF0"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50DA11E" w14:textId="217636DD" w:rsidR="00A77106" w:rsidRPr="00F60990" w:rsidRDefault="002F5BC0"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GW</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P</m:t>
                    </m:r>
                  </m:e>
                  <m:sub>
                    <m:r>
                      <m:rPr>
                        <m:sty m:val="bi"/>
                      </m:rPr>
                      <w:rPr>
                        <w:rFonts w:ascii="Cambria Math" w:eastAsia="Calibri" w:hAnsi="Cambria Math" w:cs="Calibri"/>
                        <w:sz w:val="22"/>
                        <w:szCs w:val="22"/>
                      </w:rPr>
                      <m:t>s,t</m:t>
                    </m:r>
                  </m:sub>
                </m:sSub>
              </m:oMath>
            </m:oMathPara>
          </w:p>
        </w:tc>
        <w:tc>
          <w:tcPr>
            <w:tcW w:w="5511" w:type="dxa"/>
          </w:tcPr>
          <w:p w14:paraId="46EAAB7A" w14:textId="77777777"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eastAsia="Calibri" w:hAnsi="Calibri" w:cs="Calibri"/>
                <w:sz w:val="22"/>
                <w:szCs w:val="22"/>
              </w:rPr>
              <w:t xml:space="preserve">Global warming potential of greenhouse gas </w:t>
            </w:r>
            <w:r w:rsidRPr="00F60990">
              <w:rPr>
                <w:rFonts w:ascii="Calibri" w:eastAsia="Calibri" w:hAnsi="Calibri" w:cs="Calibri"/>
                <w:i/>
                <w:iCs/>
                <w:sz w:val="22"/>
                <w:szCs w:val="22"/>
              </w:rPr>
              <w:t>s</w:t>
            </w:r>
            <w:r w:rsidRPr="00F60990">
              <w:rPr>
                <w:rFonts w:ascii="Calibri" w:eastAsia="Calibri" w:hAnsi="Calibri" w:cs="Calibri"/>
                <w:sz w:val="22"/>
                <w:szCs w:val="22"/>
              </w:rPr>
              <w:t xml:space="preserve"> emitted in year </w:t>
            </w:r>
            <w:r w:rsidRPr="00F60990">
              <w:rPr>
                <w:rFonts w:ascii="Calibri" w:eastAsia="Calibri" w:hAnsi="Calibri" w:cs="Calibri"/>
                <w:i/>
                <w:iCs/>
                <w:sz w:val="22"/>
                <w:szCs w:val="22"/>
              </w:rPr>
              <w:t>t</w:t>
            </w:r>
          </w:p>
        </w:tc>
        <w:tc>
          <w:tcPr>
            <w:tcW w:w="1967" w:type="dxa"/>
          </w:tcPr>
          <w:p w14:paraId="33C14E46" w14:textId="77777777"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kgCO</w:t>
            </w:r>
            <w:r w:rsidRPr="00F60990">
              <w:rPr>
                <w:rFonts w:ascii="Calibri" w:hAnsi="Calibri" w:cs="Calibri"/>
                <w:sz w:val="22"/>
                <w:szCs w:val="22"/>
                <w:vertAlign w:val="subscript"/>
              </w:rPr>
              <w:t>2</w:t>
            </w:r>
            <w:r w:rsidRPr="00F60990">
              <w:rPr>
                <w:rFonts w:ascii="Calibri" w:hAnsi="Calibri" w:cs="Calibri"/>
                <w:sz w:val="22"/>
                <w:szCs w:val="22"/>
              </w:rPr>
              <w:t>eq/kg</w:t>
            </w:r>
          </w:p>
        </w:tc>
      </w:tr>
      <w:tr w:rsidR="00A77106" w:rsidRPr="00F60990" w14:paraId="63E80075"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72655DEE" w14:textId="0C20E60E" w:rsidR="00A77106" w:rsidRPr="00F60990" w:rsidRDefault="00000000" w:rsidP="00232799">
            <w:pPr>
              <w:spacing w:line="360" w:lineRule="auto"/>
              <w:rPr>
                <w:rFonts w:ascii="Calibri" w:eastAsia="Yu Mincho" w:hAnsi="Calibri" w:cs="Calibri"/>
                <w:b w:val="0"/>
                <w:bCs w:val="0"/>
                <w:sz w:val="22"/>
                <w:szCs w:val="22"/>
              </w:rPr>
            </w:pPr>
            <m:oMathPara>
              <m:oMathParaPr>
                <m:jc m:val="left"/>
              </m:oMathParaPr>
              <m:oMath>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I</m:t>
                    </m:r>
                  </m:e>
                  <m:sub>
                    <m:r>
                      <m:rPr>
                        <m:sty m:val="bi"/>
                      </m:rPr>
                      <w:rPr>
                        <w:rFonts w:ascii="Cambria Math" w:hAnsi="Cambria Math" w:cs="Calibri"/>
                        <w:sz w:val="22"/>
                        <w:szCs w:val="22"/>
                      </w:rPr>
                      <m:t>i,e,y</m:t>
                    </m:r>
                  </m:sub>
                  <m:sup>
                    <m:r>
                      <m:rPr>
                        <m:sty m:val="bi"/>
                      </m:rPr>
                      <w:rPr>
                        <w:rFonts w:ascii="Cambria Math" w:hAnsi="Cambria Math" w:cs="Calibri"/>
                        <w:sz w:val="22"/>
                        <w:szCs w:val="22"/>
                      </w:rPr>
                      <m:t>END</m:t>
                    </m:r>
                  </m:sup>
                </m:sSubSup>
              </m:oMath>
            </m:oMathPara>
          </w:p>
        </w:tc>
        <w:tc>
          <w:tcPr>
            <w:tcW w:w="5511" w:type="dxa"/>
          </w:tcPr>
          <w:p w14:paraId="35D15CE3" w14:textId="77777777" w:rsidR="00A77106" w:rsidRPr="00F6099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F60990">
              <w:rPr>
                <w:rFonts w:ascii="Calibri" w:eastAsia="Calibri" w:hAnsi="Calibri" w:cs="Calibri"/>
                <w:sz w:val="22"/>
                <w:szCs w:val="22"/>
              </w:rPr>
              <w:t xml:space="preserve">Endpoint impact </w:t>
            </w:r>
            <w:r w:rsidRPr="00F60990">
              <w:rPr>
                <w:rFonts w:ascii="Calibri" w:eastAsia="Calibri" w:hAnsi="Calibri" w:cs="Calibri"/>
                <w:i/>
                <w:iCs/>
                <w:sz w:val="22"/>
                <w:szCs w:val="22"/>
              </w:rPr>
              <w:t>e</w:t>
            </w:r>
            <w:r w:rsidRPr="00F60990">
              <w:rPr>
                <w:rFonts w:ascii="Calibri" w:eastAsia="Calibri" w:hAnsi="Calibri" w:cs="Calibri"/>
                <w:sz w:val="22"/>
                <w:szCs w:val="22"/>
              </w:rPr>
              <w:t xml:space="preserve"> of NETP </w:t>
            </w:r>
            <w:proofErr w:type="spellStart"/>
            <w:r w:rsidRPr="00F60990">
              <w:rPr>
                <w:rFonts w:ascii="Calibri" w:eastAsia="Calibri" w:hAnsi="Calibri" w:cs="Calibri"/>
                <w:i/>
                <w:iCs/>
                <w:sz w:val="22"/>
                <w:szCs w:val="22"/>
              </w:rPr>
              <w:t>i</w:t>
            </w:r>
            <w:proofErr w:type="spellEnd"/>
            <w:r w:rsidRPr="00F60990">
              <w:rPr>
                <w:rFonts w:ascii="Calibri" w:eastAsia="Calibri" w:hAnsi="Calibri" w:cs="Calibri"/>
                <w:sz w:val="22"/>
                <w:szCs w:val="22"/>
              </w:rPr>
              <w:t xml:space="preserve"> deployed in year </w:t>
            </w:r>
            <w:r w:rsidRPr="00F60990">
              <w:rPr>
                <w:rFonts w:ascii="Calibri" w:eastAsia="Calibri" w:hAnsi="Calibri" w:cs="Calibri"/>
                <w:i/>
                <w:iCs/>
                <w:sz w:val="22"/>
                <w:szCs w:val="22"/>
              </w:rPr>
              <w:t>y</w:t>
            </w:r>
          </w:p>
        </w:tc>
        <w:tc>
          <w:tcPr>
            <w:tcW w:w="1967" w:type="dxa"/>
          </w:tcPr>
          <w:p w14:paraId="3BE539D2" w14:textId="1B893879" w:rsidR="00A77106" w:rsidRPr="00F6099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A30C67">
              <w:rPr>
                <w:rFonts w:ascii="Calibri" w:hAnsi="Calibri" w:cs="Calibri"/>
                <w:sz w:val="22"/>
                <w:szCs w:val="22"/>
              </w:rPr>
              <w:t xml:space="preserve">unit of endpoint </w:t>
            </w:r>
            <w:proofErr w:type="spellStart"/>
            <w:r w:rsidRPr="00A30C67">
              <w:rPr>
                <w:rFonts w:ascii="Calibri" w:hAnsi="Calibri" w:cs="Calibri"/>
                <w:sz w:val="22"/>
                <w:szCs w:val="22"/>
              </w:rPr>
              <w:t>impact</w:t>
            </w:r>
            <w:r w:rsidR="00A30C67" w:rsidRPr="00A30C67">
              <w:rPr>
                <w:rFonts w:ascii="Calibri" w:hAnsi="Calibri" w:cs="Calibri"/>
                <w:sz w:val="22"/>
                <w:szCs w:val="22"/>
                <w:vertAlign w:val="superscript"/>
              </w:rPr>
              <w:t>d</w:t>
            </w:r>
            <w:proofErr w:type="spellEnd"/>
            <w:r w:rsidRPr="00A30C67">
              <w:rPr>
                <w:rFonts w:ascii="Calibri" w:hAnsi="Calibri" w:cs="Calibri"/>
                <w:sz w:val="22"/>
                <w:szCs w:val="22"/>
              </w:rPr>
              <w:t xml:space="preserve">/functional </w:t>
            </w:r>
            <w:proofErr w:type="spellStart"/>
            <w:r w:rsidRPr="00A30C67">
              <w:rPr>
                <w:rFonts w:ascii="Calibri" w:hAnsi="Calibri" w:cs="Calibri"/>
                <w:sz w:val="22"/>
                <w:szCs w:val="22"/>
              </w:rPr>
              <w:t>unit</w:t>
            </w:r>
            <w:r w:rsidR="00965592" w:rsidRPr="00A30C67">
              <w:rPr>
                <w:vertAlign w:val="superscript"/>
              </w:rPr>
              <w:t>a</w:t>
            </w:r>
            <w:proofErr w:type="spellEnd"/>
          </w:p>
        </w:tc>
      </w:tr>
      <w:tr w:rsidR="00A77106" w:rsidRPr="00F60990" w14:paraId="4A5587CC"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56667A2B" w14:textId="3FF2D233" w:rsidR="00A77106" w:rsidRPr="00F60990"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k</m:t>
                    </m:r>
                  </m:e>
                  <m:sub>
                    <m:r>
                      <m:rPr>
                        <m:sty m:val="bi"/>
                      </m:rPr>
                      <w:rPr>
                        <w:rFonts w:ascii="Cambria Math" w:hAnsi="Cambria Math" w:cs="Calibri"/>
                        <w:sz w:val="22"/>
                        <w:szCs w:val="22"/>
                      </w:rPr>
                      <m:t>CFC</m:t>
                    </m:r>
                    <m:r>
                      <m:rPr>
                        <m:sty m:val="bi"/>
                      </m:rPr>
                      <w:rPr>
                        <w:rFonts w:ascii="Cambria Math" w:hAnsi="Cambria Math" w:cs="Calibri"/>
                        <w:sz w:val="22"/>
                        <w:szCs w:val="22"/>
                      </w:rPr>
                      <m:t>11</m:t>
                    </m:r>
                  </m:sub>
                </m:sSub>
              </m:oMath>
            </m:oMathPara>
          </w:p>
        </w:tc>
        <w:tc>
          <w:tcPr>
            <w:tcW w:w="5511" w:type="dxa"/>
          </w:tcPr>
          <w:p w14:paraId="3469B284" w14:textId="77777777" w:rsidR="00A77106" w:rsidRPr="00F60990"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Inverse of CFC-11 atmospheric lifetime</w:t>
            </w:r>
          </w:p>
        </w:tc>
        <w:tc>
          <w:tcPr>
            <w:tcW w:w="1967" w:type="dxa"/>
          </w:tcPr>
          <w:p w14:paraId="55F24533" w14:textId="172BEE6E"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year</w:t>
            </w:r>
            <w:r w:rsidRPr="00F60990">
              <w:rPr>
                <w:rFonts w:ascii="Calibri" w:hAnsi="Calibri" w:cs="Calibri"/>
                <w:sz w:val="22"/>
                <w:szCs w:val="22"/>
                <w:vertAlign w:val="superscript"/>
              </w:rPr>
              <w:t>-1</w:t>
            </w:r>
          </w:p>
        </w:tc>
      </w:tr>
      <w:tr w:rsidR="00A77106" w:rsidRPr="00F60990" w14:paraId="0A28342D"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4E4787E2" w14:textId="5C4005E4" w:rsidR="00A77106" w:rsidRPr="00F60990"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k</m:t>
                    </m:r>
                  </m:e>
                  <m:sub>
                    <m:sSub>
                      <m:sSubPr>
                        <m:ctrlPr>
                          <w:rPr>
                            <w:rFonts w:ascii="Cambria Math" w:hAnsi="Cambria Math" w:cs="Calibri"/>
                            <w:b w:val="0"/>
                            <w:bCs w:val="0"/>
                            <w:i/>
                            <w:sz w:val="22"/>
                            <w:szCs w:val="22"/>
                          </w:rPr>
                        </m:ctrlPr>
                      </m:sSubPr>
                      <m:e>
                        <m:r>
                          <m:rPr>
                            <m:sty m:val="bi"/>
                          </m:rPr>
                          <w:rPr>
                            <w:rFonts w:ascii="Cambria Math" w:hAnsi="Cambria Math" w:cs="Calibri"/>
                            <w:sz w:val="22"/>
                            <w:szCs w:val="22"/>
                          </w:rPr>
                          <m:t>N</m:t>
                        </m:r>
                      </m:e>
                      <m:sub>
                        <m:r>
                          <m:rPr>
                            <m:sty m:val="bi"/>
                          </m:rPr>
                          <w:rPr>
                            <w:rFonts w:ascii="Cambria Math" w:hAnsi="Cambria Math" w:cs="Calibri"/>
                            <w:sz w:val="22"/>
                            <w:szCs w:val="22"/>
                          </w:rPr>
                          <m:t>2</m:t>
                        </m:r>
                      </m:sub>
                    </m:sSub>
                    <m:r>
                      <m:rPr>
                        <m:sty m:val="bi"/>
                      </m:rPr>
                      <w:rPr>
                        <w:rFonts w:ascii="Cambria Math" w:hAnsi="Cambria Math" w:cs="Calibri"/>
                        <w:sz w:val="22"/>
                        <w:szCs w:val="22"/>
                      </w:rPr>
                      <m:t>O</m:t>
                    </m:r>
                  </m:sub>
                </m:sSub>
              </m:oMath>
            </m:oMathPara>
          </w:p>
        </w:tc>
        <w:tc>
          <w:tcPr>
            <w:tcW w:w="5511" w:type="dxa"/>
          </w:tcPr>
          <w:p w14:paraId="2934BCB9" w14:textId="77777777" w:rsidR="00A77106" w:rsidRPr="00F60990"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Inverse of N</w:t>
            </w:r>
            <w:r w:rsidRPr="00F60990">
              <w:rPr>
                <w:rFonts w:ascii="Calibri" w:hAnsi="Calibri" w:cs="Calibri"/>
                <w:sz w:val="22"/>
                <w:szCs w:val="22"/>
                <w:vertAlign w:val="subscript"/>
              </w:rPr>
              <w:t>2</w:t>
            </w:r>
            <w:r w:rsidRPr="00F60990">
              <w:rPr>
                <w:rFonts w:ascii="Calibri" w:hAnsi="Calibri" w:cs="Calibri"/>
                <w:sz w:val="22"/>
                <w:szCs w:val="22"/>
              </w:rPr>
              <w:t>O atmospheric lifetime</w:t>
            </w:r>
          </w:p>
        </w:tc>
        <w:tc>
          <w:tcPr>
            <w:tcW w:w="1967" w:type="dxa"/>
          </w:tcPr>
          <w:p w14:paraId="6738D3F4" w14:textId="0B66B420" w:rsidR="00A77106" w:rsidRPr="00F6099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year</w:t>
            </w:r>
            <w:r w:rsidRPr="00F60990">
              <w:rPr>
                <w:rFonts w:ascii="Calibri" w:hAnsi="Calibri" w:cs="Calibri"/>
                <w:sz w:val="22"/>
                <w:szCs w:val="22"/>
                <w:vertAlign w:val="superscript"/>
              </w:rPr>
              <w:t>-1</w:t>
            </w:r>
          </w:p>
        </w:tc>
      </w:tr>
      <w:tr w:rsidR="00A77106" w:rsidRPr="00F60990" w14:paraId="7BD894F5"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4366517A" w14:textId="044DE917" w:rsidR="00A77106" w:rsidRPr="00C21B0C"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Yu Mincho" w:hAnsi="Cambria Math" w:cs="Calibri"/>
                    <w:sz w:val="22"/>
                    <w:szCs w:val="22"/>
                  </w:rPr>
                  <w:lastRenderedPageBreak/>
                  <m:t>N</m:t>
                </m:r>
                <m:sSub>
                  <m:sSubPr>
                    <m:ctrlPr>
                      <w:rPr>
                        <w:rFonts w:ascii="Cambria Math" w:eastAsia="Yu Mincho" w:hAnsi="Cambria Math" w:cs="Calibri"/>
                        <w:b w:val="0"/>
                        <w:bCs w:val="0"/>
                        <w:i/>
                        <w:sz w:val="22"/>
                        <w:szCs w:val="22"/>
                      </w:rPr>
                    </m:ctrlPr>
                  </m:sSubPr>
                  <m:e>
                    <m:r>
                      <m:rPr>
                        <m:sty m:val="bi"/>
                      </m:rPr>
                      <w:rPr>
                        <w:rFonts w:ascii="Cambria Math" w:eastAsia="Yu Mincho" w:hAnsi="Cambria Math" w:cs="Calibri"/>
                        <w:sz w:val="22"/>
                        <w:szCs w:val="22"/>
                      </w:rPr>
                      <m:t>R</m:t>
                    </m:r>
                  </m:e>
                  <m:sub>
                    <m:r>
                      <m:rPr>
                        <m:sty m:val="bi"/>
                      </m:rPr>
                      <w:rPr>
                        <w:rFonts w:ascii="Cambria Math" w:eastAsia="Yu Mincho" w:hAnsi="Cambria Math" w:cs="Calibri"/>
                        <w:sz w:val="22"/>
                        <w:szCs w:val="22"/>
                      </w:rPr>
                      <m:t>i,s,t,y</m:t>
                    </m:r>
                  </m:sub>
                </m:sSub>
              </m:oMath>
            </m:oMathPara>
          </w:p>
        </w:tc>
        <w:tc>
          <w:tcPr>
            <w:tcW w:w="5511" w:type="dxa"/>
          </w:tcPr>
          <w:p w14:paraId="475098D3" w14:textId="77777777" w:rsidR="00A77106" w:rsidRPr="00E434F5"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434F5">
              <w:rPr>
                <w:rFonts w:ascii="Calibri" w:hAnsi="Calibri" w:cs="Calibri"/>
                <w:sz w:val="22"/>
                <w:szCs w:val="22"/>
              </w:rPr>
              <w:t xml:space="preserve">Amount of natural resource </w:t>
            </w:r>
            <w:r w:rsidRPr="00E434F5">
              <w:rPr>
                <w:rFonts w:ascii="Calibri" w:hAnsi="Calibri" w:cs="Calibri"/>
                <w:i/>
                <w:iCs/>
                <w:sz w:val="22"/>
                <w:szCs w:val="22"/>
              </w:rPr>
              <w:t>s</w:t>
            </w:r>
            <w:r w:rsidRPr="00E434F5">
              <w:rPr>
                <w:rFonts w:ascii="Calibri" w:hAnsi="Calibri" w:cs="Calibri"/>
                <w:sz w:val="22"/>
                <w:szCs w:val="22"/>
              </w:rPr>
              <w:t xml:space="preserve"> exchanged between NETP </w:t>
            </w:r>
            <w:proofErr w:type="spellStart"/>
            <w:r w:rsidRPr="00E434F5">
              <w:rPr>
                <w:rFonts w:ascii="Calibri" w:eastAsia="Calibri" w:hAnsi="Calibri" w:cs="Calibri"/>
                <w:i/>
                <w:iCs/>
                <w:sz w:val="22"/>
                <w:szCs w:val="22"/>
              </w:rPr>
              <w:t>i</w:t>
            </w:r>
            <w:proofErr w:type="spellEnd"/>
            <w:r w:rsidRPr="00E434F5">
              <w:rPr>
                <w:rFonts w:ascii="Calibri" w:eastAsia="Calibri" w:hAnsi="Calibri" w:cs="Calibri"/>
                <w:sz w:val="22"/>
                <w:szCs w:val="22"/>
              </w:rPr>
              <w:t xml:space="preserve"> and the environment </w:t>
            </w:r>
            <w:r w:rsidRPr="00E434F5">
              <w:rPr>
                <w:rFonts w:ascii="Calibri" w:eastAsia="Calibri" w:hAnsi="Calibri" w:cs="Calibri"/>
                <w:i/>
                <w:iCs/>
                <w:sz w:val="22"/>
                <w:szCs w:val="22"/>
              </w:rPr>
              <w:t xml:space="preserve">t </w:t>
            </w:r>
            <w:r w:rsidRPr="00E434F5">
              <w:rPr>
                <w:rFonts w:ascii="Calibri" w:eastAsia="Calibri" w:hAnsi="Calibri" w:cs="Calibri"/>
                <w:sz w:val="22"/>
                <w:szCs w:val="22"/>
              </w:rPr>
              <w:t xml:space="preserve">years after deployment in year </w:t>
            </w:r>
            <w:r w:rsidRPr="00E434F5">
              <w:rPr>
                <w:rFonts w:ascii="Calibri" w:eastAsia="Calibri" w:hAnsi="Calibri" w:cs="Calibri"/>
                <w:i/>
                <w:iCs/>
                <w:sz w:val="22"/>
                <w:szCs w:val="22"/>
              </w:rPr>
              <w:t>y</w:t>
            </w:r>
          </w:p>
        </w:tc>
        <w:tc>
          <w:tcPr>
            <w:tcW w:w="1967" w:type="dxa"/>
          </w:tcPr>
          <w:p w14:paraId="7A03B8E1" w14:textId="2658DE4C" w:rsidR="00A77106" w:rsidRPr="00E434F5"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00E434F5" w:rsidRPr="00E434F5">
              <w:rPr>
                <w:rFonts w:ascii="Calibri" w:hAnsi="Calibri" w:cs="Calibri"/>
                <w:sz w:val="22"/>
                <w:szCs w:val="22"/>
                <w:vertAlign w:val="superscript"/>
              </w:rPr>
              <w:t>c</w:t>
            </w:r>
            <w:proofErr w:type="spellEnd"/>
            <w:r w:rsidRPr="00E434F5">
              <w:rPr>
                <w:rFonts w:ascii="Calibri" w:hAnsi="Calibri" w:cs="Calibri"/>
                <w:sz w:val="22"/>
                <w:szCs w:val="22"/>
              </w:rPr>
              <w:t xml:space="preserve">/functional </w:t>
            </w:r>
            <w:proofErr w:type="spellStart"/>
            <w:r w:rsidRPr="00E434F5">
              <w:rPr>
                <w:rFonts w:ascii="Calibri" w:hAnsi="Calibri" w:cs="Calibri"/>
                <w:sz w:val="22"/>
                <w:szCs w:val="22"/>
              </w:rPr>
              <w:t>unit</w:t>
            </w:r>
            <w:r w:rsidR="007B3043" w:rsidRPr="00E434F5">
              <w:rPr>
                <w:rFonts w:ascii="Calibri" w:hAnsi="Calibri" w:cs="Calibri"/>
                <w:sz w:val="22"/>
                <w:szCs w:val="22"/>
                <w:vertAlign w:val="superscript"/>
              </w:rPr>
              <w:t>a</w:t>
            </w:r>
            <w:proofErr w:type="spellEnd"/>
          </w:p>
        </w:tc>
      </w:tr>
      <w:tr w:rsidR="00A77106" w:rsidRPr="00F60990" w14:paraId="1DA3319F"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3ED779B5" w14:textId="3275356F" w:rsidR="00A77106" w:rsidRPr="00C21B0C"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ODP</m:t>
                </m:r>
                <m:sSub>
                  <m:sSubPr>
                    <m:ctrlPr>
                      <w:rPr>
                        <w:rFonts w:ascii="Cambria Math" w:hAnsi="Cambria Math" w:cs="Calibri"/>
                        <w:b w:val="0"/>
                        <w:bCs w:val="0"/>
                        <w:i/>
                        <w:sz w:val="22"/>
                        <w:szCs w:val="22"/>
                      </w:rPr>
                    </m:ctrlPr>
                  </m:sSubPr>
                  <m:e>
                    <m:r>
                      <m:rPr>
                        <m:sty m:val="bi"/>
                      </m:rPr>
                      <w:rPr>
                        <w:rFonts w:ascii="Cambria Math" w:hAnsi="Cambria Math" w:cs="Calibri"/>
                        <w:sz w:val="22"/>
                        <w:szCs w:val="22"/>
                      </w:rPr>
                      <m:t>∞</m:t>
                    </m:r>
                  </m:e>
                  <m:sub>
                    <m:sSub>
                      <m:sSubPr>
                        <m:ctrlPr>
                          <w:rPr>
                            <w:rFonts w:ascii="Cambria Math" w:hAnsi="Cambria Math" w:cs="Calibri"/>
                            <w:b w:val="0"/>
                            <w:bCs w:val="0"/>
                            <w:i/>
                            <w:sz w:val="22"/>
                            <w:szCs w:val="22"/>
                          </w:rPr>
                        </m:ctrlPr>
                      </m:sSubPr>
                      <m:e>
                        <m:r>
                          <m:rPr>
                            <m:sty m:val="bi"/>
                          </m:rPr>
                          <w:rPr>
                            <w:rFonts w:ascii="Cambria Math" w:hAnsi="Cambria Math" w:cs="Calibri"/>
                            <w:sz w:val="22"/>
                            <w:szCs w:val="22"/>
                          </w:rPr>
                          <m:t>N</m:t>
                        </m:r>
                      </m:e>
                      <m:sub>
                        <m:r>
                          <m:rPr>
                            <m:sty m:val="bi"/>
                          </m:rPr>
                          <w:rPr>
                            <w:rFonts w:ascii="Cambria Math" w:hAnsi="Cambria Math" w:cs="Calibri"/>
                            <w:sz w:val="22"/>
                            <w:szCs w:val="22"/>
                          </w:rPr>
                          <m:t>2</m:t>
                        </m:r>
                      </m:sub>
                    </m:sSub>
                    <m:r>
                      <m:rPr>
                        <m:sty m:val="bi"/>
                      </m:rPr>
                      <w:rPr>
                        <w:rFonts w:ascii="Cambria Math" w:hAnsi="Cambria Math" w:cs="Calibri"/>
                        <w:sz w:val="22"/>
                        <w:szCs w:val="22"/>
                      </w:rPr>
                      <m:t>O</m:t>
                    </m:r>
                  </m:sub>
                </m:sSub>
              </m:oMath>
            </m:oMathPara>
          </w:p>
        </w:tc>
        <w:tc>
          <w:tcPr>
            <w:tcW w:w="5511" w:type="dxa"/>
          </w:tcPr>
          <w:p w14:paraId="6B64F496" w14:textId="77777777" w:rsidR="00A77106" w:rsidRPr="00C21B0C"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C21B0C">
              <w:rPr>
                <w:rFonts w:ascii="Calibri" w:hAnsi="Calibri" w:cs="Calibri"/>
                <w:sz w:val="22"/>
                <w:szCs w:val="22"/>
              </w:rPr>
              <w:t>N</w:t>
            </w:r>
            <w:r w:rsidRPr="00C21B0C">
              <w:rPr>
                <w:rFonts w:ascii="Calibri" w:hAnsi="Calibri" w:cs="Calibri"/>
                <w:sz w:val="22"/>
                <w:szCs w:val="22"/>
                <w:vertAlign w:val="subscript"/>
              </w:rPr>
              <w:t>2</w:t>
            </w:r>
            <w:r w:rsidRPr="00C21B0C">
              <w:rPr>
                <w:rFonts w:ascii="Calibri" w:hAnsi="Calibri" w:cs="Calibri"/>
                <w:sz w:val="22"/>
                <w:szCs w:val="22"/>
              </w:rPr>
              <w:t>O ozone depletion potential for an infinite time horizon</w:t>
            </w:r>
          </w:p>
        </w:tc>
        <w:tc>
          <w:tcPr>
            <w:tcW w:w="1967" w:type="dxa"/>
          </w:tcPr>
          <w:p w14:paraId="1B08048C" w14:textId="77777777" w:rsidR="00A77106" w:rsidRPr="00C21B0C"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C21B0C">
              <w:rPr>
                <w:rFonts w:ascii="Calibri" w:hAnsi="Calibri" w:cs="Calibri"/>
                <w:sz w:val="22"/>
                <w:szCs w:val="22"/>
              </w:rPr>
              <w:t>kgCFC-11/kg</w:t>
            </w:r>
          </w:p>
        </w:tc>
      </w:tr>
      <w:tr w:rsidR="00A77106" w:rsidRPr="00F60990" w14:paraId="433F902F"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8B37489" w14:textId="7044C681" w:rsidR="00A77106" w:rsidRPr="00C21B0C"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eastAsia="Yu Mincho" w:hAnsi="Cambria Math" w:cs="Calibri"/>
                        <w:b w:val="0"/>
                        <w:bCs w:val="0"/>
                        <w:i/>
                        <w:sz w:val="22"/>
                        <w:szCs w:val="22"/>
                      </w:rPr>
                    </m:ctrlPr>
                  </m:sSubPr>
                  <m:e>
                    <m:r>
                      <m:rPr>
                        <m:sty m:val="bi"/>
                      </m:rPr>
                      <w:rPr>
                        <w:rFonts w:ascii="Cambria Math" w:eastAsia="Yu Mincho" w:hAnsi="Cambria Math" w:cs="Calibri"/>
                        <w:sz w:val="22"/>
                        <w:szCs w:val="22"/>
                      </w:rPr>
                      <m:t>P</m:t>
                    </m:r>
                  </m:e>
                  <m:sub>
                    <m:r>
                      <m:rPr>
                        <m:sty m:val="bi"/>
                      </m:rPr>
                      <w:rPr>
                        <w:rFonts w:ascii="Cambria Math" w:eastAsia="Yu Mincho" w:hAnsi="Cambria Math" w:cs="Calibri"/>
                        <w:sz w:val="22"/>
                        <w:szCs w:val="22"/>
                      </w:rPr>
                      <m:t>i,s,t,y</m:t>
                    </m:r>
                  </m:sub>
                </m:sSub>
              </m:oMath>
            </m:oMathPara>
          </w:p>
        </w:tc>
        <w:tc>
          <w:tcPr>
            <w:tcW w:w="5511" w:type="dxa"/>
          </w:tcPr>
          <w:p w14:paraId="378A6218" w14:textId="77777777" w:rsidR="00A77106" w:rsidRPr="007143CE"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7143CE">
              <w:rPr>
                <w:rFonts w:ascii="Calibri" w:hAnsi="Calibri" w:cs="Calibri"/>
                <w:sz w:val="22"/>
                <w:szCs w:val="22"/>
              </w:rPr>
              <w:t xml:space="preserve">Amount of pollutant </w:t>
            </w:r>
            <w:r w:rsidRPr="007143CE">
              <w:rPr>
                <w:rFonts w:ascii="Calibri" w:hAnsi="Calibri" w:cs="Calibri"/>
                <w:i/>
                <w:iCs/>
                <w:sz w:val="22"/>
                <w:szCs w:val="22"/>
              </w:rPr>
              <w:t>s</w:t>
            </w:r>
            <w:r w:rsidRPr="007143CE">
              <w:rPr>
                <w:rFonts w:ascii="Calibri" w:hAnsi="Calibri" w:cs="Calibri"/>
                <w:sz w:val="22"/>
                <w:szCs w:val="22"/>
              </w:rPr>
              <w:t xml:space="preserve"> (excluding greenhouse gases) emitted </w:t>
            </w:r>
            <w:r w:rsidRPr="007143CE">
              <w:rPr>
                <w:rFonts w:ascii="Calibri" w:eastAsia="Calibri" w:hAnsi="Calibri" w:cs="Calibri"/>
                <w:sz w:val="22"/>
                <w:szCs w:val="22"/>
              </w:rPr>
              <w:t xml:space="preserve">by NETP </w:t>
            </w:r>
            <w:proofErr w:type="spellStart"/>
            <w:r w:rsidRPr="007143CE">
              <w:rPr>
                <w:rFonts w:ascii="Calibri" w:eastAsia="Calibri" w:hAnsi="Calibri" w:cs="Calibri"/>
                <w:i/>
                <w:iCs/>
                <w:sz w:val="22"/>
                <w:szCs w:val="22"/>
              </w:rPr>
              <w:t>i</w:t>
            </w:r>
            <w:proofErr w:type="spellEnd"/>
            <w:r w:rsidRPr="007143CE">
              <w:rPr>
                <w:rFonts w:ascii="Calibri" w:eastAsia="Calibri" w:hAnsi="Calibri" w:cs="Calibri"/>
                <w:sz w:val="22"/>
                <w:szCs w:val="22"/>
              </w:rPr>
              <w:t xml:space="preserve"> </w:t>
            </w:r>
            <w:r w:rsidRPr="007143CE">
              <w:rPr>
                <w:rFonts w:ascii="Calibri" w:eastAsia="Calibri" w:hAnsi="Calibri" w:cs="Calibri"/>
                <w:i/>
                <w:iCs/>
                <w:sz w:val="22"/>
                <w:szCs w:val="22"/>
              </w:rPr>
              <w:t xml:space="preserve">t </w:t>
            </w:r>
            <w:r w:rsidRPr="007143CE">
              <w:rPr>
                <w:rFonts w:ascii="Calibri" w:eastAsia="Calibri" w:hAnsi="Calibri" w:cs="Calibri"/>
                <w:sz w:val="22"/>
                <w:szCs w:val="22"/>
              </w:rPr>
              <w:t xml:space="preserve">years after deployment in year </w:t>
            </w:r>
            <w:r w:rsidRPr="007143CE">
              <w:rPr>
                <w:rFonts w:ascii="Calibri" w:eastAsia="Calibri" w:hAnsi="Calibri" w:cs="Calibri"/>
                <w:i/>
                <w:iCs/>
                <w:sz w:val="22"/>
                <w:szCs w:val="22"/>
              </w:rPr>
              <w:t>y</w:t>
            </w:r>
          </w:p>
        </w:tc>
        <w:tc>
          <w:tcPr>
            <w:tcW w:w="1967" w:type="dxa"/>
          </w:tcPr>
          <w:p w14:paraId="52E200A5" w14:textId="61E66FA4" w:rsidR="00A77106" w:rsidRPr="00E434F5"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00E434F5" w:rsidRPr="00E434F5">
              <w:rPr>
                <w:rFonts w:ascii="Calibri" w:hAnsi="Calibri" w:cs="Calibri"/>
                <w:sz w:val="22"/>
                <w:szCs w:val="22"/>
                <w:vertAlign w:val="superscript"/>
              </w:rPr>
              <w:t>c</w:t>
            </w:r>
            <w:proofErr w:type="spellEnd"/>
            <w:r w:rsidRPr="00E434F5">
              <w:rPr>
                <w:rFonts w:ascii="Calibri" w:hAnsi="Calibri" w:cs="Calibri"/>
                <w:sz w:val="22"/>
                <w:szCs w:val="22"/>
              </w:rPr>
              <w:t xml:space="preserve">/functional </w:t>
            </w:r>
            <w:proofErr w:type="spellStart"/>
            <w:r w:rsidRPr="00E434F5">
              <w:rPr>
                <w:rFonts w:ascii="Calibri" w:hAnsi="Calibri" w:cs="Calibri"/>
                <w:sz w:val="22"/>
                <w:szCs w:val="22"/>
              </w:rPr>
              <w:t>unit</w:t>
            </w:r>
            <w:r w:rsidR="007B3043" w:rsidRPr="00E434F5">
              <w:rPr>
                <w:rFonts w:ascii="Calibri" w:hAnsi="Calibri" w:cs="Calibri"/>
                <w:sz w:val="22"/>
                <w:szCs w:val="22"/>
                <w:vertAlign w:val="superscript"/>
              </w:rPr>
              <w:t>a</w:t>
            </w:r>
            <w:proofErr w:type="spellEnd"/>
          </w:p>
        </w:tc>
      </w:tr>
      <w:tr w:rsidR="00A77106" w:rsidRPr="00F60990" w14:paraId="7A8BEB22"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788B3788" w14:textId="11E59C18" w:rsidR="00A77106" w:rsidRPr="00C21B0C"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Yu Mincho" w:hAnsi="Cambria Math" w:cs="Calibri"/>
                    <w:sz w:val="22"/>
                    <w:szCs w:val="22"/>
                  </w:rPr>
                  <m:t>PE</m:t>
                </m:r>
                <m:sSub>
                  <m:sSubPr>
                    <m:ctrlPr>
                      <w:rPr>
                        <w:rFonts w:ascii="Cambria Math" w:eastAsia="Yu Mincho" w:hAnsi="Cambria Math" w:cs="Calibri"/>
                        <w:b w:val="0"/>
                        <w:bCs w:val="0"/>
                        <w:i/>
                        <w:sz w:val="22"/>
                        <w:szCs w:val="22"/>
                      </w:rPr>
                    </m:ctrlPr>
                  </m:sSubPr>
                  <m:e>
                    <m:r>
                      <m:rPr>
                        <m:sty m:val="bi"/>
                      </m:rPr>
                      <w:rPr>
                        <w:rFonts w:ascii="Cambria Math" w:eastAsia="Yu Mincho" w:hAnsi="Cambria Math" w:cs="Calibri"/>
                        <w:sz w:val="22"/>
                        <w:szCs w:val="22"/>
                      </w:rPr>
                      <m:t>F</m:t>
                    </m:r>
                  </m:e>
                  <m:sub>
                    <m:r>
                      <m:rPr>
                        <m:sty m:val="bi"/>
                      </m:rPr>
                      <w:rPr>
                        <w:rFonts w:ascii="Cambria Math" w:eastAsia="Yu Mincho" w:hAnsi="Cambria Math" w:cs="Calibri"/>
                        <w:sz w:val="22"/>
                        <w:szCs w:val="22"/>
                      </w:rPr>
                      <m:t>i,s,t,y</m:t>
                    </m:r>
                  </m:sub>
                </m:sSub>
              </m:oMath>
            </m:oMathPara>
          </w:p>
        </w:tc>
        <w:tc>
          <w:tcPr>
            <w:tcW w:w="5511" w:type="dxa"/>
          </w:tcPr>
          <w:p w14:paraId="0FDE6228" w14:textId="77777777" w:rsidR="00A77106" w:rsidRPr="00E434F5"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434F5">
              <w:rPr>
                <w:rFonts w:ascii="Calibri" w:hAnsi="Calibri" w:cs="Calibri"/>
                <w:sz w:val="22"/>
                <w:szCs w:val="22"/>
              </w:rPr>
              <w:t xml:space="preserve">Amount of elementary flow </w:t>
            </w:r>
            <w:r w:rsidRPr="00E434F5">
              <w:rPr>
                <w:rFonts w:ascii="Calibri" w:hAnsi="Calibri" w:cs="Calibri"/>
                <w:i/>
                <w:iCs/>
                <w:sz w:val="22"/>
                <w:szCs w:val="22"/>
              </w:rPr>
              <w:t>s</w:t>
            </w:r>
            <w:r w:rsidRPr="00E434F5">
              <w:rPr>
                <w:rFonts w:ascii="Calibri" w:hAnsi="Calibri" w:cs="Calibri"/>
                <w:sz w:val="22"/>
                <w:szCs w:val="22"/>
              </w:rPr>
              <w:t xml:space="preserve"> prevented from being exchanged with the environment by </w:t>
            </w:r>
            <w:r w:rsidRPr="00E434F5">
              <w:rPr>
                <w:rFonts w:ascii="Calibri" w:eastAsia="Calibri" w:hAnsi="Calibri" w:cs="Calibri"/>
                <w:sz w:val="22"/>
                <w:szCs w:val="22"/>
              </w:rPr>
              <w:t xml:space="preserve">NETP </w:t>
            </w:r>
            <w:proofErr w:type="spellStart"/>
            <w:r w:rsidRPr="00E434F5">
              <w:rPr>
                <w:rFonts w:ascii="Calibri" w:eastAsia="Calibri" w:hAnsi="Calibri" w:cs="Calibri"/>
                <w:i/>
                <w:iCs/>
                <w:sz w:val="22"/>
                <w:szCs w:val="22"/>
              </w:rPr>
              <w:t>i</w:t>
            </w:r>
            <w:proofErr w:type="spellEnd"/>
            <w:r w:rsidRPr="00E434F5">
              <w:rPr>
                <w:rFonts w:ascii="Calibri" w:eastAsia="Calibri" w:hAnsi="Calibri" w:cs="Calibri"/>
                <w:sz w:val="22"/>
                <w:szCs w:val="22"/>
              </w:rPr>
              <w:t xml:space="preserve"> </w:t>
            </w:r>
            <w:r w:rsidRPr="00E434F5">
              <w:rPr>
                <w:rFonts w:ascii="Calibri" w:eastAsia="Calibri" w:hAnsi="Calibri" w:cs="Calibri"/>
                <w:i/>
                <w:iCs/>
                <w:sz w:val="22"/>
                <w:szCs w:val="22"/>
              </w:rPr>
              <w:t xml:space="preserve">t </w:t>
            </w:r>
            <w:r w:rsidRPr="00E434F5">
              <w:rPr>
                <w:rFonts w:ascii="Calibri" w:eastAsia="Calibri" w:hAnsi="Calibri" w:cs="Calibri"/>
                <w:sz w:val="22"/>
                <w:szCs w:val="22"/>
              </w:rPr>
              <w:t xml:space="preserve">years after deployment in year </w:t>
            </w:r>
            <w:r w:rsidRPr="00E434F5">
              <w:rPr>
                <w:rFonts w:ascii="Calibri" w:eastAsia="Calibri" w:hAnsi="Calibri" w:cs="Calibri"/>
                <w:i/>
                <w:iCs/>
                <w:sz w:val="22"/>
                <w:szCs w:val="22"/>
              </w:rPr>
              <w:t>y</w:t>
            </w:r>
          </w:p>
        </w:tc>
        <w:tc>
          <w:tcPr>
            <w:tcW w:w="1967" w:type="dxa"/>
          </w:tcPr>
          <w:p w14:paraId="616854D9" w14:textId="59BFE11F" w:rsidR="00A77106" w:rsidRPr="00E434F5"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00E434F5" w:rsidRPr="00E434F5">
              <w:rPr>
                <w:rFonts w:ascii="Calibri" w:hAnsi="Calibri" w:cs="Calibri"/>
                <w:sz w:val="22"/>
                <w:szCs w:val="22"/>
                <w:vertAlign w:val="superscript"/>
              </w:rPr>
              <w:t>c</w:t>
            </w:r>
            <w:proofErr w:type="spellEnd"/>
            <w:r w:rsidRPr="00E434F5">
              <w:rPr>
                <w:rFonts w:ascii="Calibri" w:hAnsi="Calibri" w:cs="Calibri"/>
                <w:sz w:val="22"/>
                <w:szCs w:val="22"/>
              </w:rPr>
              <w:t xml:space="preserve">/functional </w:t>
            </w:r>
            <w:proofErr w:type="spellStart"/>
            <w:r w:rsidRPr="00E434F5">
              <w:rPr>
                <w:rFonts w:ascii="Calibri" w:hAnsi="Calibri" w:cs="Calibri"/>
                <w:sz w:val="22"/>
                <w:szCs w:val="22"/>
              </w:rPr>
              <w:t>unit</w:t>
            </w:r>
            <w:r w:rsidR="007B3043" w:rsidRPr="00E434F5">
              <w:rPr>
                <w:rFonts w:ascii="Calibri" w:hAnsi="Calibri" w:cs="Calibri"/>
                <w:sz w:val="22"/>
                <w:szCs w:val="22"/>
                <w:vertAlign w:val="superscript"/>
              </w:rPr>
              <w:t>a</w:t>
            </w:r>
            <w:proofErr w:type="spellEnd"/>
          </w:p>
        </w:tc>
      </w:tr>
      <w:tr w:rsidR="00A77106" w:rsidRPr="00F60990" w14:paraId="1B810BDC"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64C8838A" w14:textId="3FD95506" w:rsidR="00A77106" w:rsidRPr="00C21B0C"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Q</m:t>
                    </m:r>
                  </m:e>
                  <m:sub>
                    <m:r>
                      <m:rPr>
                        <m:sty m:val="bi"/>
                      </m:rPr>
                      <w:rPr>
                        <w:rFonts w:ascii="Cambria Math" w:hAnsi="Cambria Math" w:cs="Calibri"/>
                        <w:sz w:val="22"/>
                        <w:szCs w:val="22"/>
                      </w:rPr>
                      <m:t>i,s,t,y</m:t>
                    </m:r>
                  </m:sub>
                </m:sSub>
              </m:oMath>
            </m:oMathPara>
          </w:p>
        </w:tc>
        <w:tc>
          <w:tcPr>
            <w:tcW w:w="5511" w:type="dxa"/>
          </w:tcPr>
          <w:p w14:paraId="7B6B3FA3" w14:textId="77777777" w:rsidR="00A77106" w:rsidRPr="00C21B0C"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C21B0C">
              <w:rPr>
                <w:rFonts w:ascii="Calibri" w:hAnsi="Calibri" w:cs="Calibri"/>
                <w:sz w:val="22"/>
                <w:szCs w:val="22"/>
              </w:rPr>
              <w:t xml:space="preserve">Amount of elementary flow </w:t>
            </w:r>
            <w:r w:rsidRPr="00C21B0C">
              <w:rPr>
                <w:rFonts w:ascii="Calibri" w:hAnsi="Calibri" w:cs="Calibri"/>
                <w:i/>
                <w:iCs/>
                <w:sz w:val="22"/>
                <w:szCs w:val="22"/>
              </w:rPr>
              <w:t xml:space="preserve">s </w:t>
            </w:r>
            <w:r w:rsidRPr="00C21B0C">
              <w:rPr>
                <w:rFonts w:ascii="Calibri" w:hAnsi="Calibri" w:cs="Calibri"/>
                <w:sz w:val="22"/>
                <w:szCs w:val="22"/>
              </w:rPr>
              <w:t>exchanged between NETP</w:t>
            </w:r>
            <w:r w:rsidRPr="00C21B0C">
              <w:rPr>
                <w:rFonts w:ascii="Calibri" w:hAnsi="Calibri" w:cs="Calibri"/>
                <w:i/>
                <w:iCs/>
                <w:sz w:val="22"/>
                <w:szCs w:val="22"/>
              </w:rPr>
              <w:t xml:space="preserve"> </w:t>
            </w:r>
            <w:proofErr w:type="spellStart"/>
            <w:r w:rsidRPr="00C21B0C">
              <w:rPr>
                <w:rFonts w:ascii="Calibri" w:hAnsi="Calibri" w:cs="Calibri"/>
                <w:i/>
                <w:iCs/>
                <w:sz w:val="22"/>
                <w:szCs w:val="22"/>
              </w:rPr>
              <w:t>i</w:t>
            </w:r>
            <w:proofErr w:type="spellEnd"/>
            <w:r w:rsidRPr="00C21B0C">
              <w:rPr>
                <w:rFonts w:ascii="Calibri" w:hAnsi="Calibri" w:cs="Calibri"/>
                <w:i/>
                <w:iCs/>
                <w:sz w:val="22"/>
                <w:szCs w:val="22"/>
              </w:rPr>
              <w:t xml:space="preserve"> </w:t>
            </w:r>
            <w:r w:rsidRPr="00C21B0C">
              <w:rPr>
                <w:rFonts w:ascii="Calibri" w:hAnsi="Calibri" w:cs="Calibri"/>
                <w:sz w:val="22"/>
                <w:szCs w:val="22"/>
              </w:rPr>
              <w:t>and the environment</w:t>
            </w:r>
            <w:r w:rsidRPr="00C21B0C">
              <w:rPr>
                <w:rFonts w:ascii="Calibri" w:hAnsi="Calibri" w:cs="Calibri"/>
                <w:i/>
                <w:iCs/>
                <w:sz w:val="22"/>
                <w:szCs w:val="22"/>
              </w:rPr>
              <w:t xml:space="preserve"> t </w:t>
            </w:r>
            <w:r w:rsidRPr="00C21B0C">
              <w:rPr>
                <w:rFonts w:ascii="Calibri" w:hAnsi="Calibri" w:cs="Calibri"/>
                <w:sz w:val="22"/>
                <w:szCs w:val="22"/>
              </w:rPr>
              <w:t>years after deployment in year</w:t>
            </w:r>
            <w:r w:rsidRPr="00C21B0C">
              <w:rPr>
                <w:rFonts w:ascii="Calibri" w:hAnsi="Calibri" w:cs="Calibri"/>
                <w:i/>
                <w:iCs/>
                <w:sz w:val="22"/>
                <w:szCs w:val="22"/>
              </w:rPr>
              <w:t xml:space="preserve"> y</w:t>
            </w:r>
          </w:p>
        </w:tc>
        <w:tc>
          <w:tcPr>
            <w:tcW w:w="1967" w:type="dxa"/>
          </w:tcPr>
          <w:p w14:paraId="5C754FBE" w14:textId="0AB9AFB9" w:rsidR="00A77106" w:rsidRPr="008879C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highlight w:val="green"/>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00E434F5" w:rsidRPr="00E434F5">
              <w:rPr>
                <w:rFonts w:ascii="Calibri" w:hAnsi="Calibri" w:cs="Calibri"/>
                <w:sz w:val="22"/>
                <w:szCs w:val="22"/>
                <w:vertAlign w:val="superscript"/>
              </w:rPr>
              <w:t>c</w:t>
            </w:r>
            <w:proofErr w:type="spellEnd"/>
            <w:r w:rsidRPr="00E434F5">
              <w:rPr>
                <w:rFonts w:ascii="Calibri" w:hAnsi="Calibri" w:cs="Calibri"/>
                <w:sz w:val="22"/>
                <w:szCs w:val="22"/>
              </w:rPr>
              <w:t xml:space="preserve">/functional </w:t>
            </w:r>
            <w:proofErr w:type="spellStart"/>
            <w:r w:rsidRPr="00E434F5">
              <w:rPr>
                <w:rFonts w:ascii="Calibri" w:hAnsi="Calibri" w:cs="Calibri"/>
                <w:sz w:val="22"/>
                <w:szCs w:val="22"/>
              </w:rPr>
              <w:t>unit</w:t>
            </w:r>
            <w:r w:rsidR="007B3043" w:rsidRPr="00E434F5">
              <w:rPr>
                <w:rFonts w:ascii="Calibri" w:hAnsi="Calibri" w:cs="Calibri"/>
                <w:sz w:val="22"/>
                <w:szCs w:val="22"/>
                <w:vertAlign w:val="superscript"/>
              </w:rPr>
              <w:t>a</w:t>
            </w:r>
            <w:proofErr w:type="spellEnd"/>
          </w:p>
        </w:tc>
      </w:tr>
      <w:tr w:rsidR="00A77106" w:rsidRPr="00F60990" w14:paraId="726950A4" w14:textId="77777777" w:rsidTr="00AC3E50">
        <w:tc>
          <w:tcPr>
            <w:cnfStyle w:val="001000000000" w:firstRow="0" w:lastRow="0" w:firstColumn="1" w:lastColumn="0" w:oddVBand="0" w:evenVBand="0" w:oddHBand="0" w:evenHBand="0" w:firstRowFirstColumn="0" w:firstRowLastColumn="0" w:lastRowFirstColumn="0" w:lastRowLastColumn="0"/>
            <w:tcW w:w="1168" w:type="dxa"/>
          </w:tcPr>
          <w:p w14:paraId="40B0B69C" w14:textId="79F9AE19" w:rsidR="00A77106" w:rsidRPr="00F60990"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Calibri" w:hAnsi="Cambria Math" w:cs="Calibri"/>
                    <w:sz w:val="22"/>
                    <w:szCs w:val="22"/>
                  </w:rPr>
                  <m:t>TH</m:t>
                </m:r>
              </m:oMath>
            </m:oMathPara>
          </w:p>
        </w:tc>
        <w:tc>
          <w:tcPr>
            <w:tcW w:w="5511" w:type="dxa"/>
          </w:tcPr>
          <w:p w14:paraId="565A67A5" w14:textId="77777777" w:rsidR="00A77106" w:rsidRPr="00F6099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F60990">
              <w:rPr>
                <w:rFonts w:ascii="Calibri" w:hAnsi="Calibri" w:cs="Calibri"/>
                <w:sz w:val="22"/>
                <w:szCs w:val="22"/>
              </w:rPr>
              <w:t>Time horizon</w:t>
            </w:r>
          </w:p>
        </w:tc>
        <w:tc>
          <w:tcPr>
            <w:tcW w:w="1967" w:type="dxa"/>
          </w:tcPr>
          <w:p w14:paraId="65471123" w14:textId="087AA8B2" w:rsidR="00A77106" w:rsidRPr="00F60990" w:rsidRDefault="00207615"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y</w:t>
            </w:r>
            <w:r w:rsidR="00A77106" w:rsidRPr="00F60990">
              <w:rPr>
                <w:rFonts w:ascii="Calibri" w:hAnsi="Calibri" w:cs="Calibri"/>
                <w:sz w:val="22"/>
                <w:szCs w:val="22"/>
              </w:rPr>
              <w:t>ear</w:t>
            </w:r>
          </w:p>
        </w:tc>
      </w:tr>
      <w:tr w:rsidR="00A77106" w:rsidRPr="00F60990" w14:paraId="5D8B9005" w14:textId="77777777" w:rsidTr="00AC3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4D47971E" w14:textId="1DFF5B3A" w:rsidR="00A77106" w:rsidRPr="00F60990"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Calibri" w:hAnsi="Cambria Math" w:cs="Calibri"/>
                    <w:sz w:val="22"/>
                    <w:szCs w:val="22"/>
                  </w:rPr>
                  <m:t>TH'</m:t>
                </m:r>
              </m:oMath>
            </m:oMathPara>
          </w:p>
        </w:tc>
        <w:tc>
          <w:tcPr>
            <w:tcW w:w="5511" w:type="dxa"/>
          </w:tcPr>
          <w:p w14:paraId="4E7D3755" w14:textId="18B444CA" w:rsidR="00A77106" w:rsidRPr="00F6099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 xml:space="preserve">Time horizon spanning from the year of the emission to the final year of </w:t>
            </w:r>
            <m:oMath>
              <m:r>
                <w:rPr>
                  <w:rFonts w:ascii="Cambria Math" w:hAnsi="Cambria Math" w:cs="Calibri"/>
                  <w:sz w:val="22"/>
                  <w:szCs w:val="22"/>
                </w:rPr>
                <m:t>TH</m:t>
              </m:r>
            </m:oMath>
          </w:p>
        </w:tc>
        <w:tc>
          <w:tcPr>
            <w:tcW w:w="1967" w:type="dxa"/>
          </w:tcPr>
          <w:p w14:paraId="34C0A520" w14:textId="5E18A8B5" w:rsidR="00A77106" w:rsidRPr="00F60990" w:rsidRDefault="00207615"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F60990">
              <w:rPr>
                <w:rFonts w:ascii="Calibri" w:hAnsi="Calibri" w:cs="Calibri"/>
                <w:sz w:val="22"/>
                <w:szCs w:val="22"/>
              </w:rPr>
              <w:t>y</w:t>
            </w:r>
            <w:r w:rsidR="00A77106" w:rsidRPr="00F60990">
              <w:rPr>
                <w:rFonts w:ascii="Calibri" w:hAnsi="Calibri" w:cs="Calibri"/>
                <w:sz w:val="22"/>
                <w:szCs w:val="22"/>
              </w:rPr>
              <w:t>ear</w:t>
            </w:r>
          </w:p>
        </w:tc>
      </w:tr>
    </w:tbl>
    <w:p w14:paraId="4E20F006" w14:textId="77777777" w:rsidR="00A77106" w:rsidRPr="009619D1" w:rsidRDefault="00A77106" w:rsidP="00A77106">
      <w:pPr>
        <w:spacing w:line="360" w:lineRule="auto"/>
        <w:rPr>
          <w:rFonts w:ascii="Calibri" w:hAnsi="Calibri" w:cs="Calibri"/>
        </w:rPr>
      </w:pPr>
    </w:p>
    <w:p w14:paraId="20B99113" w14:textId="77777777" w:rsidR="00035062" w:rsidRPr="009619D1" w:rsidRDefault="00035062" w:rsidP="00A77106">
      <w:pPr>
        <w:spacing w:line="360" w:lineRule="auto"/>
        <w:rPr>
          <w:rFonts w:ascii="Calibri" w:hAnsi="Calibri" w:cs="Calibri"/>
        </w:rPr>
      </w:pPr>
    </w:p>
    <w:p w14:paraId="33E6327D" w14:textId="0CDAAAD1" w:rsidR="00A77106" w:rsidRPr="00B437EB" w:rsidRDefault="00A77106" w:rsidP="00A77106">
      <w:pPr>
        <w:spacing w:after="0" w:line="240" w:lineRule="auto"/>
        <w:jc w:val="center"/>
        <w:rPr>
          <w:rFonts w:ascii="Calibri" w:hAnsi="Calibri" w:cs="Calibri"/>
        </w:rPr>
      </w:pPr>
      <w:r w:rsidRPr="00B437EB">
        <w:rPr>
          <w:rFonts w:ascii="Calibri" w:hAnsi="Calibri" w:cs="Calibri"/>
          <w:b/>
          <w:bCs/>
        </w:rPr>
        <w:t xml:space="preserve">Supplementary Table 3. </w:t>
      </w:r>
      <w:r w:rsidRPr="00B437EB">
        <w:rPr>
          <w:rFonts w:ascii="Calibri" w:hAnsi="Calibri" w:cs="Calibri"/>
        </w:rPr>
        <w:t>Parameters and variables used to estimate</w:t>
      </w:r>
    </w:p>
    <w:p w14:paraId="212BAD1E" w14:textId="5DC5919F" w:rsidR="00A77106" w:rsidRPr="00B437EB" w:rsidRDefault="00A77106" w:rsidP="00A77106">
      <w:pPr>
        <w:spacing w:after="0" w:line="240" w:lineRule="auto"/>
        <w:jc w:val="center"/>
        <w:rPr>
          <w:rFonts w:ascii="Calibri" w:hAnsi="Calibri" w:cs="Calibri"/>
          <w:b/>
          <w:bCs/>
        </w:rPr>
      </w:pPr>
      <w:r w:rsidRPr="00B437EB">
        <w:rPr>
          <w:rFonts w:ascii="Calibri" w:hAnsi="Calibri" w:cs="Calibri"/>
        </w:rPr>
        <w:t>Earth-system impacts.</w:t>
      </w:r>
    </w:p>
    <w:tbl>
      <w:tblPr>
        <w:tblStyle w:val="Tablanormal2"/>
        <w:tblW w:w="8500" w:type="dxa"/>
        <w:tblLook w:val="04A0" w:firstRow="1" w:lastRow="0" w:firstColumn="1" w:lastColumn="0" w:noHBand="0" w:noVBand="1"/>
      </w:tblPr>
      <w:tblGrid>
        <w:gridCol w:w="1165"/>
        <w:gridCol w:w="5379"/>
        <w:gridCol w:w="1956"/>
      </w:tblGrid>
      <w:tr w:rsidR="00A77106" w:rsidRPr="001F2171" w14:paraId="12F29AA7" w14:textId="77777777" w:rsidTr="00B6108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68" w:type="dxa"/>
          </w:tcPr>
          <w:p w14:paraId="239D2B39" w14:textId="77777777" w:rsidR="00A77106" w:rsidRPr="001F2171" w:rsidRDefault="00A77106" w:rsidP="00232799">
            <w:pPr>
              <w:spacing w:line="360" w:lineRule="auto"/>
              <w:rPr>
                <w:rFonts w:ascii="Calibri" w:hAnsi="Calibri" w:cs="Calibri"/>
                <w:sz w:val="22"/>
                <w:szCs w:val="22"/>
              </w:rPr>
            </w:pPr>
            <w:r w:rsidRPr="001F2171">
              <w:rPr>
                <w:rFonts w:ascii="Calibri" w:hAnsi="Calibri" w:cs="Calibri"/>
                <w:sz w:val="22"/>
                <w:szCs w:val="22"/>
              </w:rPr>
              <w:t>Symbol</w:t>
            </w:r>
          </w:p>
        </w:tc>
        <w:tc>
          <w:tcPr>
            <w:tcW w:w="5514" w:type="dxa"/>
          </w:tcPr>
          <w:p w14:paraId="5F8FDC95"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Description</w:t>
            </w:r>
          </w:p>
        </w:tc>
        <w:tc>
          <w:tcPr>
            <w:tcW w:w="1967" w:type="dxa"/>
          </w:tcPr>
          <w:p w14:paraId="2D0E26C8"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r w:rsidRPr="001F2171">
              <w:rPr>
                <w:rFonts w:ascii="Calibri" w:hAnsi="Calibri" w:cs="Calibri"/>
                <w:sz w:val="22"/>
                <w:szCs w:val="22"/>
              </w:rPr>
              <w:t>Unit</w:t>
            </w:r>
          </w:p>
        </w:tc>
      </w:tr>
      <w:tr w:rsidR="00A77106" w:rsidRPr="001F2171" w14:paraId="695ADEFC"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023C3E6" w14:textId="48342410"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A</m:t>
                    </m:r>
                  </m:e>
                  <m:sub>
                    <m:r>
                      <m:rPr>
                        <m:sty m:val="bi"/>
                      </m:rPr>
                      <w:rPr>
                        <w:rFonts w:ascii="Cambria Math" w:hAnsi="Cambria Math" w:cs="Calibri"/>
                        <w:sz w:val="22"/>
                        <w:szCs w:val="22"/>
                      </w:rPr>
                      <m:t>a,c,i,y</m:t>
                    </m:r>
                  </m:sub>
                </m:sSub>
              </m:oMath>
            </m:oMathPara>
          </w:p>
        </w:tc>
        <w:tc>
          <w:tcPr>
            <w:tcW w:w="5514" w:type="dxa"/>
          </w:tcPr>
          <w:p w14:paraId="771F101D"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1F2171">
              <w:rPr>
                <w:rFonts w:ascii="Calibri" w:hAnsi="Calibri" w:cs="Calibri"/>
                <w:sz w:val="22"/>
                <w:szCs w:val="22"/>
              </w:rPr>
              <w:t xml:space="preserve">Amount of activity </w:t>
            </w:r>
            <w:r w:rsidRPr="001F2171">
              <w:rPr>
                <w:rFonts w:ascii="Calibri" w:hAnsi="Calibri" w:cs="Calibri"/>
                <w:i/>
                <w:iCs/>
                <w:sz w:val="22"/>
                <w:szCs w:val="22"/>
              </w:rPr>
              <w:t>a</w:t>
            </w:r>
            <w:r w:rsidRPr="001F2171">
              <w:rPr>
                <w:rFonts w:ascii="Calibri" w:hAnsi="Calibri" w:cs="Calibri"/>
                <w:sz w:val="22"/>
                <w:szCs w:val="22"/>
              </w:rPr>
              <w:t xml:space="preserve"> produced in the supply chain link </w:t>
            </w:r>
            <w:r w:rsidRPr="001F2171">
              <w:rPr>
                <w:rFonts w:ascii="Calibri" w:hAnsi="Calibri" w:cs="Calibri"/>
                <w:i/>
                <w:iCs/>
                <w:sz w:val="22"/>
                <w:szCs w:val="22"/>
              </w:rPr>
              <w:t>c</w:t>
            </w:r>
            <w:r w:rsidRPr="001F2171">
              <w:rPr>
                <w:rFonts w:ascii="Calibri" w:hAnsi="Calibri" w:cs="Calibri"/>
                <w:sz w:val="22"/>
                <w:szCs w:val="22"/>
              </w:rPr>
              <w:t xml:space="preserve"> of NETP </w:t>
            </w:r>
            <w:proofErr w:type="spellStart"/>
            <w:r w:rsidRPr="001F2171">
              <w:rPr>
                <w:rFonts w:ascii="Calibri" w:hAnsi="Calibri" w:cs="Calibri"/>
                <w:i/>
                <w:iCs/>
                <w:sz w:val="22"/>
                <w:szCs w:val="22"/>
              </w:rPr>
              <w:t>i</w:t>
            </w:r>
            <w:proofErr w:type="spellEnd"/>
            <w:r w:rsidRPr="001F2171">
              <w:rPr>
                <w:rFonts w:ascii="Calibri" w:hAnsi="Calibri" w:cs="Calibri"/>
                <w:sz w:val="22"/>
                <w:szCs w:val="22"/>
              </w:rPr>
              <w:t xml:space="preserve"> deployed in year </w:t>
            </w:r>
            <w:r w:rsidRPr="001F2171">
              <w:rPr>
                <w:rFonts w:ascii="Calibri" w:hAnsi="Calibri" w:cs="Calibri"/>
                <w:i/>
                <w:iCs/>
                <w:sz w:val="22"/>
                <w:szCs w:val="22"/>
              </w:rPr>
              <w:t>y</w:t>
            </w:r>
          </w:p>
        </w:tc>
        <w:tc>
          <w:tcPr>
            <w:tcW w:w="1967" w:type="dxa"/>
          </w:tcPr>
          <w:p w14:paraId="7DBA2643" w14:textId="53D95DED" w:rsidR="00A77106" w:rsidRPr="00625409"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unit of activity</w:t>
            </w:r>
            <w:r w:rsidRPr="00DD2CD7">
              <w:rPr>
                <w:rStyle w:val="Refdenotaalpie"/>
              </w:rPr>
              <w:footnoteReference w:id="6"/>
            </w:r>
            <w:r w:rsidR="00420085" w:rsidRPr="00625409">
              <w:rPr>
                <w:rFonts w:ascii="Calibri" w:hAnsi="Calibri" w:cs="Calibri"/>
                <w:sz w:val="22"/>
                <w:szCs w:val="22"/>
              </w:rPr>
              <w:t>/</w:t>
            </w:r>
            <w:r w:rsidR="00420085">
              <w:rPr>
                <w:rFonts w:ascii="Calibri" w:hAnsi="Calibri" w:cs="Calibri"/>
                <w:sz w:val="22"/>
                <w:szCs w:val="22"/>
              </w:rPr>
              <w:t xml:space="preserve"> </w:t>
            </w:r>
            <w:r w:rsidR="00420085" w:rsidRPr="00B437EB">
              <w:rPr>
                <w:rFonts w:ascii="Calibri" w:hAnsi="Calibri" w:cs="Calibri"/>
                <w:sz w:val="22"/>
                <w:szCs w:val="22"/>
              </w:rPr>
              <w:t xml:space="preserve">functional </w:t>
            </w:r>
            <w:proofErr w:type="spellStart"/>
            <w:r w:rsidR="00420085" w:rsidRPr="00B437EB">
              <w:rPr>
                <w:rFonts w:ascii="Calibri" w:hAnsi="Calibri" w:cs="Calibri"/>
                <w:sz w:val="22"/>
                <w:szCs w:val="22"/>
              </w:rPr>
              <w:t>unit</w:t>
            </w:r>
            <w:r w:rsidR="00420085" w:rsidRPr="00B437EB">
              <w:rPr>
                <w:vertAlign w:val="superscript"/>
              </w:rPr>
              <w:t>a</w:t>
            </w:r>
            <w:proofErr w:type="spellEnd"/>
          </w:p>
        </w:tc>
      </w:tr>
      <w:tr w:rsidR="00A77106" w:rsidRPr="001F2171" w14:paraId="4CD3AF30"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5E29531F" w14:textId="7F139EA6" w:rsidR="00A77106" w:rsidRPr="00924693" w:rsidRDefault="003559B5"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CD</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R</m:t>
                    </m:r>
                  </m:e>
                  <m:sub>
                    <m:r>
                      <m:rPr>
                        <m:sty m:val="bi"/>
                      </m:rPr>
                      <w:rPr>
                        <w:rFonts w:ascii="Cambria Math" w:eastAsia="Calibri" w:hAnsi="Cambria Math" w:cs="Calibri"/>
                        <w:sz w:val="22"/>
                        <w:szCs w:val="22"/>
                      </w:rPr>
                      <m:t>i,s,t,y</m:t>
                    </m:r>
                  </m:sub>
                </m:sSub>
              </m:oMath>
            </m:oMathPara>
          </w:p>
        </w:tc>
        <w:tc>
          <w:tcPr>
            <w:tcW w:w="5514" w:type="dxa"/>
          </w:tcPr>
          <w:p w14:paraId="7266A37A" w14:textId="77777777"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Gross amount of CO</w:t>
            </w:r>
            <w:r w:rsidRPr="00924693">
              <w:rPr>
                <w:rFonts w:ascii="Calibri" w:eastAsia="Calibri" w:hAnsi="Calibri" w:cs="Calibri"/>
                <w:sz w:val="22"/>
                <w:szCs w:val="22"/>
                <w:vertAlign w:val="subscript"/>
              </w:rPr>
              <w:t>2</w:t>
            </w:r>
            <w:r w:rsidRPr="00924693">
              <w:rPr>
                <w:rFonts w:ascii="Calibri" w:eastAsia="Calibri" w:hAnsi="Calibri" w:cs="Calibri"/>
                <w:sz w:val="22"/>
                <w:szCs w:val="22"/>
              </w:rPr>
              <w:t xml:space="preserve"> removed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669A69A4" w14:textId="20F87898" w:rsidR="00A77106" w:rsidRPr="00625409"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kg</w:t>
            </w:r>
            <w:r w:rsidR="003E4948" w:rsidRPr="00625409">
              <w:rPr>
                <w:rFonts w:ascii="Calibri" w:hAnsi="Calibri" w:cs="Calibri"/>
                <w:sz w:val="22"/>
                <w:szCs w:val="22"/>
              </w:rPr>
              <w:t xml:space="preserve">/functional </w:t>
            </w:r>
            <w:proofErr w:type="spellStart"/>
            <w:r w:rsidR="003E4948" w:rsidRPr="00625409">
              <w:rPr>
                <w:rFonts w:ascii="Calibri" w:hAnsi="Calibri" w:cs="Calibri"/>
                <w:sz w:val="22"/>
                <w:szCs w:val="22"/>
              </w:rPr>
              <w:t>unit</w:t>
            </w:r>
            <w:r w:rsidR="003E4948" w:rsidRPr="00625409">
              <w:rPr>
                <w:vertAlign w:val="superscript"/>
              </w:rPr>
              <w:t>a</w:t>
            </w:r>
            <w:proofErr w:type="spellEnd"/>
          </w:p>
        </w:tc>
      </w:tr>
      <w:tr w:rsidR="00A77106" w:rsidRPr="001F2171" w14:paraId="751DD29E"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6FF4B2E1" w14:textId="5C193D6D"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hAnsi="Cambria Math"/>
                    <w:sz w:val="22"/>
                    <w:szCs w:val="22"/>
                  </w:rPr>
                  <m:t>C</m:t>
                </m:r>
                <m:sSubSup>
                  <m:sSubSupPr>
                    <m:ctrlPr>
                      <w:rPr>
                        <w:rFonts w:ascii="Cambria Math" w:hAnsi="Cambria Math"/>
                        <w:b w:val="0"/>
                        <w:bCs w:val="0"/>
                        <w:i/>
                        <w:sz w:val="22"/>
                        <w:szCs w:val="22"/>
                      </w:rPr>
                    </m:ctrlPr>
                  </m:sSubSupPr>
                  <m:e>
                    <m:r>
                      <m:rPr>
                        <m:sty m:val="bi"/>
                      </m:rPr>
                      <w:rPr>
                        <w:rFonts w:ascii="Cambria Math" w:hAnsi="Cambria Math"/>
                        <w:sz w:val="22"/>
                        <w:szCs w:val="22"/>
                      </w:rPr>
                      <m:t>F</m:t>
                    </m:r>
                  </m:e>
                  <m:sub>
                    <m:r>
                      <m:rPr>
                        <m:sty m:val="bi"/>
                      </m:rPr>
                      <w:rPr>
                        <w:rFonts w:ascii="Cambria Math" w:hAnsi="Cambria Math"/>
                        <w:sz w:val="22"/>
                        <w:szCs w:val="22"/>
                      </w:rPr>
                      <m:t>k,s</m:t>
                    </m:r>
                  </m:sub>
                  <m:sup>
                    <m:r>
                      <m:rPr>
                        <m:sty m:val="bi"/>
                      </m:rPr>
                      <w:rPr>
                        <w:rFonts w:ascii="Cambria Math" w:hAnsi="Cambria Math"/>
                        <w:sz w:val="22"/>
                        <w:szCs w:val="22"/>
                      </w:rPr>
                      <m:t>ESP</m:t>
                    </m:r>
                  </m:sup>
                </m:sSubSup>
              </m:oMath>
            </m:oMathPara>
          </w:p>
        </w:tc>
        <w:tc>
          <w:tcPr>
            <w:tcW w:w="5514" w:type="dxa"/>
          </w:tcPr>
          <w:p w14:paraId="197F57E7"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1F2171">
              <w:rPr>
                <w:rFonts w:ascii="Calibri" w:eastAsia="Calibri" w:hAnsi="Calibri" w:cs="Calibri"/>
                <w:sz w:val="22"/>
                <w:szCs w:val="22"/>
              </w:rPr>
              <w:t xml:space="preserve">Characterization factor quantifying the impacts of elementary flow </w:t>
            </w:r>
            <w:r w:rsidRPr="001F2171">
              <w:rPr>
                <w:rFonts w:ascii="Calibri" w:eastAsia="Calibri" w:hAnsi="Calibri" w:cs="Calibri"/>
                <w:i/>
                <w:iCs/>
                <w:sz w:val="22"/>
                <w:szCs w:val="22"/>
              </w:rPr>
              <w:t>s</w:t>
            </w:r>
            <w:r w:rsidRPr="001F2171">
              <w:rPr>
                <w:rFonts w:ascii="Calibri" w:eastAsia="Calibri" w:hAnsi="Calibri" w:cs="Calibri"/>
                <w:sz w:val="22"/>
                <w:szCs w:val="22"/>
              </w:rPr>
              <w:t xml:space="preserve"> on Earth-system process </w:t>
            </w:r>
            <w:r w:rsidRPr="001F2171">
              <w:rPr>
                <w:rFonts w:ascii="Calibri" w:eastAsia="Calibri" w:hAnsi="Calibri" w:cs="Calibri"/>
                <w:i/>
                <w:iCs/>
                <w:sz w:val="22"/>
                <w:szCs w:val="22"/>
              </w:rPr>
              <w:t>k</w:t>
            </w:r>
          </w:p>
        </w:tc>
        <w:tc>
          <w:tcPr>
            <w:tcW w:w="1967" w:type="dxa"/>
          </w:tcPr>
          <w:p w14:paraId="455BFDA1" w14:textId="0B23B687" w:rsidR="00A77106" w:rsidRPr="00625409"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unit of control variable</w:t>
            </w:r>
            <w:r w:rsidRPr="00DD2CD7">
              <w:rPr>
                <w:rStyle w:val="Refdenotaalpie"/>
              </w:rPr>
              <w:footnoteReference w:id="7"/>
            </w:r>
            <w:r w:rsidRPr="00625409">
              <w:rPr>
                <w:rFonts w:ascii="Calibri" w:hAnsi="Calibri" w:cs="Calibri"/>
                <w:sz w:val="22"/>
                <w:szCs w:val="22"/>
              </w:rPr>
              <w:t xml:space="preserve">/unit of elementary </w:t>
            </w:r>
            <w:proofErr w:type="spellStart"/>
            <w:r w:rsidRPr="00625409">
              <w:rPr>
                <w:rFonts w:ascii="Calibri" w:hAnsi="Calibri" w:cs="Calibri"/>
                <w:sz w:val="22"/>
                <w:szCs w:val="22"/>
              </w:rPr>
              <w:t>flow</w:t>
            </w:r>
            <w:r w:rsidR="00E434F5" w:rsidRPr="00625409">
              <w:rPr>
                <w:rFonts w:ascii="Calibri" w:hAnsi="Calibri" w:cs="Calibri"/>
                <w:sz w:val="22"/>
                <w:szCs w:val="22"/>
                <w:vertAlign w:val="superscript"/>
              </w:rPr>
              <w:t>c</w:t>
            </w:r>
            <w:proofErr w:type="spellEnd"/>
          </w:p>
        </w:tc>
      </w:tr>
      <w:tr w:rsidR="00A77106" w:rsidRPr="001F2171" w14:paraId="60DC80E1"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1425DC08" w14:textId="77927EBE" w:rsidR="00A77106" w:rsidRPr="00924693" w:rsidRDefault="003559B5"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GH</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G</m:t>
                    </m:r>
                  </m:e>
                  <m:sub>
                    <m:r>
                      <m:rPr>
                        <m:sty m:val="bi"/>
                      </m:rPr>
                      <w:rPr>
                        <w:rFonts w:ascii="Cambria Math" w:eastAsia="Calibri" w:hAnsi="Cambria Math" w:cs="Calibri"/>
                        <w:sz w:val="22"/>
                        <w:szCs w:val="22"/>
                      </w:rPr>
                      <m:t>i,s,t,y</m:t>
                    </m:r>
                  </m:sub>
                </m:sSub>
              </m:oMath>
            </m:oMathPara>
          </w:p>
        </w:tc>
        <w:tc>
          <w:tcPr>
            <w:tcW w:w="5514" w:type="dxa"/>
          </w:tcPr>
          <w:p w14:paraId="0B76D04A" w14:textId="77777777" w:rsidR="00A77106" w:rsidRPr="00924693"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924693">
              <w:rPr>
                <w:rFonts w:ascii="Calibri" w:eastAsia="Calibri" w:hAnsi="Calibri" w:cs="Calibri"/>
                <w:sz w:val="22"/>
                <w:szCs w:val="22"/>
              </w:rPr>
              <w:t xml:space="preserve">Gross amount of greenhouse gas </w:t>
            </w:r>
            <w:r w:rsidRPr="00924693">
              <w:rPr>
                <w:rFonts w:ascii="Calibri" w:eastAsia="Calibri" w:hAnsi="Calibri" w:cs="Calibri"/>
                <w:i/>
                <w:iCs/>
                <w:sz w:val="22"/>
                <w:szCs w:val="22"/>
              </w:rPr>
              <w:t>s</w:t>
            </w:r>
            <w:r w:rsidRPr="00924693">
              <w:rPr>
                <w:rFonts w:ascii="Calibri" w:eastAsia="Calibri" w:hAnsi="Calibri" w:cs="Calibri"/>
                <w:sz w:val="22"/>
                <w:szCs w:val="22"/>
              </w:rPr>
              <w:t xml:space="preserve"> emitted by NETP </w:t>
            </w:r>
            <w:proofErr w:type="spellStart"/>
            <w:r w:rsidRPr="00924693">
              <w:rPr>
                <w:rFonts w:ascii="Calibri" w:eastAsia="Calibri" w:hAnsi="Calibri" w:cs="Calibri"/>
                <w:i/>
                <w:iCs/>
                <w:sz w:val="22"/>
                <w:szCs w:val="22"/>
              </w:rPr>
              <w:t>i</w:t>
            </w:r>
            <w:proofErr w:type="spellEnd"/>
            <w:r w:rsidRPr="00924693">
              <w:rPr>
                <w:rFonts w:ascii="Calibri" w:eastAsia="Calibri" w:hAnsi="Calibri" w:cs="Calibri"/>
                <w:sz w:val="22"/>
                <w:szCs w:val="22"/>
              </w:rPr>
              <w:t xml:space="preserve"> </w:t>
            </w:r>
            <w:r w:rsidRPr="00924693">
              <w:rPr>
                <w:rFonts w:ascii="Calibri" w:eastAsia="Calibri" w:hAnsi="Calibri" w:cs="Calibri"/>
                <w:i/>
                <w:iCs/>
                <w:sz w:val="22"/>
                <w:szCs w:val="22"/>
              </w:rPr>
              <w:t xml:space="preserve">t </w:t>
            </w:r>
            <w:r w:rsidRPr="00924693">
              <w:rPr>
                <w:rFonts w:ascii="Calibri" w:eastAsia="Calibri" w:hAnsi="Calibri" w:cs="Calibri"/>
                <w:sz w:val="22"/>
                <w:szCs w:val="22"/>
              </w:rPr>
              <w:t xml:space="preserve">years after deployment in year </w:t>
            </w:r>
            <w:r w:rsidRPr="00924693">
              <w:rPr>
                <w:rFonts w:ascii="Calibri" w:eastAsia="Calibri" w:hAnsi="Calibri" w:cs="Calibri"/>
                <w:i/>
                <w:iCs/>
                <w:sz w:val="22"/>
                <w:szCs w:val="22"/>
              </w:rPr>
              <w:t>y</w:t>
            </w:r>
          </w:p>
        </w:tc>
        <w:tc>
          <w:tcPr>
            <w:tcW w:w="1967" w:type="dxa"/>
          </w:tcPr>
          <w:p w14:paraId="68214EE4" w14:textId="77373250" w:rsidR="00A77106" w:rsidRPr="00625409"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kg</w:t>
            </w:r>
            <w:r w:rsidR="003E4948" w:rsidRPr="00625409">
              <w:rPr>
                <w:rFonts w:ascii="Calibri" w:hAnsi="Calibri" w:cs="Calibri"/>
                <w:sz w:val="22"/>
                <w:szCs w:val="22"/>
              </w:rPr>
              <w:t xml:space="preserve">/functional </w:t>
            </w:r>
            <w:proofErr w:type="spellStart"/>
            <w:r w:rsidR="003E4948" w:rsidRPr="00625409">
              <w:rPr>
                <w:rFonts w:ascii="Calibri" w:hAnsi="Calibri" w:cs="Calibri"/>
                <w:sz w:val="22"/>
                <w:szCs w:val="22"/>
              </w:rPr>
              <w:t>unit</w:t>
            </w:r>
            <w:r w:rsidR="003E4948" w:rsidRPr="00625409">
              <w:rPr>
                <w:vertAlign w:val="superscript"/>
              </w:rPr>
              <w:t>a</w:t>
            </w:r>
            <w:proofErr w:type="spellEnd"/>
          </w:p>
        </w:tc>
      </w:tr>
      <w:tr w:rsidR="00A77106" w:rsidRPr="001F2171" w14:paraId="44022F7E"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64921D7" w14:textId="3A26C83E" w:rsidR="00A77106" w:rsidRPr="001F2171" w:rsidRDefault="003559B5"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w:lastRenderedPageBreak/>
                  <m:t>GW</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P</m:t>
                    </m:r>
                  </m:e>
                  <m:sub>
                    <m:r>
                      <m:rPr>
                        <m:sty m:val="bi"/>
                      </m:rPr>
                      <w:rPr>
                        <w:rFonts w:ascii="Cambria Math" w:eastAsia="Calibri" w:hAnsi="Cambria Math" w:cs="Calibri"/>
                        <w:sz w:val="22"/>
                        <w:szCs w:val="22"/>
                      </w:rPr>
                      <m:t>s,t</m:t>
                    </m:r>
                  </m:sub>
                </m:sSub>
              </m:oMath>
            </m:oMathPara>
          </w:p>
        </w:tc>
        <w:tc>
          <w:tcPr>
            <w:tcW w:w="5514" w:type="dxa"/>
          </w:tcPr>
          <w:p w14:paraId="3EA3F060"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eastAsia="Calibri" w:hAnsi="Calibri" w:cs="Calibri"/>
                <w:sz w:val="22"/>
                <w:szCs w:val="22"/>
              </w:rPr>
              <w:t xml:space="preserve">Global warming potential of greenhouse gas </w:t>
            </w:r>
            <w:r w:rsidRPr="001F2171">
              <w:rPr>
                <w:rFonts w:ascii="Calibri" w:eastAsia="Calibri" w:hAnsi="Calibri" w:cs="Calibri"/>
                <w:i/>
                <w:iCs/>
                <w:sz w:val="22"/>
                <w:szCs w:val="22"/>
              </w:rPr>
              <w:t>s</w:t>
            </w:r>
            <w:r w:rsidRPr="001F2171">
              <w:rPr>
                <w:rFonts w:ascii="Calibri" w:eastAsia="Calibri" w:hAnsi="Calibri" w:cs="Calibri"/>
                <w:sz w:val="22"/>
                <w:szCs w:val="22"/>
              </w:rPr>
              <w:t xml:space="preserve"> emitted in year </w:t>
            </w:r>
            <w:r w:rsidRPr="001F2171">
              <w:rPr>
                <w:rFonts w:ascii="Calibri" w:eastAsia="Calibri" w:hAnsi="Calibri" w:cs="Calibri"/>
                <w:i/>
                <w:iCs/>
                <w:sz w:val="22"/>
                <w:szCs w:val="22"/>
              </w:rPr>
              <w:t>t</w:t>
            </w:r>
          </w:p>
        </w:tc>
        <w:tc>
          <w:tcPr>
            <w:tcW w:w="1967" w:type="dxa"/>
          </w:tcPr>
          <w:p w14:paraId="3249605A"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kgCO</w:t>
            </w:r>
            <w:r w:rsidRPr="001F2171">
              <w:rPr>
                <w:rFonts w:ascii="Calibri" w:hAnsi="Calibri" w:cs="Calibri"/>
                <w:sz w:val="22"/>
                <w:szCs w:val="22"/>
                <w:vertAlign w:val="subscript"/>
              </w:rPr>
              <w:t>2</w:t>
            </w:r>
            <w:r w:rsidRPr="001F2171">
              <w:rPr>
                <w:rFonts w:ascii="Calibri" w:hAnsi="Calibri" w:cs="Calibri"/>
                <w:sz w:val="22"/>
                <w:szCs w:val="22"/>
              </w:rPr>
              <w:t>eq/kg</w:t>
            </w:r>
          </w:p>
        </w:tc>
      </w:tr>
      <w:tr w:rsidR="00A77106" w:rsidRPr="001F2171" w14:paraId="08A4DEDD"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22E4C39A" w14:textId="3C3FECFA"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hAnsi="Cambria Math"/>
                    <w:sz w:val="22"/>
                    <w:szCs w:val="22"/>
                  </w:rPr>
                  <m:t>HolNPP</m:t>
                </m:r>
              </m:oMath>
            </m:oMathPara>
          </w:p>
        </w:tc>
        <w:tc>
          <w:tcPr>
            <w:tcW w:w="5514" w:type="dxa"/>
          </w:tcPr>
          <w:p w14:paraId="3D30A1B8" w14:textId="77777777" w:rsidR="00A77106" w:rsidRPr="001F2171"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Holocene annual net primary productivity</w:t>
            </w:r>
          </w:p>
        </w:tc>
        <w:tc>
          <w:tcPr>
            <w:tcW w:w="1967" w:type="dxa"/>
          </w:tcPr>
          <w:p w14:paraId="0DB8E138"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roofErr w:type="spellStart"/>
            <w:r w:rsidRPr="001F2171">
              <w:rPr>
                <w:rFonts w:ascii="Calibri" w:hAnsi="Calibri" w:cs="Calibri"/>
                <w:sz w:val="22"/>
                <w:szCs w:val="22"/>
              </w:rPr>
              <w:t>kgC</w:t>
            </w:r>
            <w:proofErr w:type="spellEnd"/>
          </w:p>
        </w:tc>
      </w:tr>
      <w:tr w:rsidR="00A77106" w:rsidRPr="001F2171" w14:paraId="2BF747BD"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38067CA2" w14:textId="1B9D66A2"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Sup>
                  <m:sSubSupPr>
                    <m:ctrlPr>
                      <w:rPr>
                        <w:rFonts w:ascii="Cambria Math" w:hAnsi="Cambria Math"/>
                        <w:b w:val="0"/>
                        <w:bCs w:val="0"/>
                        <w:i/>
                        <w:sz w:val="22"/>
                        <w:szCs w:val="22"/>
                      </w:rPr>
                    </m:ctrlPr>
                  </m:sSubSupPr>
                  <m:e>
                    <m:r>
                      <m:rPr>
                        <m:sty m:val="bi"/>
                      </m:rPr>
                      <w:rPr>
                        <w:rFonts w:ascii="Cambria Math" w:hAnsi="Cambria Math"/>
                        <w:sz w:val="22"/>
                        <w:szCs w:val="22"/>
                      </w:rPr>
                      <m:t>I</m:t>
                    </m:r>
                  </m:e>
                  <m:sub>
                    <m:r>
                      <m:rPr>
                        <m:sty m:val="bi"/>
                      </m:rPr>
                      <w:rPr>
                        <w:rFonts w:ascii="Cambria Math" w:hAnsi="Cambria Math"/>
                        <w:sz w:val="22"/>
                        <w:szCs w:val="22"/>
                      </w:rPr>
                      <m:t>i,k,y</m:t>
                    </m:r>
                  </m:sub>
                  <m:sup>
                    <m:r>
                      <m:rPr>
                        <m:sty m:val="bi"/>
                      </m:rPr>
                      <w:rPr>
                        <w:rFonts w:ascii="Cambria Math" w:hAnsi="Cambria Math"/>
                        <w:sz w:val="22"/>
                        <w:szCs w:val="22"/>
                      </w:rPr>
                      <m:t>ESP</m:t>
                    </m:r>
                  </m:sup>
                </m:sSubSup>
              </m:oMath>
            </m:oMathPara>
          </w:p>
        </w:tc>
        <w:tc>
          <w:tcPr>
            <w:tcW w:w="5514" w:type="dxa"/>
          </w:tcPr>
          <w:p w14:paraId="6BE81D1A" w14:textId="77777777" w:rsidR="00A77106" w:rsidRPr="001F2171"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Impact of NETP </w:t>
            </w:r>
            <w:proofErr w:type="spellStart"/>
            <w:r w:rsidRPr="001F2171">
              <w:rPr>
                <w:rFonts w:ascii="Calibri" w:hAnsi="Calibri" w:cs="Calibri"/>
                <w:i/>
                <w:iCs/>
                <w:sz w:val="22"/>
                <w:szCs w:val="22"/>
              </w:rPr>
              <w:t>i</w:t>
            </w:r>
            <w:proofErr w:type="spellEnd"/>
            <w:r w:rsidRPr="001F2171">
              <w:rPr>
                <w:rFonts w:ascii="Calibri" w:hAnsi="Calibri" w:cs="Calibri"/>
                <w:sz w:val="22"/>
                <w:szCs w:val="22"/>
              </w:rPr>
              <w:t xml:space="preserve"> deployed in year </w:t>
            </w:r>
            <w:r w:rsidRPr="001F2171">
              <w:rPr>
                <w:rFonts w:ascii="Calibri" w:hAnsi="Calibri" w:cs="Calibri"/>
                <w:i/>
                <w:iCs/>
                <w:sz w:val="22"/>
                <w:szCs w:val="22"/>
              </w:rPr>
              <w:t>y</w:t>
            </w:r>
            <w:r w:rsidRPr="001F2171">
              <w:rPr>
                <w:rFonts w:ascii="Calibri" w:hAnsi="Calibri" w:cs="Calibri"/>
                <w:sz w:val="22"/>
                <w:szCs w:val="22"/>
              </w:rPr>
              <w:t xml:space="preserve"> on Earth-system process </w:t>
            </w:r>
            <w:r w:rsidRPr="001F2171">
              <w:rPr>
                <w:rFonts w:ascii="Calibri" w:hAnsi="Calibri" w:cs="Calibri"/>
                <w:i/>
                <w:iCs/>
                <w:sz w:val="22"/>
                <w:szCs w:val="22"/>
              </w:rPr>
              <w:t>k</w:t>
            </w:r>
          </w:p>
        </w:tc>
        <w:tc>
          <w:tcPr>
            <w:tcW w:w="1967" w:type="dxa"/>
          </w:tcPr>
          <w:p w14:paraId="42B16EDF" w14:textId="09C5B1EF"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of</w:t>
            </w:r>
            <w:r w:rsidRPr="001F2171">
              <w:rPr>
                <w:rFonts w:ascii="Calibri" w:hAnsi="Calibri" w:cs="Calibri"/>
                <w:b/>
                <w:bCs/>
                <w:sz w:val="22"/>
                <w:szCs w:val="22"/>
              </w:rPr>
              <w:t xml:space="preserve"> </w:t>
            </w:r>
            <m:oMath>
              <m:r>
                <w:rPr>
                  <w:rFonts w:ascii="Cambria Math" w:eastAsia="Calibri" w:hAnsi="Cambria Math" w:cs="Calibri"/>
                  <w:sz w:val="22"/>
                  <w:szCs w:val="22"/>
                </w:rPr>
                <m:t>SO</m:t>
              </m:r>
              <m:sSub>
                <m:sSubPr>
                  <m:ctrlPr>
                    <w:rPr>
                      <w:rFonts w:ascii="Cambria Math" w:eastAsia="Calibri" w:hAnsi="Cambria Math" w:cs="Calibri"/>
                      <w:bCs/>
                      <w:i/>
                      <w:sz w:val="22"/>
                      <w:szCs w:val="22"/>
                    </w:rPr>
                  </m:ctrlPr>
                </m:sSubPr>
                <m:e>
                  <m:r>
                    <w:rPr>
                      <w:rFonts w:ascii="Cambria Math" w:eastAsia="Calibri" w:hAnsi="Cambria Math" w:cs="Calibri"/>
                      <w:sz w:val="22"/>
                      <w:szCs w:val="22"/>
                    </w:rPr>
                    <m:t>S</m:t>
                  </m:r>
                </m:e>
                <m:sub>
                  <m:r>
                    <w:rPr>
                      <w:rFonts w:ascii="Cambria Math" w:eastAsia="Calibri" w:hAnsi="Cambria Math" w:cs="Calibri"/>
                      <w:sz w:val="22"/>
                      <w:szCs w:val="22"/>
                    </w:rPr>
                    <m:t>k,y</m:t>
                  </m:r>
                </m:sub>
              </m:sSub>
            </m:oMath>
            <w:r w:rsidR="0042723E">
              <w:rPr>
                <w:rFonts w:ascii="Calibri" w:eastAsiaTheme="minorEastAsia" w:hAnsi="Calibri" w:cs="Calibri"/>
                <w:bCs/>
                <w:sz w:val="22"/>
                <w:szCs w:val="22"/>
              </w:rPr>
              <w:t xml:space="preserve">/ </w:t>
            </w:r>
            <w:r w:rsidR="0042723E" w:rsidRPr="00625409">
              <w:rPr>
                <w:rFonts w:ascii="Calibri" w:hAnsi="Calibri" w:cs="Calibri"/>
                <w:sz w:val="22"/>
                <w:szCs w:val="22"/>
              </w:rPr>
              <w:t xml:space="preserve">functional </w:t>
            </w:r>
            <w:proofErr w:type="spellStart"/>
            <w:r w:rsidR="0042723E" w:rsidRPr="00625409">
              <w:rPr>
                <w:rFonts w:ascii="Calibri" w:hAnsi="Calibri" w:cs="Calibri"/>
                <w:sz w:val="22"/>
                <w:szCs w:val="22"/>
              </w:rPr>
              <w:t>unit</w:t>
            </w:r>
            <w:r w:rsidR="0042723E" w:rsidRPr="00625409">
              <w:rPr>
                <w:vertAlign w:val="superscript"/>
              </w:rPr>
              <w:t>a</w:t>
            </w:r>
            <w:proofErr w:type="spellEnd"/>
            <w:r w:rsidRPr="001F2171">
              <w:rPr>
                <w:rFonts w:ascii="Calibri" w:hAnsi="Calibri" w:cs="Calibri"/>
                <w:sz w:val="22"/>
                <w:szCs w:val="22"/>
              </w:rPr>
              <w:t xml:space="preserve"> </w:t>
            </w:r>
          </w:p>
        </w:tc>
      </w:tr>
      <w:tr w:rsidR="00A77106" w:rsidRPr="001F2171" w14:paraId="2A29C425"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4887F89F" w14:textId="35769F57"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hAnsi="Cambria Math"/>
                    <w:sz w:val="22"/>
                    <w:szCs w:val="22"/>
                  </w:rPr>
                  <m:t>N</m:t>
                </m:r>
                <m:sSub>
                  <m:sSubPr>
                    <m:ctrlPr>
                      <w:rPr>
                        <w:rFonts w:ascii="Cambria Math" w:hAnsi="Cambria Math"/>
                        <w:b w:val="0"/>
                        <w:bCs w:val="0"/>
                        <w:i/>
                        <w:sz w:val="22"/>
                        <w:szCs w:val="22"/>
                      </w:rPr>
                    </m:ctrlPr>
                  </m:sSubPr>
                  <m:e>
                    <m:r>
                      <m:rPr>
                        <m:sty m:val="bi"/>
                      </m:rPr>
                      <w:rPr>
                        <w:rFonts w:ascii="Cambria Math" w:hAnsi="Cambria Math"/>
                        <w:sz w:val="22"/>
                        <w:szCs w:val="22"/>
                      </w:rPr>
                      <m:t>B</m:t>
                    </m:r>
                  </m:e>
                  <m:sub>
                    <m:r>
                      <m:rPr>
                        <m:sty m:val="bi"/>
                      </m:rPr>
                      <w:rPr>
                        <w:rFonts w:ascii="Cambria Math" w:hAnsi="Cambria Math"/>
                        <w:sz w:val="22"/>
                        <w:szCs w:val="22"/>
                      </w:rPr>
                      <m:t>k</m:t>
                    </m:r>
                  </m:sub>
                </m:sSub>
              </m:oMath>
            </m:oMathPara>
          </w:p>
        </w:tc>
        <w:tc>
          <w:tcPr>
            <w:tcW w:w="5514" w:type="dxa"/>
          </w:tcPr>
          <w:p w14:paraId="2359D93C" w14:textId="77777777" w:rsidR="00A77106" w:rsidRPr="001F2171"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Natural background level of Earth-system process </w:t>
            </w:r>
            <w:r w:rsidRPr="001F2171">
              <w:rPr>
                <w:rFonts w:ascii="Calibri" w:hAnsi="Calibri" w:cs="Calibri"/>
                <w:i/>
                <w:iCs/>
                <w:sz w:val="22"/>
                <w:szCs w:val="22"/>
              </w:rPr>
              <w:t>k</w:t>
            </w:r>
          </w:p>
        </w:tc>
        <w:tc>
          <w:tcPr>
            <w:tcW w:w="1967" w:type="dxa"/>
          </w:tcPr>
          <w:p w14:paraId="48EF94BC" w14:textId="77777777" w:rsidR="00A77106" w:rsidRPr="00625409"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 xml:space="preserve">unit of control </w:t>
            </w:r>
            <w:proofErr w:type="spellStart"/>
            <w:r w:rsidRPr="00625409">
              <w:rPr>
                <w:rFonts w:ascii="Calibri" w:hAnsi="Calibri" w:cs="Calibri"/>
                <w:sz w:val="22"/>
                <w:szCs w:val="22"/>
              </w:rPr>
              <w:t>variable</w:t>
            </w:r>
            <w:r w:rsidRPr="00625409">
              <w:rPr>
                <w:rFonts w:ascii="Calibri" w:hAnsi="Calibri" w:cs="Calibri"/>
                <w:sz w:val="22"/>
                <w:szCs w:val="22"/>
                <w:vertAlign w:val="superscript"/>
              </w:rPr>
              <w:t>f</w:t>
            </w:r>
            <w:proofErr w:type="spellEnd"/>
          </w:p>
        </w:tc>
      </w:tr>
      <w:tr w:rsidR="00A77106" w:rsidRPr="001F2171" w14:paraId="68631CC0"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F567CBC" w14:textId="25CD240B"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hAnsi="Cambria Math"/>
                    <w:sz w:val="22"/>
                    <w:szCs w:val="22"/>
                  </w:rPr>
                  <m:t>P</m:t>
                </m:r>
                <m:sSub>
                  <m:sSubPr>
                    <m:ctrlPr>
                      <w:rPr>
                        <w:rFonts w:ascii="Cambria Math" w:hAnsi="Cambria Math"/>
                        <w:b w:val="0"/>
                        <w:bCs w:val="0"/>
                        <w:i/>
                        <w:sz w:val="22"/>
                        <w:szCs w:val="22"/>
                      </w:rPr>
                    </m:ctrlPr>
                  </m:sSubPr>
                  <m:e>
                    <m:r>
                      <m:rPr>
                        <m:sty m:val="bi"/>
                      </m:rPr>
                      <w:rPr>
                        <w:rFonts w:ascii="Cambria Math" w:hAnsi="Cambria Math"/>
                        <w:sz w:val="22"/>
                        <w:szCs w:val="22"/>
                      </w:rPr>
                      <m:t>B</m:t>
                    </m:r>
                  </m:e>
                  <m:sub>
                    <m:r>
                      <m:rPr>
                        <m:sty m:val="bi"/>
                      </m:rPr>
                      <w:rPr>
                        <w:rFonts w:ascii="Cambria Math" w:hAnsi="Cambria Math"/>
                        <w:sz w:val="22"/>
                        <w:szCs w:val="22"/>
                      </w:rPr>
                      <m:t>k</m:t>
                    </m:r>
                  </m:sub>
                </m:sSub>
              </m:oMath>
            </m:oMathPara>
          </w:p>
        </w:tc>
        <w:tc>
          <w:tcPr>
            <w:tcW w:w="5514" w:type="dxa"/>
          </w:tcPr>
          <w:p w14:paraId="53FC021A" w14:textId="3F805633" w:rsidR="00A77106" w:rsidRPr="001F2171"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Planetary boundary </w:t>
            </w:r>
            <w:r w:rsidR="002D36C2">
              <w:rPr>
                <w:rFonts w:ascii="Calibri" w:hAnsi="Calibri" w:cs="Calibri"/>
                <w:sz w:val="22"/>
                <w:szCs w:val="22"/>
              </w:rPr>
              <w:t>for</w:t>
            </w:r>
            <w:r w:rsidRPr="001F2171">
              <w:rPr>
                <w:rFonts w:ascii="Calibri" w:hAnsi="Calibri" w:cs="Calibri"/>
                <w:sz w:val="22"/>
                <w:szCs w:val="22"/>
              </w:rPr>
              <w:t xml:space="preserve"> Earth-system process </w:t>
            </w:r>
            <w:r w:rsidRPr="001F2171">
              <w:rPr>
                <w:rFonts w:ascii="Calibri" w:hAnsi="Calibri" w:cs="Calibri"/>
                <w:i/>
                <w:iCs/>
                <w:sz w:val="22"/>
                <w:szCs w:val="22"/>
              </w:rPr>
              <w:t>k</w:t>
            </w:r>
          </w:p>
        </w:tc>
        <w:tc>
          <w:tcPr>
            <w:tcW w:w="1967" w:type="dxa"/>
          </w:tcPr>
          <w:p w14:paraId="05E97611" w14:textId="77777777" w:rsidR="00A77106" w:rsidRPr="00625409"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 xml:space="preserve">unit of control </w:t>
            </w:r>
            <w:proofErr w:type="spellStart"/>
            <w:r w:rsidRPr="00625409">
              <w:rPr>
                <w:rFonts w:ascii="Calibri" w:hAnsi="Calibri" w:cs="Calibri"/>
                <w:sz w:val="22"/>
                <w:szCs w:val="22"/>
              </w:rPr>
              <w:t>variable</w:t>
            </w:r>
            <w:r w:rsidRPr="00625409">
              <w:rPr>
                <w:rFonts w:ascii="Calibri" w:hAnsi="Calibri" w:cs="Calibri"/>
                <w:sz w:val="22"/>
                <w:szCs w:val="22"/>
                <w:vertAlign w:val="superscript"/>
              </w:rPr>
              <w:t>f</w:t>
            </w:r>
            <w:proofErr w:type="spellEnd"/>
          </w:p>
        </w:tc>
      </w:tr>
      <w:tr w:rsidR="00A77106" w:rsidRPr="001F2171" w14:paraId="1B039C9D"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3D52E2E4" w14:textId="7D9B8E54"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Q</m:t>
                    </m:r>
                  </m:e>
                  <m:sub>
                    <m:r>
                      <m:rPr>
                        <m:sty m:val="bi"/>
                      </m:rPr>
                      <w:rPr>
                        <w:rFonts w:ascii="Cambria Math" w:hAnsi="Cambria Math" w:cs="Calibri"/>
                        <w:sz w:val="22"/>
                        <w:szCs w:val="22"/>
                      </w:rPr>
                      <m:t>i,s,t,y</m:t>
                    </m:r>
                  </m:sub>
                </m:sSub>
              </m:oMath>
            </m:oMathPara>
          </w:p>
        </w:tc>
        <w:tc>
          <w:tcPr>
            <w:tcW w:w="5514" w:type="dxa"/>
          </w:tcPr>
          <w:p w14:paraId="2FD7294F" w14:textId="77777777" w:rsidR="00A77106" w:rsidRPr="001F2171"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1F2171">
              <w:rPr>
                <w:rFonts w:ascii="Calibri" w:hAnsi="Calibri" w:cs="Calibri"/>
                <w:sz w:val="22"/>
                <w:szCs w:val="22"/>
              </w:rPr>
              <w:t xml:space="preserve">Amount of elementary flow </w:t>
            </w:r>
            <w:r w:rsidRPr="001F2171">
              <w:rPr>
                <w:rFonts w:ascii="Calibri" w:hAnsi="Calibri" w:cs="Calibri"/>
                <w:i/>
                <w:iCs/>
                <w:sz w:val="22"/>
                <w:szCs w:val="22"/>
              </w:rPr>
              <w:t xml:space="preserve">s </w:t>
            </w:r>
            <w:r w:rsidRPr="001F2171">
              <w:rPr>
                <w:rFonts w:ascii="Calibri" w:hAnsi="Calibri" w:cs="Calibri"/>
                <w:sz w:val="22"/>
                <w:szCs w:val="22"/>
              </w:rPr>
              <w:t>exchanged between NETP</w:t>
            </w:r>
            <w:r w:rsidRPr="001F2171">
              <w:rPr>
                <w:rFonts w:ascii="Calibri" w:hAnsi="Calibri" w:cs="Calibri"/>
                <w:i/>
                <w:iCs/>
                <w:sz w:val="22"/>
                <w:szCs w:val="22"/>
              </w:rPr>
              <w:t xml:space="preserve"> </w:t>
            </w:r>
            <w:proofErr w:type="spellStart"/>
            <w:r w:rsidRPr="001F2171">
              <w:rPr>
                <w:rFonts w:ascii="Calibri" w:hAnsi="Calibri" w:cs="Calibri"/>
                <w:i/>
                <w:iCs/>
                <w:sz w:val="22"/>
                <w:szCs w:val="22"/>
              </w:rPr>
              <w:t>i</w:t>
            </w:r>
            <w:proofErr w:type="spellEnd"/>
            <w:r w:rsidRPr="001F2171">
              <w:rPr>
                <w:rFonts w:ascii="Calibri" w:hAnsi="Calibri" w:cs="Calibri"/>
                <w:i/>
                <w:iCs/>
                <w:sz w:val="22"/>
                <w:szCs w:val="22"/>
              </w:rPr>
              <w:t xml:space="preserve"> </w:t>
            </w:r>
            <w:r w:rsidRPr="001F2171">
              <w:rPr>
                <w:rFonts w:ascii="Calibri" w:hAnsi="Calibri" w:cs="Calibri"/>
                <w:sz w:val="22"/>
                <w:szCs w:val="22"/>
              </w:rPr>
              <w:t>and the environment</w:t>
            </w:r>
            <w:r w:rsidRPr="001F2171">
              <w:rPr>
                <w:rFonts w:ascii="Calibri" w:hAnsi="Calibri" w:cs="Calibri"/>
                <w:i/>
                <w:iCs/>
                <w:sz w:val="22"/>
                <w:szCs w:val="22"/>
              </w:rPr>
              <w:t xml:space="preserve"> t </w:t>
            </w:r>
            <w:r w:rsidRPr="001F2171">
              <w:rPr>
                <w:rFonts w:ascii="Calibri" w:hAnsi="Calibri" w:cs="Calibri"/>
                <w:sz w:val="22"/>
                <w:szCs w:val="22"/>
              </w:rPr>
              <w:t>years after deployment in year</w:t>
            </w:r>
            <w:r w:rsidRPr="001F2171">
              <w:rPr>
                <w:rFonts w:ascii="Calibri" w:hAnsi="Calibri" w:cs="Calibri"/>
                <w:i/>
                <w:iCs/>
                <w:sz w:val="22"/>
                <w:szCs w:val="22"/>
              </w:rPr>
              <w:t xml:space="preserve"> y</w:t>
            </w:r>
          </w:p>
        </w:tc>
        <w:tc>
          <w:tcPr>
            <w:tcW w:w="1967" w:type="dxa"/>
          </w:tcPr>
          <w:p w14:paraId="6C58856D" w14:textId="3F09E50B" w:rsidR="00A77106" w:rsidRPr="00625409"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625409">
              <w:rPr>
                <w:rFonts w:ascii="Calibri" w:hAnsi="Calibri" w:cs="Calibri"/>
                <w:sz w:val="22"/>
                <w:szCs w:val="22"/>
              </w:rPr>
              <w:t xml:space="preserve">unit of elementary </w:t>
            </w:r>
            <w:proofErr w:type="spellStart"/>
            <w:r w:rsidRPr="00625409">
              <w:rPr>
                <w:rFonts w:ascii="Calibri" w:hAnsi="Calibri" w:cs="Calibri"/>
                <w:sz w:val="22"/>
                <w:szCs w:val="22"/>
              </w:rPr>
              <w:t>flow</w:t>
            </w:r>
            <w:r w:rsidR="00E434F5" w:rsidRPr="00625409">
              <w:rPr>
                <w:rFonts w:ascii="Calibri" w:hAnsi="Calibri" w:cs="Calibri"/>
                <w:sz w:val="22"/>
                <w:szCs w:val="22"/>
                <w:vertAlign w:val="superscript"/>
              </w:rPr>
              <w:t>c</w:t>
            </w:r>
            <w:proofErr w:type="spellEnd"/>
            <w:r w:rsidRPr="00625409">
              <w:rPr>
                <w:rFonts w:ascii="Calibri" w:hAnsi="Calibri" w:cs="Calibri"/>
                <w:sz w:val="22"/>
                <w:szCs w:val="22"/>
              </w:rPr>
              <w:t xml:space="preserve">/functional </w:t>
            </w:r>
            <w:proofErr w:type="spellStart"/>
            <w:r w:rsidRPr="00625409">
              <w:rPr>
                <w:rFonts w:ascii="Calibri" w:hAnsi="Calibri" w:cs="Calibri"/>
                <w:sz w:val="22"/>
                <w:szCs w:val="22"/>
              </w:rPr>
              <w:t>unit</w:t>
            </w:r>
            <w:r w:rsidR="00B736DE" w:rsidRPr="00625409">
              <w:rPr>
                <w:rFonts w:ascii="Calibri" w:hAnsi="Calibri" w:cs="Calibri"/>
                <w:sz w:val="22"/>
                <w:szCs w:val="22"/>
                <w:vertAlign w:val="superscript"/>
              </w:rPr>
              <w:t>a</w:t>
            </w:r>
            <w:proofErr w:type="spellEnd"/>
          </w:p>
        </w:tc>
      </w:tr>
      <w:tr w:rsidR="00A77106" w:rsidRPr="001F2171" w14:paraId="1C6B9CD3"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749BE9CE" w14:textId="7FDB79E6"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Calibri" w:hAnsi="Cambria Math" w:cs="Calibri"/>
                    <w:sz w:val="22"/>
                    <w:szCs w:val="22"/>
                  </w:rPr>
                  <m:t>SO</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S</m:t>
                    </m:r>
                  </m:e>
                  <m:sub>
                    <m:r>
                      <m:rPr>
                        <m:sty m:val="bi"/>
                      </m:rPr>
                      <w:rPr>
                        <w:rFonts w:ascii="Cambria Math" w:eastAsia="Calibri" w:hAnsi="Cambria Math" w:cs="Calibri"/>
                        <w:sz w:val="22"/>
                        <w:szCs w:val="22"/>
                      </w:rPr>
                      <m:t>k,y</m:t>
                    </m:r>
                  </m:sub>
                </m:sSub>
              </m:oMath>
            </m:oMathPara>
          </w:p>
        </w:tc>
        <w:tc>
          <w:tcPr>
            <w:tcW w:w="5514" w:type="dxa"/>
          </w:tcPr>
          <w:p w14:paraId="1C657B93"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Safe operating space of Earth-system process </w:t>
            </w:r>
            <w:r w:rsidRPr="001F2171">
              <w:rPr>
                <w:rFonts w:ascii="Calibri" w:hAnsi="Calibri" w:cs="Calibri"/>
                <w:i/>
                <w:iCs/>
                <w:sz w:val="22"/>
                <w:szCs w:val="22"/>
              </w:rPr>
              <w:t>k</w:t>
            </w:r>
            <w:r w:rsidRPr="001F2171">
              <w:rPr>
                <w:rFonts w:ascii="Calibri" w:hAnsi="Calibri" w:cs="Calibri"/>
                <w:sz w:val="22"/>
                <w:szCs w:val="22"/>
              </w:rPr>
              <w:t xml:space="preserve"> in year </w:t>
            </w:r>
            <w:r w:rsidRPr="001F2171">
              <w:rPr>
                <w:rFonts w:ascii="Calibri" w:hAnsi="Calibri" w:cs="Calibri"/>
                <w:i/>
                <w:iCs/>
                <w:sz w:val="22"/>
                <w:szCs w:val="22"/>
              </w:rPr>
              <w:t>y</w:t>
            </w:r>
          </w:p>
        </w:tc>
        <w:tc>
          <w:tcPr>
            <w:tcW w:w="1967" w:type="dxa"/>
          </w:tcPr>
          <w:p w14:paraId="7C427411" w14:textId="77777777" w:rsidR="00A77106" w:rsidRPr="00625409"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FF0000"/>
                <w:sz w:val="22"/>
                <w:szCs w:val="22"/>
              </w:rPr>
            </w:pPr>
            <w:r w:rsidRPr="00625409">
              <w:rPr>
                <w:rFonts w:ascii="Calibri" w:hAnsi="Calibri" w:cs="Calibri"/>
                <w:sz w:val="22"/>
                <w:szCs w:val="22"/>
              </w:rPr>
              <w:t xml:space="preserve">unit of control </w:t>
            </w:r>
            <w:proofErr w:type="spellStart"/>
            <w:r w:rsidRPr="00625409">
              <w:rPr>
                <w:rFonts w:ascii="Calibri" w:hAnsi="Calibri" w:cs="Calibri"/>
                <w:sz w:val="22"/>
                <w:szCs w:val="22"/>
              </w:rPr>
              <w:t>variable</w:t>
            </w:r>
            <w:r w:rsidRPr="00625409">
              <w:rPr>
                <w:rFonts w:ascii="Calibri" w:hAnsi="Calibri" w:cs="Calibri"/>
                <w:sz w:val="22"/>
                <w:szCs w:val="22"/>
                <w:vertAlign w:val="superscript"/>
              </w:rPr>
              <w:t>f</w:t>
            </w:r>
            <w:proofErr w:type="spellEnd"/>
          </w:p>
        </w:tc>
      </w:tr>
      <w:tr w:rsidR="00A77106" w:rsidRPr="001F2171" w14:paraId="417361FD"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676C0CD0" w14:textId="3854B043"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Calibri" w:hAnsi="Cambria Math" w:cs="Calibri"/>
                    <w:sz w:val="22"/>
                    <w:szCs w:val="22"/>
                  </w:rPr>
                  <m:t>TH</m:t>
                </m:r>
              </m:oMath>
            </m:oMathPara>
          </w:p>
        </w:tc>
        <w:tc>
          <w:tcPr>
            <w:tcW w:w="5514" w:type="dxa"/>
          </w:tcPr>
          <w:p w14:paraId="37347050"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1F2171">
              <w:rPr>
                <w:rFonts w:ascii="Calibri" w:hAnsi="Calibri" w:cs="Calibri"/>
                <w:sz w:val="22"/>
                <w:szCs w:val="22"/>
              </w:rPr>
              <w:t>Time horizon</w:t>
            </w:r>
          </w:p>
        </w:tc>
        <w:tc>
          <w:tcPr>
            <w:tcW w:w="1967" w:type="dxa"/>
          </w:tcPr>
          <w:p w14:paraId="71C5845A" w14:textId="730D0B8E"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year</w:t>
            </w:r>
          </w:p>
        </w:tc>
      </w:tr>
      <w:tr w:rsidR="00A77106" w:rsidRPr="001F2171" w14:paraId="7AB8B10A"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282F2F7" w14:textId="514EE031"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Sup>
                  <m:sSubSupPr>
                    <m:ctrlPr>
                      <w:rPr>
                        <w:rFonts w:ascii="Cambria Math" w:hAnsi="Cambria Math"/>
                        <w:b w:val="0"/>
                        <w:bCs w:val="0"/>
                        <w:i/>
                        <w:sz w:val="22"/>
                        <w:szCs w:val="22"/>
                      </w:rPr>
                    </m:ctrlPr>
                  </m:sSubSupPr>
                  <m:e>
                    <m:r>
                      <m:rPr>
                        <m:sty m:val="bi"/>
                      </m:rPr>
                      <w:rPr>
                        <w:rFonts w:ascii="Cambria Math" w:hAnsi="Cambria Math"/>
                        <w:sz w:val="22"/>
                        <w:szCs w:val="22"/>
                      </w:rPr>
                      <m:t>x</m:t>
                    </m:r>
                  </m:e>
                  <m:sub>
                    <m:r>
                      <m:rPr>
                        <m:sty m:val="bi"/>
                      </m:rPr>
                      <w:rPr>
                        <w:rFonts w:ascii="Cambria Math" w:hAnsi="Cambria Math"/>
                        <w:sz w:val="22"/>
                        <w:szCs w:val="22"/>
                      </w:rPr>
                      <m:t>a</m:t>
                    </m:r>
                  </m:sub>
                  <m:sup>
                    <m:r>
                      <m:rPr>
                        <m:sty m:val="bi"/>
                      </m:rPr>
                      <w:rPr>
                        <w:rFonts w:ascii="Cambria Math" w:hAnsi="Cambria Math"/>
                        <w:sz w:val="22"/>
                        <w:szCs w:val="22"/>
                      </w:rPr>
                      <m:t>NF</m:t>
                    </m:r>
                  </m:sup>
                </m:sSubSup>
              </m:oMath>
            </m:oMathPara>
          </w:p>
        </w:tc>
        <w:tc>
          <w:tcPr>
            <w:tcW w:w="5514" w:type="dxa"/>
          </w:tcPr>
          <w:p w14:paraId="74AFAF37"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Fraction of nitrogen in fertilizers produced in activity </w:t>
            </w:r>
            <w:r w:rsidRPr="001F2171">
              <w:rPr>
                <w:rFonts w:ascii="Calibri" w:hAnsi="Calibri" w:cs="Calibri"/>
                <w:i/>
                <w:iCs/>
                <w:sz w:val="22"/>
                <w:szCs w:val="22"/>
              </w:rPr>
              <w:t>a</w:t>
            </w:r>
          </w:p>
        </w:tc>
        <w:tc>
          <w:tcPr>
            <w:tcW w:w="1967" w:type="dxa"/>
          </w:tcPr>
          <w:p w14:paraId="12E1C7BF"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w:t>
            </w:r>
          </w:p>
        </w:tc>
      </w:tr>
    </w:tbl>
    <w:p w14:paraId="1A6CD7DA" w14:textId="77777777" w:rsidR="00A77106" w:rsidRPr="009619D1" w:rsidRDefault="00A77106" w:rsidP="00A77106">
      <w:pPr>
        <w:spacing w:line="360" w:lineRule="auto"/>
        <w:rPr>
          <w:rFonts w:ascii="Calibri" w:hAnsi="Calibri" w:cs="Calibri"/>
        </w:rPr>
      </w:pPr>
    </w:p>
    <w:p w14:paraId="5CA18C8D" w14:textId="77777777" w:rsidR="00A77106" w:rsidRPr="009619D1" w:rsidRDefault="00A77106" w:rsidP="00A77106">
      <w:pPr>
        <w:spacing w:line="360" w:lineRule="auto"/>
        <w:rPr>
          <w:rFonts w:ascii="Calibri" w:hAnsi="Calibri" w:cs="Calibri"/>
        </w:rPr>
      </w:pPr>
    </w:p>
    <w:p w14:paraId="3C99EC91" w14:textId="77777777" w:rsidR="00A77106" w:rsidRPr="0064500A" w:rsidRDefault="00A77106" w:rsidP="00A77106">
      <w:pPr>
        <w:spacing w:after="0" w:line="240" w:lineRule="auto"/>
        <w:jc w:val="center"/>
        <w:rPr>
          <w:rFonts w:ascii="Calibri" w:hAnsi="Calibri" w:cs="Calibri"/>
        </w:rPr>
      </w:pPr>
      <w:r w:rsidRPr="0064500A">
        <w:rPr>
          <w:rFonts w:ascii="Calibri" w:hAnsi="Calibri" w:cs="Calibri"/>
          <w:b/>
          <w:bCs/>
        </w:rPr>
        <w:t xml:space="preserve">Supplementary Table 4. </w:t>
      </w:r>
      <w:r w:rsidRPr="0064500A">
        <w:rPr>
          <w:rFonts w:ascii="Calibri" w:hAnsi="Calibri" w:cs="Calibri"/>
        </w:rPr>
        <w:t>Parameters and variables used to estimate</w:t>
      </w:r>
    </w:p>
    <w:p w14:paraId="78154D5D" w14:textId="2527EF60" w:rsidR="00A77106" w:rsidRPr="0064500A" w:rsidRDefault="00A77106" w:rsidP="00A77106">
      <w:pPr>
        <w:spacing w:after="0" w:line="240" w:lineRule="auto"/>
        <w:jc w:val="center"/>
        <w:rPr>
          <w:rFonts w:ascii="Calibri" w:hAnsi="Calibri" w:cs="Calibri"/>
          <w:b/>
          <w:bCs/>
        </w:rPr>
      </w:pPr>
      <w:r w:rsidRPr="0064500A">
        <w:rPr>
          <w:rFonts w:ascii="Calibri" w:hAnsi="Calibri" w:cs="Calibri"/>
        </w:rPr>
        <w:t>mineral resource extraction.</w:t>
      </w:r>
    </w:p>
    <w:tbl>
      <w:tblPr>
        <w:tblStyle w:val="Tablanormal2"/>
        <w:tblW w:w="8647" w:type="dxa"/>
        <w:tblLook w:val="04A0" w:firstRow="1" w:lastRow="0" w:firstColumn="1" w:lastColumn="0" w:noHBand="0" w:noVBand="1"/>
      </w:tblPr>
      <w:tblGrid>
        <w:gridCol w:w="1168"/>
        <w:gridCol w:w="5514"/>
        <w:gridCol w:w="1965"/>
      </w:tblGrid>
      <w:tr w:rsidR="00A77106" w:rsidRPr="001F2171" w14:paraId="593CD0F7" w14:textId="77777777" w:rsidTr="00B610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6445EF0E" w14:textId="77777777" w:rsidR="00A77106" w:rsidRPr="001F2171" w:rsidRDefault="00A77106" w:rsidP="00232799">
            <w:pPr>
              <w:spacing w:line="360" w:lineRule="auto"/>
              <w:rPr>
                <w:rFonts w:ascii="Calibri" w:hAnsi="Calibri" w:cs="Calibri"/>
                <w:sz w:val="22"/>
                <w:szCs w:val="22"/>
              </w:rPr>
            </w:pPr>
            <w:r w:rsidRPr="001F2171">
              <w:rPr>
                <w:rFonts w:ascii="Calibri" w:hAnsi="Calibri" w:cs="Calibri"/>
                <w:sz w:val="22"/>
                <w:szCs w:val="22"/>
              </w:rPr>
              <w:t>Symbol</w:t>
            </w:r>
          </w:p>
        </w:tc>
        <w:tc>
          <w:tcPr>
            <w:tcW w:w="5514" w:type="dxa"/>
          </w:tcPr>
          <w:p w14:paraId="69F0D91B"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Description</w:t>
            </w:r>
          </w:p>
        </w:tc>
        <w:tc>
          <w:tcPr>
            <w:tcW w:w="1965" w:type="dxa"/>
          </w:tcPr>
          <w:p w14:paraId="57C5C5A9"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r w:rsidRPr="001F2171">
              <w:rPr>
                <w:rFonts w:ascii="Calibri" w:hAnsi="Calibri" w:cs="Calibri"/>
                <w:sz w:val="22"/>
                <w:szCs w:val="22"/>
              </w:rPr>
              <w:t>Unit</w:t>
            </w:r>
          </w:p>
        </w:tc>
      </w:tr>
      <w:tr w:rsidR="00A77106" w:rsidRPr="001F2171" w14:paraId="6A0813EE"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D297524" w14:textId="1293D991" w:rsidR="00A77106" w:rsidRPr="0042782B"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A</m:t>
                    </m:r>
                  </m:e>
                  <m:sub>
                    <m:r>
                      <m:rPr>
                        <m:sty m:val="bi"/>
                      </m:rPr>
                      <w:rPr>
                        <w:rFonts w:ascii="Cambria Math" w:hAnsi="Cambria Math" w:cs="Calibri"/>
                        <w:sz w:val="22"/>
                        <w:szCs w:val="22"/>
                      </w:rPr>
                      <m:t>a,c,i,y</m:t>
                    </m:r>
                  </m:sub>
                </m:sSub>
              </m:oMath>
            </m:oMathPara>
          </w:p>
        </w:tc>
        <w:tc>
          <w:tcPr>
            <w:tcW w:w="5514" w:type="dxa"/>
          </w:tcPr>
          <w:p w14:paraId="0A7F9EA7" w14:textId="77777777" w:rsidR="00A77106" w:rsidRPr="0042782B"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42782B">
              <w:rPr>
                <w:rFonts w:ascii="Calibri" w:hAnsi="Calibri" w:cs="Calibri"/>
                <w:sz w:val="22"/>
                <w:szCs w:val="22"/>
              </w:rPr>
              <w:t xml:space="preserve">Amount of activity </w:t>
            </w:r>
            <w:r w:rsidRPr="0042782B">
              <w:rPr>
                <w:rFonts w:ascii="Calibri" w:hAnsi="Calibri" w:cs="Calibri"/>
                <w:i/>
                <w:iCs/>
                <w:sz w:val="22"/>
                <w:szCs w:val="22"/>
              </w:rPr>
              <w:t>a</w:t>
            </w:r>
            <w:r w:rsidRPr="0042782B">
              <w:rPr>
                <w:rFonts w:ascii="Calibri" w:hAnsi="Calibri" w:cs="Calibri"/>
                <w:sz w:val="22"/>
                <w:szCs w:val="22"/>
              </w:rPr>
              <w:t xml:space="preserve"> produced in the supply chain link </w:t>
            </w:r>
            <w:r w:rsidRPr="0042782B">
              <w:rPr>
                <w:rFonts w:ascii="Calibri" w:hAnsi="Calibri" w:cs="Calibri"/>
                <w:i/>
                <w:iCs/>
                <w:sz w:val="22"/>
                <w:szCs w:val="22"/>
              </w:rPr>
              <w:t>c</w:t>
            </w:r>
            <w:r w:rsidRPr="0042782B">
              <w:rPr>
                <w:rFonts w:ascii="Calibri" w:hAnsi="Calibri" w:cs="Calibri"/>
                <w:sz w:val="22"/>
                <w:szCs w:val="22"/>
              </w:rPr>
              <w:t xml:space="preserve"> of NETP </w:t>
            </w:r>
            <w:proofErr w:type="spellStart"/>
            <w:r w:rsidRPr="0042782B">
              <w:rPr>
                <w:rFonts w:ascii="Calibri" w:hAnsi="Calibri" w:cs="Calibri"/>
                <w:i/>
                <w:iCs/>
                <w:sz w:val="22"/>
                <w:szCs w:val="22"/>
              </w:rPr>
              <w:t>i</w:t>
            </w:r>
            <w:proofErr w:type="spellEnd"/>
            <w:r w:rsidRPr="0042782B">
              <w:rPr>
                <w:rFonts w:ascii="Calibri" w:hAnsi="Calibri" w:cs="Calibri"/>
                <w:sz w:val="22"/>
                <w:szCs w:val="22"/>
              </w:rPr>
              <w:t xml:space="preserve"> deployed in year </w:t>
            </w:r>
            <w:r w:rsidRPr="0042782B">
              <w:rPr>
                <w:rFonts w:ascii="Calibri" w:hAnsi="Calibri" w:cs="Calibri"/>
                <w:i/>
                <w:iCs/>
                <w:sz w:val="22"/>
                <w:szCs w:val="22"/>
              </w:rPr>
              <w:t>y</w:t>
            </w:r>
          </w:p>
        </w:tc>
        <w:tc>
          <w:tcPr>
            <w:tcW w:w="1965" w:type="dxa"/>
          </w:tcPr>
          <w:p w14:paraId="5CF62576" w14:textId="2F8909A1" w:rsidR="00A77106" w:rsidRPr="0042782B"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42782B">
              <w:rPr>
                <w:rFonts w:ascii="Calibri" w:hAnsi="Calibri" w:cs="Calibri"/>
                <w:sz w:val="22"/>
                <w:szCs w:val="22"/>
              </w:rPr>
              <w:t xml:space="preserve">unit of </w:t>
            </w:r>
            <w:proofErr w:type="spellStart"/>
            <w:r w:rsidRPr="0042782B">
              <w:rPr>
                <w:rFonts w:ascii="Calibri" w:hAnsi="Calibri" w:cs="Calibri"/>
                <w:sz w:val="22"/>
                <w:szCs w:val="22"/>
              </w:rPr>
              <w:t>activity</w:t>
            </w:r>
            <w:r w:rsidRPr="0042782B">
              <w:rPr>
                <w:sz w:val="22"/>
                <w:szCs w:val="22"/>
                <w:vertAlign w:val="superscript"/>
              </w:rPr>
              <w:t>e</w:t>
            </w:r>
            <w:proofErr w:type="spellEnd"/>
            <w:r w:rsidR="00F45DA8" w:rsidRPr="0042782B">
              <w:rPr>
                <w:sz w:val="22"/>
                <w:szCs w:val="22"/>
              </w:rPr>
              <w:t>/</w:t>
            </w:r>
            <w:r w:rsidR="00F45DA8" w:rsidRPr="0042782B">
              <w:rPr>
                <w:rFonts w:ascii="Calibri" w:hAnsi="Calibri" w:cs="Calibri"/>
                <w:sz w:val="22"/>
                <w:szCs w:val="22"/>
              </w:rPr>
              <w:t xml:space="preserve"> functional </w:t>
            </w:r>
            <w:proofErr w:type="spellStart"/>
            <w:r w:rsidR="00F45DA8" w:rsidRPr="0042782B">
              <w:rPr>
                <w:rFonts w:ascii="Calibri" w:hAnsi="Calibri" w:cs="Calibri"/>
                <w:sz w:val="22"/>
                <w:szCs w:val="22"/>
              </w:rPr>
              <w:t>unit</w:t>
            </w:r>
            <w:r w:rsidR="00F45DA8" w:rsidRPr="0042782B">
              <w:rPr>
                <w:vertAlign w:val="superscript"/>
              </w:rPr>
              <w:t>a</w:t>
            </w:r>
            <w:proofErr w:type="spellEnd"/>
          </w:p>
        </w:tc>
      </w:tr>
      <w:tr w:rsidR="00A77106" w:rsidRPr="001F2171" w14:paraId="7F55719D"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52F17929" w14:textId="36A06770"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Yu Mincho" w:hAnsi="Cambria Math" w:cs="Times New Roman"/>
                    <w:sz w:val="22"/>
                    <w:szCs w:val="22"/>
                  </w:rPr>
                  <m:t>AT</m:t>
                </m:r>
              </m:oMath>
            </m:oMathPara>
          </w:p>
        </w:tc>
        <w:tc>
          <w:tcPr>
            <w:tcW w:w="5514" w:type="dxa"/>
          </w:tcPr>
          <w:p w14:paraId="14C202B9"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1F2171">
              <w:rPr>
                <w:rFonts w:ascii="Calibri" w:eastAsia="Calibri" w:hAnsi="Calibri" w:cs="Calibri"/>
                <w:sz w:val="22"/>
                <w:szCs w:val="22"/>
              </w:rPr>
              <w:t>Annual time of infrastructure use</w:t>
            </w:r>
          </w:p>
        </w:tc>
        <w:tc>
          <w:tcPr>
            <w:tcW w:w="1965" w:type="dxa"/>
          </w:tcPr>
          <w:p w14:paraId="71EF2B1A"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year</w:t>
            </w:r>
          </w:p>
        </w:tc>
      </w:tr>
      <w:tr w:rsidR="00A77106" w:rsidRPr="001F2171" w14:paraId="53416E97"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BF486E7" w14:textId="12B9E4AC" w:rsidR="00A77106" w:rsidRPr="007D4A94" w:rsidRDefault="003559B5" w:rsidP="00232799">
            <w:pPr>
              <w:spacing w:line="360" w:lineRule="auto"/>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CD</m:t>
                </m:r>
                <m:sSub>
                  <m:sSubPr>
                    <m:ctrlPr>
                      <w:rPr>
                        <w:rFonts w:ascii="Cambria Math" w:eastAsia="Calibri" w:hAnsi="Cambria Math" w:cs="Calibri"/>
                        <w:b w:val="0"/>
                        <w:bCs w:val="0"/>
                        <w:i/>
                        <w:sz w:val="22"/>
                        <w:szCs w:val="22"/>
                      </w:rPr>
                    </m:ctrlPr>
                  </m:sSubPr>
                  <m:e>
                    <m:r>
                      <m:rPr>
                        <m:sty m:val="bi"/>
                      </m:rPr>
                      <w:rPr>
                        <w:rFonts w:ascii="Cambria Math" w:eastAsia="Calibri" w:hAnsi="Cambria Math" w:cs="Calibri"/>
                        <w:sz w:val="22"/>
                        <w:szCs w:val="22"/>
                      </w:rPr>
                      <m:t>R</m:t>
                    </m:r>
                  </m:e>
                  <m:sub>
                    <m:r>
                      <m:rPr>
                        <m:sty m:val="bi"/>
                      </m:rPr>
                      <w:rPr>
                        <w:rFonts w:ascii="Cambria Math" w:eastAsia="Calibri" w:hAnsi="Cambria Math" w:cs="Calibri"/>
                        <w:sz w:val="22"/>
                        <w:szCs w:val="22"/>
                      </w:rPr>
                      <m:t>i,s,t,y</m:t>
                    </m:r>
                  </m:sub>
                </m:sSub>
              </m:oMath>
            </m:oMathPara>
          </w:p>
        </w:tc>
        <w:tc>
          <w:tcPr>
            <w:tcW w:w="5514" w:type="dxa"/>
          </w:tcPr>
          <w:p w14:paraId="3EE810ED" w14:textId="77777777" w:rsidR="00A77106" w:rsidRPr="007D4A94"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7D4A94">
              <w:rPr>
                <w:rFonts w:ascii="Calibri" w:eastAsia="Calibri" w:hAnsi="Calibri" w:cs="Calibri"/>
                <w:sz w:val="22"/>
                <w:szCs w:val="22"/>
              </w:rPr>
              <w:t>Gross amount of CO</w:t>
            </w:r>
            <w:r w:rsidRPr="007D4A94">
              <w:rPr>
                <w:rFonts w:ascii="Calibri" w:eastAsia="Calibri" w:hAnsi="Calibri" w:cs="Calibri"/>
                <w:sz w:val="22"/>
                <w:szCs w:val="22"/>
                <w:vertAlign w:val="subscript"/>
              </w:rPr>
              <w:t>2</w:t>
            </w:r>
            <w:r w:rsidRPr="007D4A94">
              <w:rPr>
                <w:rFonts w:ascii="Calibri" w:eastAsia="Calibri" w:hAnsi="Calibri" w:cs="Calibri"/>
                <w:sz w:val="22"/>
                <w:szCs w:val="22"/>
              </w:rPr>
              <w:t xml:space="preserve"> removed by NETP </w:t>
            </w:r>
            <w:proofErr w:type="spellStart"/>
            <w:r w:rsidRPr="007D4A94">
              <w:rPr>
                <w:rFonts w:ascii="Calibri" w:eastAsia="Calibri" w:hAnsi="Calibri" w:cs="Calibri"/>
                <w:i/>
                <w:iCs/>
                <w:sz w:val="22"/>
                <w:szCs w:val="22"/>
              </w:rPr>
              <w:t>i</w:t>
            </w:r>
            <w:proofErr w:type="spellEnd"/>
            <w:r w:rsidRPr="007D4A94">
              <w:rPr>
                <w:rFonts w:ascii="Calibri" w:eastAsia="Calibri" w:hAnsi="Calibri" w:cs="Calibri"/>
                <w:sz w:val="22"/>
                <w:szCs w:val="22"/>
              </w:rPr>
              <w:t xml:space="preserve"> </w:t>
            </w:r>
            <w:r w:rsidRPr="007D4A94">
              <w:rPr>
                <w:rFonts w:ascii="Calibri" w:eastAsia="Calibri" w:hAnsi="Calibri" w:cs="Calibri"/>
                <w:i/>
                <w:iCs/>
                <w:sz w:val="22"/>
                <w:szCs w:val="22"/>
              </w:rPr>
              <w:t xml:space="preserve">t </w:t>
            </w:r>
            <w:r w:rsidRPr="007D4A94">
              <w:rPr>
                <w:rFonts w:ascii="Calibri" w:eastAsia="Calibri" w:hAnsi="Calibri" w:cs="Calibri"/>
                <w:sz w:val="22"/>
                <w:szCs w:val="22"/>
              </w:rPr>
              <w:t xml:space="preserve">years after deployment in year </w:t>
            </w:r>
            <w:r w:rsidRPr="007D4A94">
              <w:rPr>
                <w:rFonts w:ascii="Calibri" w:eastAsia="Calibri" w:hAnsi="Calibri" w:cs="Calibri"/>
                <w:i/>
                <w:iCs/>
                <w:sz w:val="22"/>
                <w:szCs w:val="22"/>
              </w:rPr>
              <w:t>y</w:t>
            </w:r>
          </w:p>
        </w:tc>
        <w:tc>
          <w:tcPr>
            <w:tcW w:w="1965" w:type="dxa"/>
          </w:tcPr>
          <w:p w14:paraId="67DE3919" w14:textId="1B9211C3" w:rsidR="00A77106" w:rsidRPr="007D4A94"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7D4A94">
              <w:rPr>
                <w:rFonts w:ascii="Calibri" w:hAnsi="Calibri" w:cs="Calibri"/>
                <w:sz w:val="22"/>
                <w:szCs w:val="22"/>
              </w:rPr>
              <w:t>kg</w:t>
            </w:r>
            <w:r w:rsidR="003E4948" w:rsidRPr="007D4A94">
              <w:rPr>
                <w:rFonts w:ascii="Calibri" w:hAnsi="Calibri" w:cs="Calibri"/>
                <w:sz w:val="22"/>
                <w:szCs w:val="22"/>
              </w:rPr>
              <w:t xml:space="preserve">/functional </w:t>
            </w:r>
            <w:proofErr w:type="spellStart"/>
            <w:r w:rsidR="003E4948" w:rsidRPr="007D4A94">
              <w:rPr>
                <w:rFonts w:ascii="Calibri" w:hAnsi="Calibri" w:cs="Calibri"/>
                <w:sz w:val="22"/>
                <w:szCs w:val="22"/>
              </w:rPr>
              <w:t>unit</w:t>
            </w:r>
            <w:r w:rsidR="003E4948" w:rsidRPr="007D4A94">
              <w:rPr>
                <w:vertAlign w:val="superscript"/>
              </w:rPr>
              <w:t>a</w:t>
            </w:r>
            <w:proofErr w:type="spellEnd"/>
          </w:p>
        </w:tc>
      </w:tr>
      <w:tr w:rsidR="00A77106" w:rsidRPr="00866CCD" w14:paraId="7C6DAD40"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103C7006" w14:textId="30D0F0F2" w:rsidR="00A77106" w:rsidRPr="002D1CB6" w:rsidRDefault="00000000" w:rsidP="00232799">
            <w:pPr>
              <w:spacing w:line="360" w:lineRule="auto"/>
              <w:rPr>
                <w:rFonts w:ascii="Calibri" w:eastAsia="Yu Mincho" w:hAnsi="Calibri" w:cs="Calibri"/>
                <w:b w:val="0"/>
                <w:bCs w:val="0"/>
                <w:sz w:val="22"/>
                <w:szCs w:val="22"/>
              </w:rPr>
            </w:pPr>
            <m:oMathPara>
              <m:oMathParaPr>
                <m:jc m:val="left"/>
              </m:oMathParaPr>
              <m:oMath>
                <m:sSubSup>
                  <m:sSubSupPr>
                    <m:ctrlPr>
                      <w:rPr>
                        <w:rFonts w:ascii="Cambria Math" w:eastAsia="Yu Mincho" w:hAnsi="Cambria Math" w:cs="Times New Roman"/>
                        <w:b w:val="0"/>
                        <w:bCs w:val="0"/>
                        <w:i/>
                        <w:sz w:val="22"/>
                        <w:szCs w:val="22"/>
                      </w:rPr>
                    </m:ctrlPr>
                  </m:sSubSupPr>
                  <m:e>
                    <m:r>
                      <m:rPr>
                        <m:sty m:val="bi"/>
                      </m:rPr>
                      <w:rPr>
                        <w:rFonts w:ascii="Cambria Math" w:eastAsia="Yu Mincho" w:hAnsi="Cambria Math" w:cs="Times New Roman"/>
                        <w:sz w:val="22"/>
                        <w:szCs w:val="22"/>
                      </w:rPr>
                      <m:t>EF</m:t>
                    </m:r>
                  </m:e>
                  <m:sub>
                    <m:r>
                      <m:rPr>
                        <m:sty m:val="bi"/>
                      </m:rPr>
                      <w:rPr>
                        <w:rFonts w:ascii="Cambria Math" w:eastAsia="Yu Mincho" w:hAnsi="Cambria Math" w:cs="Times New Roman"/>
                        <w:sz w:val="22"/>
                        <w:szCs w:val="22"/>
                      </w:rPr>
                      <m:t>a</m:t>
                    </m:r>
                    <m:r>
                      <m:rPr>
                        <m:sty m:val="bi"/>
                      </m:rPr>
                      <w:rPr>
                        <w:rFonts w:ascii="Cambria Math" w:eastAsia="Yu Mincho" w:hAnsi="Cambria Math" w:cs="Times New Roman"/>
                        <w:sz w:val="22"/>
                        <w:szCs w:val="22"/>
                        <w:lang w:val="es-ES"/>
                      </w:rPr>
                      <m:t>,s</m:t>
                    </m:r>
                    <m:ctrlPr>
                      <w:rPr>
                        <w:rFonts w:ascii="Cambria Math" w:eastAsia="Yu Mincho" w:hAnsi="Cambria Math" w:cs="Times New Roman"/>
                        <w:b w:val="0"/>
                        <w:bCs w:val="0"/>
                        <w:i/>
                        <w:sz w:val="22"/>
                        <w:szCs w:val="22"/>
                        <w:lang w:val="es-ES"/>
                      </w:rPr>
                    </m:ctrlPr>
                  </m:sub>
                  <m:sup>
                    <m:r>
                      <m:rPr>
                        <m:sty m:val="bi"/>
                      </m:rPr>
                      <w:rPr>
                        <w:rFonts w:ascii="Cambria Math" w:eastAsia="Yu Mincho" w:hAnsi="Cambria Math" w:cs="Times New Roman"/>
                        <w:sz w:val="22"/>
                        <w:szCs w:val="22"/>
                        <w:lang w:val="es-ES"/>
                      </w:rPr>
                      <m:t>BG</m:t>
                    </m:r>
                  </m:sup>
                </m:sSubSup>
              </m:oMath>
            </m:oMathPara>
          </w:p>
        </w:tc>
        <w:tc>
          <w:tcPr>
            <w:tcW w:w="5514" w:type="dxa"/>
          </w:tcPr>
          <w:p w14:paraId="79A24F7F" w14:textId="77777777" w:rsidR="00A77106" w:rsidRPr="002D1CB6"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2D1CB6">
              <w:rPr>
                <w:rFonts w:ascii="Calibri" w:hAnsi="Calibri" w:cs="Calibri"/>
                <w:sz w:val="22"/>
                <w:szCs w:val="22"/>
              </w:rPr>
              <w:t xml:space="preserve">Amount of elementary flow </w:t>
            </w:r>
            <w:r w:rsidRPr="002D1CB6">
              <w:rPr>
                <w:rFonts w:ascii="Calibri" w:hAnsi="Calibri" w:cs="Calibri"/>
                <w:i/>
                <w:iCs/>
                <w:sz w:val="22"/>
                <w:szCs w:val="22"/>
              </w:rPr>
              <w:t>s</w:t>
            </w:r>
            <w:r w:rsidRPr="002D1CB6">
              <w:rPr>
                <w:rFonts w:ascii="Calibri" w:hAnsi="Calibri" w:cs="Calibri"/>
                <w:sz w:val="22"/>
                <w:szCs w:val="22"/>
              </w:rPr>
              <w:t xml:space="preserve"> exchanged between activity </w:t>
            </w:r>
            <w:r w:rsidRPr="002D1CB6">
              <w:rPr>
                <w:rFonts w:ascii="Calibri" w:hAnsi="Calibri" w:cs="Calibri"/>
                <w:i/>
                <w:iCs/>
                <w:sz w:val="22"/>
                <w:szCs w:val="22"/>
              </w:rPr>
              <w:t xml:space="preserve">a </w:t>
            </w:r>
            <w:r w:rsidRPr="002D1CB6">
              <w:rPr>
                <w:rFonts w:ascii="Calibri" w:hAnsi="Calibri" w:cs="Calibri"/>
                <w:sz w:val="22"/>
                <w:szCs w:val="22"/>
              </w:rPr>
              <w:t xml:space="preserve">and the environment </w:t>
            </w:r>
          </w:p>
        </w:tc>
        <w:tc>
          <w:tcPr>
            <w:tcW w:w="1965" w:type="dxa"/>
          </w:tcPr>
          <w:p w14:paraId="62D0B99D" w14:textId="1B9B0156" w:rsidR="00A77106" w:rsidRPr="002D1CB6"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2D1CB6">
              <w:rPr>
                <w:rFonts w:ascii="Calibri" w:hAnsi="Calibri" w:cs="Calibri"/>
                <w:sz w:val="22"/>
                <w:szCs w:val="22"/>
              </w:rPr>
              <w:t xml:space="preserve">unit of elementary </w:t>
            </w:r>
            <w:proofErr w:type="spellStart"/>
            <w:r w:rsidRPr="002D1CB6">
              <w:rPr>
                <w:rFonts w:ascii="Calibri" w:hAnsi="Calibri" w:cs="Calibri"/>
                <w:sz w:val="22"/>
                <w:szCs w:val="22"/>
              </w:rPr>
              <w:t>flow</w:t>
            </w:r>
            <w:r w:rsidR="00E434F5" w:rsidRPr="002D1CB6">
              <w:rPr>
                <w:rFonts w:ascii="Calibri" w:hAnsi="Calibri" w:cs="Calibri"/>
                <w:sz w:val="22"/>
                <w:szCs w:val="22"/>
                <w:vertAlign w:val="superscript"/>
              </w:rPr>
              <w:t>c</w:t>
            </w:r>
            <w:proofErr w:type="spellEnd"/>
            <w:r w:rsidR="0016398A" w:rsidRPr="002D1CB6">
              <w:rPr>
                <w:rFonts w:ascii="Calibri" w:hAnsi="Calibri" w:cs="Calibri"/>
                <w:sz w:val="22"/>
                <w:szCs w:val="22"/>
              </w:rPr>
              <w:t xml:space="preserve"> /unit of </w:t>
            </w:r>
            <w:proofErr w:type="spellStart"/>
            <w:r w:rsidR="0016398A" w:rsidRPr="002D1CB6">
              <w:rPr>
                <w:rFonts w:ascii="Calibri" w:hAnsi="Calibri" w:cs="Calibri"/>
                <w:sz w:val="22"/>
                <w:szCs w:val="22"/>
              </w:rPr>
              <w:t>activity</w:t>
            </w:r>
            <w:r w:rsidR="0016398A" w:rsidRPr="002D1CB6">
              <w:rPr>
                <w:sz w:val="22"/>
                <w:szCs w:val="22"/>
                <w:vertAlign w:val="superscript"/>
              </w:rPr>
              <w:t>e</w:t>
            </w:r>
            <w:proofErr w:type="spellEnd"/>
          </w:p>
        </w:tc>
      </w:tr>
      <w:tr w:rsidR="00A77106" w:rsidRPr="001F2171" w14:paraId="69AC197B"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69C5BB3" w14:textId="45C08511" w:rsidR="00A77106" w:rsidRPr="005A045A"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Yu Mincho" w:hAnsi="Cambria Math" w:cs="Times New Roman"/>
                    <w:sz w:val="22"/>
                    <w:szCs w:val="22"/>
                  </w:rPr>
                  <m:t>E</m:t>
                </m:r>
                <m:sSubSup>
                  <m:sSubSupPr>
                    <m:ctrlPr>
                      <w:rPr>
                        <w:rFonts w:ascii="Cambria Math" w:eastAsia="Yu Mincho" w:hAnsi="Cambria Math" w:cs="Times New Roman"/>
                        <w:b w:val="0"/>
                        <w:bCs w:val="0"/>
                        <w:i/>
                        <w:sz w:val="22"/>
                        <w:szCs w:val="22"/>
                      </w:rPr>
                    </m:ctrlPr>
                  </m:sSubSupPr>
                  <m:e>
                    <m:r>
                      <m:rPr>
                        <m:sty m:val="bi"/>
                      </m:rPr>
                      <w:rPr>
                        <w:rFonts w:ascii="Cambria Math" w:eastAsia="Yu Mincho" w:hAnsi="Cambria Math" w:cs="Times New Roman"/>
                        <w:sz w:val="22"/>
                        <w:szCs w:val="22"/>
                      </w:rPr>
                      <m:t>F</m:t>
                    </m:r>
                  </m:e>
                  <m:sub>
                    <m:r>
                      <m:rPr>
                        <m:sty m:val="bi"/>
                      </m:rPr>
                      <w:rPr>
                        <w:rFonts w:ascii="Cambria Math" w:eastAsia="Yu Mincho" w:hAnsi="Cambria Math" w:cs="Times New Roman"/>
                        <w:sz w:val="22"/>
                        <w:szCs w:val="22"/>
                      </w:rPr>
                      <m:t>i,s,t,y</m:t>
                    </m:r>
                  </m:sub>
                  <m:sup>
                    <m:r>
                      <m:rPr>
                        <m:sty m:val="bi"/>
                      </m:rPr>
                      <w:rPr>
                        <w:rFonts w:ascii="Cambria Math" w:eastAsia="Yu Mincho" w:hAnsi="Cambria Math" w:cs="Times New Roman"/>
                        <w:sz w:val="22"/>
                        <w:szCs w:val="22"/>
                      </w:rPr>
                      <m:t>FG</m:t>
                    </m:r>
                  </m:sup>
                </m:sSubSup>
              </m:oMath>
            </m:oMathPara>
          </w:p>
        </w:tc>
        <w:tc>
          <w:tcPr>
            <w:tcW w:w="5514" w:type="dxa"/>
          </w:tcPr>
          <w:p w14:paraId="0776A7CA" w14:textId="77777777" w:rsidR="00A77106" w:rsidRPr="005A045A"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5A045A">
              <w:rPr>
                <w:rFonts w:ascii="Calibri" w:hAnsi="Calibri" w:cs="Calibri"/>
                <w:sz w:val="22"/>
                <w:szCs w:val="22"/>
              </w:rPr>
              <w:t xml:space="preserve">Amount of elementary flow </w:t>
            </w:r>
            <w:r w:rsidRPr="005A045A">
              <w:rPr>
                <w:rFonts w:ascii="Calibri" w:hAnsi="Calibri" w:cs="Calibri"/>
                <w:i/>
                <w:iCs/>
                <w:sz w:val="22"/>
                <w:szCs w:val="22"/>
              </w:rPr>
              <w:t>s</w:t>
            </w:r>
            <w:r w:rsidRPr="005A045A">
              <w:rPr>
                <w:rFonts w:ascii="Calibri" w:hAnsi="Calibri" w:cs="Calibri"/>
                <w:sz w:val="22"/>
                <w:szCs w:val="22"/>
              </w:rPr>
              <w:t xml:space="preserve"> exchanged between the foreground system of NETP </w:t>
            </w:r>
            <w:proofErr w:type="spellStart"/>
            <w:r w:rsidRPr="005A045A">
              <w:rPr>
                <w:rFonts w:ascii="Calibri" w:hAnsi="Calibri" w:cs="Calibri"/>
                <w:i/>
                <w:iCs/>
                <w:sz w:val="22"/>
                <w:szCs w:val="22"/>
              </w:rPr>
              <w:t>i</w:t>
            </w:r>
            <w:proofErr w:type="spellEnd"/>
            <w:r w:rsidRPr="005A045A">
              <w:rPr>
                <w:rFonts w:ascii="Calibri" w:hAnsi="Calibri" w:cs="Calibri"/>
                <w:sz w:val="22"/>
                <w:szCs w:val="22"/>
              </w:rPr>
              <w:t xml:space="preserve"> and the environment </w:t>
            </w:r>
            <w:r w:rsidRPr="005A045A">
              <w:rPr>
                <w:rFonts w:ascii="Calibri" w:hAnsi="Calibri" w:cs="Calibri"/>
                <w:i/>
                <w:iCs/>
                <w:sz w:val="22"/>
                <w:szCs w:val="22"/>
              </w:rPr>
              <w:t>t</w:t>
            </w:r>
            <w:r w:rsidRPr="005A045A">
              <w:rPr>
                <w:rFonts w:ascii="Calibri" w:hAnsi="Calibri" w:cs="Calibri"/>
                <w:sz w:val="22"/>
                <w:szCs w:val="22"/>
              </w:rPr>
              <w:t xml:space="preserve"> years after deployment in year </w:t>
            </w:r>
            <w:r w:rsidRPr="005A045A">
              <w:rPr>
                <w:rFonts w:ascii="Calibri" w:hAnsi="Calibri" w:cs="Calibri"/>
                <w:i/>
                <w:iCs/>
                <w:sz w:val="22"/>
                <w:szCs w:val="22"/>
              </w:rPr>
              <w:t>y</w:t>
            </w:r>
          </w:p>
        </w:tc>
        <w:tc>
          <w:tcPr>
            <w:tcW w:w="1965" w:type="dxa"/>
          </w:tcPr>
          <w:p w14:paraId="6E0FA7FA" w14:textId="58E36301" w:rsidR="00A77106" w:rsidRPr="00E434F5" w:rsidRDefault="00410E35"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FF0000"/>
                <w:sz w:val="22"/>
                <w:szCs w:val="22"/>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Pr="00E434F5">
              <w:rPr>
                <w:rFonts w:ascii="Calibri" w:hAnsi="Calibri" w:cs="Calibri"/>
                <w:sz w:val="22"/>
                <w:szCs w:val="22"/>
                <w:vertAlign w:val="superscript"/>
              </w:rPr>
              <w:t>c</w:t>
            </w:r>
            <w:proofErr w:type="spellEnd"/>
            <w:r w:rsidRPr="00E434F5">
              <w:rPr>
                <w:rFonts w:ascii="Calibri" w:hAnsi="Calibri" w:cs="Calibri"/>
                <w:sz w:val="22"/>
                <w:szCs w:val="22"/>
              </w:rPr>
              <w:t>/</w:t>
            </w:r>
            <w:r w:rsidRPr="00B736DE">
              <w:rPr>
                <w:rFonts w:ascii="Calibri" w:hAnsi="Calibri" w:cs="Calibri"/>
                <w:sz w:val="22"/>
                <w:szCs w:val="22"/>
              </w:rPr>
              <w:t xml:space="preserve">functional </w:t>
            </w:r>
            <w:proofErr w:type="spellStart"/>
            <w:r w:rsidRPr="00B736DE">
              <w:rPr>
                <w:rFonts w:ascii="Calibri" w:hAnsi="Calibri" w:cs="Calibri"/>
                <w:sz w:val="22"/>
                <w:szCs w:val="22"/>
              </w:rPr>
              <w:t>unit</w:t>
            </w:r>
            <w:r w:rsidRPr="00B736DE">
              <w:rPr>
                <w:rFonts w:ascii="Calibri" w:hAnsi="Calibri" w:cs="Calibri"/>
                <w:sz w:val="22"/>
                <w:szCs w:val="22"/>
                <w:vertAlign w:val="superscript"/>
              </w:rPr>
              <w:t>a</w:t>
            </w:r>
            <w:proofErr w:type="spellEnd"/>
          </w:p>
        </w:tc>
      </w:tr>
      <w:tr w:rsidR="00A77106" w:rsidRPr="001F2171" w14:paraId="0AF8E7BD"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0A5A60AC" w14:textId="5B173B22" w:rsidR="00A77106" w:rsidRPr="001F2171" w:rsidRDefault="003559B5" w:rsidP="00232799">
            <w:pPr>
              <w:spacing w:line="360" w:lineRule="auto"/>
              <w:rPr>
                <w:rFonts w:ascii="Calibri" w:eastAsia="Yu Mincho" w:hAnsi="Calibri" w:cs="Calibri"/>
                <w:b w:val="0"/>
                <w:bCs w:val="0"/>
                <w:sz w:val="22"/>
                <w:szCs w:val="22"/>
              </w:rPr>
            </w:pPr>
            <m:oMathPara>
              <m:oMathParaPr>
                <m:jc m:val="left"/>
              </m:oMathParaPr>
              <m:oMath>
                <m:r>
                  <m:rPr>
                    <m:sty m:val="bi"/>
                  </m:rPr>
                  <w:rPr>
                    <w:rFonts w:ascii="Cambria Math" w:eastAsia="Yu Mincho" w:hAnsi="Cambria Math" w:cs="Times New Roman"/>
                    <w:sz w:val="22"/>
                    <w:szCs w:val="22"/>
                  </w:rPr>
                  <w:lastRenderedPageBreak/>
                  <m:t>LT</m:t>
                </m:r>
              </m:oMath>
            </m:oMathPara>
          </w:p>
        </w:tc>
        <w:tc>
          <w:tcPr>
            <w:tcW w:w="5514" w:type="dxa"/>
          </w:tcPr>
          <w:p w14:paraId="483B69EB"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Infrastructure lifetime</w:t>
            </w:r>
          </w:p>
        </w:tc>
        <w:tc>
          <w:tcPr>
            <w:tcW w:w="1965" w:type="dxa"/>
          </w:tcPr>
          <w:p w14:paraId="2A5B487F"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year</w:t>
            </w:r>
          </w:p>
        </w:tc>
      </w:tr>
      <w:tr w:rsidR="00A77106" w:rsidRPr="001F2171" w14:paraId="1FC8922C"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09DEE899" w14:textId="3E10A062"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eastAsia="Yu Mincho" w:hAnsi="Cambria Math" w:cs="Times New Roman"/>
                        <w:b w:val="0"/>
                        <w:bCs w:val="0"/>
                        <w:i/>
                        <w:sz w:val="22"/>
                        <w:szCs w:val="22"/>
                      </w:rPr>
                    </m:ctrlPr>
                  </m:sSubPr>
                  <m:e>
                    <m:r>
                      <m:rPr>
                        <m:sty m:val="bi"/>
                      </m:rPr>
                      <w:rPr>
                        <w:rFonts w:ascii="Cambria Math" w:eastAsia="Yu Mincho" w:hAnsi="Cambria Math" w:cs="Times New Roman"/>
                        <w:sz w:val="22"/>
                        <w:szCs w:val="22"/>
                      </w:rPr>
                      <m:t>M</m:t>
                    </m:r>
                  </m:e>
                  <m:sub>
                    <m:r>
                      <m:rPr>
                        <m:sty m:val="bi"/>
                      </m:rPr>
                      <w:rPr>
                        <w:rFonts w:ascii="Cambria Math" w:eastAsia="Yu Mincho" w:hAnsi="Cambria Math" w:cs="Times New Roman"/>
                        <w:sz w:val="22"/>
                        <w:szCs w:val="22"/>
                      </w:rPr>
                      <m:t>i,r,y</m:t>
                    </m:r>
                  </m:sub>
                </m:sSub>
              </m:oMath>
            </m:oMathPara>
          </w:p>
        </w:tc>
        <w:tc>
          <w:tcPr>
            <w:tcW w:w="5514" w:type="dxa"/>
          </w:tcPr>
          <w:p w14:paraId="478DEC21" w14:textId="77777777" w:rsidR="00A77106" w:rsidRPr="001F2171"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Annualized amount of mineral resource </w:t>
            </w:r>
            <w:r w:rsidRPr="001F2171">
              <w:rPr>
                <w:rFonts w:ascii="Calibri" w:hAnsi="Calibri" w:cs="Calibri"/>
                <w:i/>
                <w:iCs/>
                <w:sz w:val="22"/>
                <w:szCs w:val="22"/>
              </w:rPr>
              <w:t>r</w:t>
            </w:r>
            <w:r w:rsidRPr="001F2171">
              <w:rPr>
                <w:rFonts w:ascii="Calibri" w:hAnsi="Calibri" w:cs="Calibri"/>
                <w:sz w:val="22"/>
                <w:szCs w:val="22"/>
              </w:rPr>
              <w:t xml:space="preserve"> associated with the deployment of NETP </w:t>
            </w:r>
            <w:proofErr w:type="spellStart"/>
            <w:r w:rsidRPr="001F2171">
              <w:rPr>
                <w:rFonts w:ascii="Calibri" w:hAnsi="Calibri" w:cs="Calibri"/>
                <w:i/>
                <w:iCs/>
                <w:sz w:val="22"/>
                <w:szCs w:val="22"/>
              </w:rPr>
              <w:t>i</w:t>
            </w:r>
            <w:proofErr w:type="spellEnd"/>
            <w:r w:rsidRPr="001F2171">
              <w:rPr>
                <w:rFonts w:ascii="Calibri" w:hAnsi="Calibri" w:cs="Calibri"/>
                <w:sz w:val="22"/>
                <w:szCs w:val="22"/>
              </w:rPr>
              <w:t xml:space="preserve"> in year </w:t>
            </w:r>
            <w:r w:rsidRPr="001F2171">
              <w:rPr>
                <w:rFonts w:ascii="Calibri" w:hAnsi="Calibri" w:cs="Calibri"/>
                <w:i/>
                <w:iCs/>
                <w:sz w:val="22"/>
                <w:szCs w:val="22"/>
              </w:rPr>
              <w:t>y</w:t>
            </w:r>
          </w:p>
        </w:tc>
        <w:tc>
          <w:tcPr>
            <w:tcW w:w="1965" w:type="dxa"/>
          </w:tcPr>
          <w:p w14:paraId="2AA890D2" w14:textId="19A9EDBF" w:rsidR="00A77106" w:rsidRPr="00B736DE"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B736DE">
              <w:rPr>
                <w:rFonts w:ascii="Calibri" w:hAnsi="Calibri" w:cs="Calibri"/>
                <w:sz w:val="22"/>
                <w:szCs w:val="22"/>
              </w:rPr>
              <w:t xml:space="preserve">kg/functional </w:t>
            </w:r>
            <w:proofErr w:type="spellStart"/>
            <w:r w:rsidRPr="00B736DE">
              <w:rPr>
                <w:rFonts w:ascii="Calibri" w:hAnsi="Calibri" w:cs="Calibri"/>
                <w:sz w:val="22"/>
                <w:szCs w:val="22"/>
              </w:rPr>
              <w:t>unit</w:t>
            </w:r>
            <w:r w:rsidR="00B736DE" w:rsidRPr="00B736DE">
              <w:rPr>
                <w:rFonts w:ascii="Calibri" w:hAnsi="Calibri" w:cs="Calibri"/>
                <w:sz w:val="22"/>
                <w:szCs w:val="22"/>
                <w:vertAlign w:val="superscript"/>
              </w:rPr>
              <w:t>a</w:t>
            </w:r>
            <w:proofErr w:type="spellEnd"/>
          </w:p>
        </w:tc>
      </w:tr>
      <w:tr w:rsidR="00A77106" w:rsidRPr="001F2171" w14:paraId="3528C10B"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6C9C5934" w14:textId="504E187A" w:rsidR="00A77106" w:rsidRPr="008F7C2D"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Q</m:t>
                    </m:r>
                  </m:e>
                  <m:sub>
                    <m:r>
                      <m:rPr>
                        <m:sty m:val="bi"/>
                      </m:rPr>
                      <w:rPr>
                        <w:rFonts w:ascii="Cambria Math" w:hAnsi="Cambria Math" w:cs="Calibri"/>
                        <w:sz w:val="22"/>
                        <w:szCs w:val="22"/>
                      </w:rPr>
                      <m:t>i,s,t,y</m:t>
                    </m:r>
                  </m:sub>
                </m:sSub>
              </m:oMath>
            </m:oMathPara>
          </w:p>
        </w:tc>
        <w:tc>
          <w:tcPr>
            <w:tcW w:w="5514" w:type="dxa"/>
          </w:tcPr>
          <w:p w14:paraId="45171B13" w14:textId="77777777" w:rsidR="00A77106" w:rsidRPr="008F7C2D"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sidRPr="008F7C2D">
              <w:rPr>
                <w:rFonts w:ascii="Calibri" w:hAnsi="Calibri" w:cs="Calibri"/>
                <w:sz w:val="22"/>
                <w:szCs w:val="22"/>
              </w:rPr>
              <w:t xml:space="preserve">Amount of elementary flow </w:t>
            </w:r>
            <w:r w:rsidRPr="008F7C2D">
              <w:rPr>
                <w:rFonts w:ascii="Calibri" w:hAnsi="Calibri" w:cs="Calibri"/>
                <w:i/>
                <w:iCs/>
                <w:sz w:val="22"/>
                <w:szCs w:val="22"/>
              </w:rPr>
              <w:t xml:space="preserve">s </w:t>
            </w:r>
            <w:r w:rsidRPr="008F7C2D">
              <w:rPr>
                <w:rFonts w:ascii="Calibri" w:hAnsi="Calibri" w:cs="Calibri"/>
                <w:sz w:val="22"/>
                <w:szCs w:val="22"/>
              </w:rPr>
              <w:t>exchanged between NETP</w:t>
            </w:r>
            <w:r w:rsidRPr="008F7C2D">
              <w:rPr>
                <w:rFonts w:ascii="Calibri" w:hAnsi="Calibri" w:cs="Calibri"/>
                <w:i/>
                <w:iCs/>
                <w:sz w:val="22"/>
                <w:szCs w:val="22"/>
              </w:rPr>
              <w:t xml:space="preserve"> </w:t>
            </w:r>
            <w:proofErr w:type="spellStart"/>
            <w:r w:rsidRPr="008F7C2D">
              <w:rPr>
                <w:rFonts w:ascii="Calibri" w:hAnsi="Calibri" w:cs="Calibri"/>
                <w:i/>
                <w:iCs/>
                <w:sz w:val="22"/>
                <w:szCs w:val="22"/>
              </w:rPr>
              <w:t>i</w:t>
            </w:r>
            <w:proofErr w:type="spellEnd"/>
            <w:r w:rsidRPr="008F7C2D">
              <w:rPr>
                <w:rFonts w:ascii="Calibri" w:hAnsi="Calibri" w:cs="Calibri"/>
                <w:i/>
                <w:iCs/>
                <w:sz w:val="22"/>
                <w:szCs w:val="22"/>
              </w:rPr>
              <w:t xml:space="preserve"> </w:t>
            </w:r>
            <w:r w:rsidRPr="008F7C2D">
              <w:rPr>
                <w:rFonts w:ascii="Calibri" w:hAnsi="Calibri" w:cs="Calibri"/>
                <w:sz w:val="22"/>
                <w:szCs w:val="22"/>
              </w:rPr>
              <w:t xml:space="preserve">and the environment </w:t>
            </w:r>
            <w:r w:rsidRPr="008F7C2D">
              <w:rPr>
                <w:rFonts w:ascii="Calibri" w:hAnsi="Calibri" w:cs="Calibri"/>
                <w:i/>
                <w:iCs/>
                <w:sz w:val="22"/>
                <w:szCs w:val="22"/>
              </w:rPr>
              <w:t xml:space="preserve">t </w:t>
            </w:r>
            <w:r w:rsidRPr="008F7C2D">
              <w:rPr>
                <w:rFonts w:ascii="Calibri" w:hAnsi="Calibri" w:cs="Calibri"/>
                <w:sz w:val="22"/>
                <w:szCs w:val="22"/>
              </w:rPr>
              <w:t>years after deployment in year</w:t>
            </w:r>
            <w:r w:rsidRPr="008F7C2D">
              <w:rPr>
                <w:rFonts w:ascii="Calibri" w:hAnsi="Calibri" w:cs="Calibri"/>
                <w:i/>
                <w:iCs/>
                <w:sz w:val="22"/>
                <w:szCs w:val="22"/>
              </w:rPr>
              <w:t xml:space="preserve"> y</w:t>
            </w:r>
          </w:p>
        </w:tc>
        <w:tc>
          <w:tcPr>
            <w:tcW w:w="1965" w:type="dxa"/>
          </w:tcPr>
          <w:p w14:paraId="2276730F" w14:textId="361956D9" w:rsidR="00A77106" w:rsidRPr="008879C0"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highlight w:val="green"/>
              </w:rPr>
            </w:pPr>
            <w:r w:rsidRPr="00E434F5">
              <w:rPr>
                <w:rFonts w:ascii="Calibri" w:hAnsi="Calibri" w:cs="Calibri"/>
                <w:sz w:val="22"/>
                <w:szCs w:val="22"/>
              </w:rPr>
              <w:t xml:space="preserve">unit of elementary </w:t>
            </w:r>
            <w:proofErr w:type="spellStart"/>
            <w:r w:rsidRPr="00E434F5">
              <w:rPr>
                <w:rFonts w:ascii="Calibri" w:hAnsi="Calibri" w:cs="Calibri"/>
                <w:sz w:val="22"/>
                <w:szCs w:val="22"/>
              </w:rPr>
              <w:t>flow</w:t>
            </w:r>
            <w:r w:rsidR="00E434F5" w:rsidRPr="00E434F5">
              <w:rPr>
                <w:rFonts w:ascii="Calibri" w:hAnsi="Calibri" w:cs="Calibri"/>
                <w:sz w:val="22"/>
                <w:szCs w:val="22"/>
                <w:vertAlign w:val="superscript"/>
              </w:rPr>
              <w:t>c</w:t>
            </w:r>
            <w:proofErr w:type="spellEnd"/>
            <w:r w:rsidRPr="00E434F5">
              <w:rPr>
                <w:rFonts w:ascii="Calibri" w:hAnsi="Calibri" w:cs="Calibri"/>
                <w:sz w:val="22"/>
                <w:szCs w:val="22"/>
              </w:rPr>
              <w:t>/</w:t>
            </w:r>
            <w:r w:rsidRPr="00B736DE">
              <w:rPr>
                <w:rFonts w:ascii="Calibri" w:hAnsi="Calibri" w:cs="Calibri"/>
                <w:sz w:val="22"/>
                <w:szCs w:val="22"/>
              </w:rPr>
              <w:t xml:space="preserve">functional </w:t>
            </w:r>
            <w:proofErr w:type="spellStart"/>
            <w:r w:rsidRPr="00B736DE">
              <w:rPr>
                <w:rFonts w:ascii="Calibri" w:hAnsi="Calibri" w:cs="Calibri"/>
                <w:sz w:val="22"/>
                <w:szCs w:val="22"/>
              </w:rPr>
              <w:t>unit</w:t>
            </w:r>
            <w:r w:rsidR="00B736DE" w:rsidRPr="00B736DE">
              <w:rPr>
                <w:rFonts w:ascii="Calibri" w:hAnsi="Calibri" w:cs="Calibri"/>
                <w:sz w:val="22"/>
                <w:szCs w:val="22"/>
                <w:vertAlign w:val="superscript"/>
              </w:rPr>
              <w:t>a</w:t>
            </w:r>
            <w:proofErr w:type="spellEnd"/>
          </w:p>
        </w:tc>
      </w:tr>
      <w:tr w:rsidR="00A77106" w:rsidRPr="001F2171" w14:paraId="4B32603E"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77829E7B" w14:textId="7F06BA4A"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
                  <m:sSubPr>
                    <m:ctrlPr>
                      <w:rPr>
                        <w:rFonts w:ascii="Cambria Math" w:eastAsia="Yu Mincho" w:hAnsi="Cambria Math" w:cs="Times New Roman"/>
                        <w:b w:val="0"/>
                        <w:bCs w:val="0"/>
                        <w:i/>
                        <w:sz w:val="22"/>
                        <w:szCs w:val="22"/>
                      </w:rPr>
                    </m:ctrlPr>
                  </m:sSubPr>
                  <m:e>
                    <m:r>
                      <m:rPr>
                        <m:sty m:val="bi"/>
                      </m:rPr>
                      <w:rPr>
                        <w:rFonts w:ascii="Cambria Math" w:eastAsia="Yu Mincho" w:hAnsi="Cambria Math" w:cs="Times New Roman"/>
                        <w:sz w:val="22"/>
                        <w:szCs w:val="22"/>
                      </w:rPr>
                      <m:t>R</m:t>
                    </m:r>
                  </m:e>
                  <m:sub>
                    <m:r>
                      <m:rPr>
                        <m:sty m:val="bi"/>
                      </m:rPr>
                      <w:rPr>
                        <w:rFonts w:ascii="Cambria Math" w:eastAsia="Yu Mincho" w:hAnsi="Cambria Math" w:cs="Times New Roman"/>
                        <w:sz w:val="22"/>
                        <w:szCs w:val="22"/>
                      </w:rPr>
                      <m:t>i,r,y</m:t>
                    </m:r>
                  </m:sub>
                </m:sSub>
              </m:oMath>
            </m:oMathPara>
          </w:p>
        </w:tc>
        <w:tc>
          <w:tcPr>
            <w:tcW w:w="5514" w:type="dxa"/>
          </w:tcPr>
          <w:p w14:paraId="6906CC91" w14:textId="77777777" w:rsidR="00A77106" w:rsidRPr="001F2171" w:rsidRDefault="00A77106" w:rsidP="00232799">
            <w:pPr>
              <w:spacing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Annual amount of mineral resource </w:t>
            </w:r>
            <w:r w:rsidRPr="001F2171">
              <w:rPr>
                <w:rFonts w:ascii="Calibri" w:hAnsi="Calibri" w:cs="Calibri"/>
                <w:i/>
                <w:iCs/>
                <w:sz w:val="22"/>
                <w:szCs w:val="22"/>
              </w:rPr>
              <w:t>r</w:t>
            </w:r>
            <w:r w:rsidRPr="001F2171">
              <w:rPr>
                <w:rFonts w:ascii="Calibri" w:hAnsi="Calibri" w:cs="Calibri"/>
                <w:sz w:val="22"/>
                <w:szCs w:val="22"/>
              </w:rPr>
              <w:t xml:space="preserve"> extracted by NETP </w:t>
            </w:r>
            <w:proofErr w:type="spellStart"/>
            <w:r w:rsidRPr="001F2171">
              <w:rPr>
                <w:rFonts w:ascii="Calibri" w:hAnsi="Calibri" w:cs="Calibri"/>
                <w:i/>
                <w:iCs/>
                <w:sz w:val="22"/>
                <w:szCs w:val="22"/>
              </w:rPr>
              <w:t>i</w:t>
            </w:r>
            <w:proofErr w:type="spellEnd"/>
            <w:r w:rsidRPr="001F2171">
              <w:rPr>
                <w:rFonts w:ascii="Calibri" w:hAnsi="Calibri" w:cs="Calibri"/>
                <w:sz w:val="22"/>
                <w:szCs w:val="22"/>
              </w:rPr>
              <w:t xml:space="preserve"> in year </w:t>
            </w:r>
            <w:r w:rsidRPr="001F2171">
              <w:rPr>
                <w:rFonts w:ascii="Calibri" w:hAnsi="Calibri" w:cs="Calibri"/>
                <w:i/>
                <w:iCs/>
                <w:sz w:val="22"/>
                <w:szCs w:val="22"/>
              </w:rPr>
              <w:t>y</w:t>
            </w:r>
            <w:r w:rsidRPr="001F2171">
              <w:rPr>
                <w:rFonts w:ascii="Calibri" w:hAnsi="Calibri" w:cs="Calibri"/>
                <w:sz w:val="22"/>
                <w:szCs w:val="22"/>
              </w:rPr>
              <w:t xml:space="preserve"> </w:t>
            </w:r>
          </w:p>
        </w:tc>
        <w:tc>
          <w:tcPr>
            <w:tcW w:w="1965" w:type="dxa"/>
          </w:tcPr>
          <w:p w14:paraId="44E2C87E" w14:textId="24FB9C27" w:rsidR="00A77106" w:rsidRPr="008879C0"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highlight w:val="green"/>
              </w:rPr>
            </w:pPr>
            <w:r w:rsidRPr="00B736DE">
              <w:rPr>
                <w:rFonts w:ascii="Calibri" w:hAnsi="Calibri" w:cs="Calibri"/>
                <w:sz w:val="22"/>
                <w:szCs w:val="22"/>
              </w:rPr>
              <w:t xml:space="preserve">kg/functional </w:t>
            </w:r>
            <w:proofErr w:type="spellStart"/>
            <w:r w:rsidRPr="00B736DE">
              <w:rPr>
                <w:rFonts w:ascii="Calibri" w:hAnsi="Calibri" w:cs="Calibri"/>
                <w:sz w:val="22"/>
                <w:szCs w:val="22"/>
              </w:rPr>
              <w:t>unit</w:t>
            </w:r>
            <w:r w:rsidR="00B736DE" w:rsidRPr="00B736DE">
              <w:rPr>
                <w:rFonts w:ascii="Calibri" w:hAnsi="Calibri" w:cs="Calibri"/>
                <w:sz w:val="22"/>
                <w:szCs w:val="22"/>
                <w:vertAlign w:val="superscript"/>
              </w:rPr>
              <w:t>a</w:t>
            </w:r>
            <w:proofErr w:type="spellEnd"/>
          </w:p>
        </w:tc>
      </w:tr>
      <w:tr w:rsidR="00A77106" w:rsidRPr="001F2171" w14:paraId="1A65F145"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66A2F586" w14:textId="06D22A04" w:rsidR="00A77106" w:rsidRPr="001F2171" w:rsidRDefault="00000000" w:rsidP="00232799">
            <w:pPr>
              <w:spacing w:line="360" w:lineRule="auto"/>
              <w:rPr>
                <w:rFonts w:ascii="Calibri" w:eastAsia="Yu Mincho" w:hAnsi="Calibri" w:cs="Calibri"/>
                <w:b w:val="0"/>
                <w:bCs w:val="0"/>
                <w:sz w:val="22"/>
                <w:szCs w:val="22"/>
              </w:rPr>
            </w:pPr>
            <m:oMathPara>
              <m:oMathParaPr>
                <m:jc m:val="left"/>
              </m:oMathParaPr>
              <m:oMath>
                <m:sSubSup>
                  <m:sSubSupPr>
                    <m:ctrlPr>
                      <w:rPr>
                        <w:rFonts w:ascii="Cambria Math" w:eastAsia="Yu Mincho" w:hAnsi="Cambria Math" w:cs="Times New Roman"/>
                        <w:b w:val="0"/>
                        <w:bCs w:val="0"/>
                        <w:i/>
                        <w:sz w:val="22"/>
                        <w:szCs w:val="22"/>
                      </w:rPr>
                    </m:ctrlPr>
                  </m:sSubSupPr>
                  <m:e>
                    <m:r>
                      <m:rPr>
                        <m:sty m:val="bi"/>
                      </m:rPr>
                      <w:rPr>
                        <w:rFonts w:ascii="Cambria Math" w:eastAsia="Yu Mincho" w:hAnsi="Cambria Math" w:cs="Times New Roman"/>
                        <w:sz w:val="22"/>
                        <w:szCs w:val="22"/>
                      </w:rPr>
                      <m:t>x</m:t>
                    </m:r>
                  </m:e>
                  <m:sub>
                    <m:r>
                      <m:rPr>
                        <m:sty m:val="bi"/>
                      </m:rPr>
                      <w:rPr>
                        <w:rFonts w:ascii="Cambria Math" w:eastAsia="Yu Mincho" w:hAnsi="Cambria Math" w:cs="Times New Roman"/>
                        <w:sz w:val="22"/>
                        <w:szCs w:val="22"/>
                      </w:rPr>
                      <m:t>r,s</m:t>
                    </m:r>
                  </m:sub>
                  <m:sup>
                    <m:r>
                      <m:rPr>
                        <m:sty m:val="bi"/>
                      </m:rPr>
                      <w:rPr>
                        <w:rFonts w:ascii="Cambria Math" w:eastAsia="Yu Mincho" w:hAnsi="Cambria Math" w:cs="Times New Roman"/>
                        <w:sz w:val="22"/>
                        <w:szCs w:val="22"/>
                      </w:rPr>
                      <m:t>MR</m:t>
                    </m:r>
                  </m:sup>
                </m:sSubSup>
              </m:oMath>
            </m:oMathPara>
          </w:p>
        </w:tc>
        <w:tc>
          <w:tcPr>
            <w:tcW w:w="5514" w:type="dxa"/>
          </w:tcPr>
          <w:p w14:paraId="14B20F11" w14:textId="77777777" w:rsidR="00A77106" w:rsidRPr="001F2171" w:rsidRDefault="00A77106" w:rsidP="0023279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Fraction of mineral resource </w:t>
            </w:r>
            <w:r w:rsidRPr="001F2171">
              <w:rPr>
                <w:rFonts w:ascii="Calibri" w:hAnsi="Calibri" w:cs="Calibri"/>
                <w:i/>
                <w:iCs/>
                <w:sz w:val="22"/>
                <w:szCs w:val="22"/>
              </w:rPr>
              <w:t>r</w:t>
            </w:r>
            <w:r w:rsidRPr="001F2171">
              <w:rPr>
                <w:rFonts w:ascii="Calibri" w:hAnsi="Calibri" w:cs="Calibri"/>
                <w:sz w:val="22"/>
                <w:szCs w:val="22"/>
              </w:rPr>
              <w:t xml:space="preserve"> in elementary flow </w:t>
            </w:r>
            <w:r w:rsidRPr="001F2171">
              <w:rPr>
                <w:rFonts w:ascii="Calibri" w:hAnsi="Calibri" w:cs="Calibri"/>
                <w:i/>
                <w:iCs/>
                <w:sz w:val="22"/>
                <w:szCs w:val="22"/>
              </w:rPr>
              <w:t>s</w:t>
            </w:r>
          </w:p>
        </w:tc>
        <w:tc>
          <w:tcPr>
            <w:tcW w:w="1965" w:type="dxa"/>
          </w:tcPr>
          <w:p w14:paraId="0DF8BC8C"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w:t>
            </w:r>
          </w:p>
        </w:tc>
      </w:tr>
    </w:tbl>
    <w:p w14:paraId="53E5B690" w14:textId="77777777" w:rsidR="00A77106" w:rsidRPr="009619D1" w:rsidRDefault="00A77106" w:rsidP="00A77106">
      <w:pPr>
        <w:spacing w:line="360" w:lineRule="auto"/>
        <w:rPr>
          <w:rFonts w:ascii="Calibri" w:hAnsi="Calibri" w:cs="Calibri"/>
        </w:rPr>
      </w:pPr>
    </w:p>
    <w:p w14:paraId="4D10E088" w14:textId="77777777" w:rsidR="00035062" w:rsidRPr="009619D1" w:rsidRDefault="00035062" w:rsidP="00A77106">
      <w:pPr>
        <w:spacing w:line="360" w:lineRule="auto"/>
        <w:rPr>
          <w:rFonts w:ascii="Calibri" w:hAnsi="Calibri" w:cs="Calibri"/>
        </w:rPr>
      </w:pPr>
    </w:p>
    <w:p w14:paraId="538E66BF" w14:textId="77777777" w:rsidR="00A77106" w:rsidRPr="00EA6020" w:rsidRDefault="00A77106" w:rsidP="00A77106">
      <w:pPr>
        <w:spacing w:after="0" w:line="240" w:lineRule="auto"/>
        <w:jc w:val="center"/>
        <w:rPr>
          <w:rFonts w:ascii="Calibri" w:hAnsi="Calibri" w:cs="Calibri"/>
        </w:rPr>
      </w:pPr>
      <w:r w:rsidRPr="00EA6020">
        <w:rPr>
          <w:rFonts w:ascii="Calibri" w:hAnsi="Calibri" w:cs="Calibri"/>
          <w:b/>
          <w:bCs/>
        </w:rPr>
        <w:t xml:space="preserve">Supplementary Table </w:t>
      </w:r>
      <w:r>
        <w:rPr>
          <w:rFonts w:ascii="Calibri" w:hAnsi="Calibri" w:cs="Calibri"/>
          <w:b/>
          <w:bCs/>
        </w:rPr>
        <w:t>5</w:t>
      </w:r>
      <w:r w:rsidRPr="00EA6020">
        <w:rPr>
          <w:rFonts w:ascii="Calibri" w:hAnsi="Calibri" w:cs="Calibri"/>
          <w:b/>
          <w:bCs/>
        </w:rPr>
        <w:t xml:space="preserve">. </w:t>
      </w:r>
      <w:r w:rsidRPr="00EA6020">
        <w:rPr>
          <w:rFonts w:ascii="Calibri" w:hAnsi="Calibri" w:cs="Calibri"/>
        </w:rPr>
        <w:t>Parameters and variables used to estimate</w:t>
      </w:r>
    </w:p>
    <w:p w14:paraId="19087D43" w14:textId="77777777" w:rsidR="00A77106" w:rsidRDefault="00A77106" w:rsidP="00A77106">
      <w:pPr>
        <w:spacing w:after="0" w:line="240" w:lineRule="auto"/>
        <w:jc w:val="center"/>
        <w:rPr>
          <w:rFonts w:ascii="Calibri" w:hAnsi="Calibri" w:cs="Calibri"/>
          <w:b/>
          <w:bCs/>
        </w:rPr>
      </w:pPr>
      <w:r>
        <w:rPr>
          <w:rFonts w:ascii="Calibri" w:hAnsi="Calibri" w:cs="Calibri"/>
        </w:rPr>
        <w:t>the enhanced weathering life cycle inventorie</w:t>
      </w:r>
      <w:r w:rsidRPr="003979D4">
        <w:rPr>
          <w:rFonts w:ascii="Calibri" w:hAnsi="Calibri" w:cs="Calibri"/>
        </w:rPr>
        <w:t>s.</w:t>
      </w:r>
    </w:p>
    <w:tbl>
      <w:tblPr>
        <w:tblStyle w:val="Tablanormal2"/>
        <w:tblW w:w="8500" w:type="dxa"/>
        <w:tblLook w:val="04A0" w:firstRow="1" w:lastRow="0" w:firstColumn="1" w:lastColumn="0" w:noHBand="0" w:noVBand="1"/>
      </w:tblPr>
      <w:tblGrid>
        <w:gridCol w:w="1165"/>
        <w:gridCol w:w="5395"/>
        <w:gridCol w:w="1940"/>
      </w:tblGrid>
      <w:tr w:rsidR="00A77106" w:rsidRPr="001F2171" w14:paraId="016326FA" w14:textId="77777777" w:rsidTr="00B610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75BA3EF1" w14:textId="77777777" w:rsidR="00A77106" w:rsidRPr="001F2171" w:rsidRDefault="00A77106" w:rsidP="00232799">
            <w:pPr>
              <w:spacing w:line="360" w:lineRule="auto"/>
              <w:rPr>
                <w:rFonts w:ascii="Calibri" w:hAnsi="Calibri" w:cs="Calibri"/>
                <w:sz w:val="22"/>
                <w:szCs w:val="22"/>
              </w:rPr>
            </w:pPr>
            <w:r w:rsidRPr="001F2171">
              <w:rPr>
                <w:rFonts w:ascii="Calibri" w:hAnsi="Calibri" w:cs="Calibri"/>
                <w:sz w:val="22"/>
                <w:szCs w:val="22"/>
              </w:rPr>
              <w:t>Symbol</w:t>
            </w:r>
          </w:p>
        </w:tc>
        <w:tc>
          <w:tcPr>
            <w:tcW w:w="5514" w:type="dxa"/>
          </w:tcPr>
          <w:p w14:paraId="050D87F5"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Description</w:t>
            </w:r>
          </w:p>
        </w:tc>
        <w:tc>
          <w:tcPr>
            <w:tcW w:w="1967" w:type="dxa"/>
          </w:tcPr>
          <w:p w14:paraId="732584C3" w14:textId="77777777" w:rsidR="00A77106" w:rsidRPr="001F2171" w:rsidRDefault="00A77106" w:rsidP="00232799">
            <w:pPr>
              <w:spacing w:line="360" w:lineRule="auto"/>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2"/>
                <w:szCs w:val="22"/>
              </w:rPr>
            </w:pPr>
            <w:r w:rsidRPr="001F2171">
              <w:rPr>
                <w:rFonts w:ascii="Calibri" w:hAnsi="Calibri" w:cs="Calibri"/>
                <w:sz w:val="22"/>
                <w:szCs w:val="22"/>
              </w:rPr>
              <w:t>Unit</w:t>
            </w:r>
          </w:p>
        </w:tc>
      </w:tr>
      <w:tr w:rsidR="00A77106" w:rsidRPr="001F2171" w14:paraId="47B7C968"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53DAFB4B" w14:textId="7DE85024" w:rsidR="00A77106" w:rsidRPr="001F2171" w:rsidRDefault="00000000" w:rsidP="00232799">
            <w:pPr>
              <w:spacing w:line="360" w:lineRule="auto"/>
              <w:jc w:val="both"/>
              <w:rPr>
                <w:rFonts w:ascii="Calibri" w:eastAsia="Yu Mincho" w:hAnsi="Calibri" w:cs="Calibri"/>
                <w:b w:val="0"/>
                <w:bCs w:val="0"/>
                <w:sz w:val="22"/>
                <w:szCs w:val="22"/>
              </w:rPr>
            </w:pPr>
            <m:oMathPara>
              <m:oMathParaPr>
                <m:jc m:val="left"/>
              </m:oMathParaPr>
              <m:oMath>
                <m:sSubSup>
                  <m:sSubSupPr>
                    <m:ctrlPr>
                      <w:rPr>
                        <w:rFonts w:ascii="Cambria Math" w:eastAsia="Yu Mincho" w:hAnsi="Cambria Math" w:cs="Calibri"/>
                        <w:b w:val="0"/>
                        <w:bCs w:val="0"/>
                        <w:i/>
                        <w:sz w:val="22"/>
                        <w:szCs w:val="22"/>
                      </w:rPr>
                    </m:ctrlPr>
                  </m:sSubSupPr>
                  <m:e>
                    <m:r>
                      <m:rPr>
                        <m:sty m:val="bi"/>
                      </m:rPr>
                      <w:rPr>
                        <w:rFonts w:ascii="Cambria Math" w:eastAsia="Yu Mincho" w:hAnsi="Cambria Math" w:cs="Calibri"/>
                        <w:sz w:val="22"/>
                        <w:szCs w:val="22"/>
                      </w:rPr>
                      <m:t>C</m:t>
                    </m:r>
                  </m:e>
                  <m:sub>
                    <m:r>
                      <m:rPr>
                        <m:sty m:val="bi"/>
                      </m:rPr>
                      <w:rPr>
                        <w:rFonts w:ascii="Cambria Math" w:eastAsia="Yu Mincho" w:hAnsi="Cambria Math" w:cs="Calibri"/>
                        <w:sz w:val="22"/>
                        <w:szCs w:val="22"/>
                      </w:rPr>
                      <m:t>n</m:t>
                    </m:r>
                  </m:sub>
                  <m:sup>
                    <m:r>
                      <m:rPr>
                        <m:sty m:val="bi"/>
                      </m:rPr>
                      <w:rPr>
                        <w:rFonts w:ascii="Cambria Math" w:eastAsia="Yu Mincho" w:hAnsi="Cambria Math" w:cs="Calibri"/>
                        <w:sz w:val="22"/>
                        <w:szCs w:val="22"/>
                      </w:rPr>
                      <m:t>ALK</m:t>
                    </m:r>
                  </m:sup>
                </m:sSubSup>
              </m:oMath>
            </m:oMathPara>
          </w:p>
        </w:tc>
        <w:tc>
          <w:tcPr>
            <w:tcW w:w="5514" w:type="dxa"/>
          </w:tcPr>
          <w:p w14:paraId="12E7481D" w14:textId="481B7275"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sidRPr="001F2171">
              <w:rPr>
                <w:rFonts w:ascii="Calibri" w:eastAsia="Calibri" w:hAnsi="Calibri" w:cs="Calibri"/>
                <w:sz w:val="22"/>
                <w:szCs w:val="22"/>
              </w:rPr>
              <w:t xml:space="preserve">Alkalinity concentration in rock </w:t>
            </w:r>
            <w:r w:rsidR="008A66C6" w:rsidRPr="001F2171">
              <w:rPr>
                <w:rFonts w:ascii="Calibri" w:eastAsia="Calibri" w:hAnsi="Calibri" w:cs="Calibri"/>
                <w:i/>
                <w:iCs/>
                <w:sz w:val="22"/>
                <w:szCs w:val="22"/>
              </w:rPr>
              <w:t>n</w:t>
            </w:r>
          </w:p>
        </w:tc>
        <w:tc>
          <w:tcPr>
            <w:tcW w:w="1967" w:type="dxa"/>
          </w:tcPr>
          <w:p w14:paraId="4DC633A3"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mol/g</w:t>
            </w:r>
          </w:p>
        </w:tc>
      </w:tr>
      <w:tr w:rsidR="00A77106" w:rsidRPr="001F2171" w14:paraId="1F19E11F"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70B688C6" w14:textId="562FA97B" w:rsidR="00A77106" w:rsidRPr="001F2171" w:rsidRDefault="002F5BC0" w:rsidP="00232799">
            <w:pPr>
              <w:spacing w:line="360" w:lineRule="auto"/>
              <w:jc w:val="both"/>
              <w:rPr>
                <w:rFonts w:ascii="Calibri" w:hAnsi="Calibri" w:cs="Calibri"/>
                <w:b w:val="0"/>
                <w:bCs w:val="0"/>
                <w:sz w:val="22"/>
                <w:szCs w:val="22"/>
              </w:rPr>
            </w:pPr>
            <m:oMathPara>
              <m:oMathParaPr>
                <m:jc m:val="left"/>
              </m:oMathParaPr>
              <m:oMath>
                <m:r>
                  <m:rPr>
                    <m:sty m:val="bi"/>
                  </m:rPr>
                  <w:rPr>
                    <w:rFonts w:ascii="Cambria Math" w:eastAsia="Calibri" w:hAnsi="Cambria Math" w:cs="Calibri"/>
                    <w:sz w:val="22"/>
                    <w:szCs w:val="22"/>
                  </w:rPr>
                  <m:t>CD</m:t>
                </m:r>
                <m:sSup>
                  <m:sSupPr>
                    <m:ctrlPr>
                      <w:rPr>
                        <w:rFonts w:ascii="Cambria Math" w:eastAsia="Calibri" w:hAnsi="Cambria Math" w:cs="Calibri"/>
                        <w:b w:val="0"/>
                        <w:bCs w:val="0"/>
                        <w:i/>
                        <w:sz w:val="22"/>
                        <w:szCs w:val="22"/>
                      </w:rPr>
                    </m:ctrlPr>
                  </m:sSupPr>
                  <m:e>
                    <m:r>
                      <m:rPr>
                        <m:sty m:val="bi"/>
                      </m:rPr>
                      <w:rPr>
                        <w:rFonts w:ascii="Cambria Math" w:eastAsia="Calibri" w:hAnsi="Cambria Math" w:cs="Calibri"/>
                        <w:sz w:val="22"/>
                        <w:szCs w:val="22"/>
                      </w:rPr>
                      <m:t>R</m:t>
                    </m:r>
                  </m:e>
                  <m:sup>
                    <m:r>
                      <m:rPr>
                        <m:sty m:val="bi"/>
                      </m:rPr>
                      <w:rPr>
                        <w:rFonts w:ascii="Cambria Math" w:eastAsia="Calibri" w:hAnsi="Cambria Math" w:cs="Calibri"/>
                        <w:sz w:val="22"/>
                        <w:szCs w:val="22"/>
                      </w:rPr>
                      <m:t>EW</m:t>
                    </m:r>
                  </m:sup>
                </m:sSup>
              </m:oMath>
            </m:oMathPara>
          </w:p>
        </w:tc>
        <w:tc>
          <w:tcPr>
            <w:tcW w:w="5514" w:type="dxa"/>
          </w:tcPr>
          <w:p w14:paraId="25AA06A6"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eastAsia="Calibri" w:hAnsi="Calibri" w:cs="Calibri"/>
                <w:sz w:val="22"/>
                <w:szCs w:val="22"/>
              </w:rPr>
              <w:t>Gross amount of CO</w:t>
            </w:r>
            <w:r w:rsidRPr="001F2171">
              <w:rPr>
                <w:rFonts w:ascii="Calibri" w:eastAsia="Calibri" w:hAnsi="Calibri" w:cs="Calibri"/>
                <w:sz w:val="22"/>
                <w:szCs w:val="22"/>
                <w:vertAlign w:val="subscript"/>
              </w:rPr>
              <w:t>2</w:t>
            </w:r>
            <w:r w:rsidRPr="001F2171">
              <w:rPr>
                <w:rFonts w:ascii="Calibri" w:eastAsia="Calibri" w:hAnsi="Calibri" w:cs="Calibri"/>
                <w:sz w:val="22"/>
                <w:szCs w:val="22"/>
              </w:rPr>
              <w:t xml:space="preserve"> removed in the enhanced weathering scenarios within one year</w:t>
            </w:r>
          </w:p>
        </w:tc>
        <w:tc>
          <w:tcPr>
            <w:tcW w:w="1967" w:type="dxa"/>
          </w:tcPr>
          <w:p w14:paraId="06CDC561"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g/year</w:t>
            </w:r>
          </w:p>
        </w:tc>
      </w:tr>
      <w:tr w:rsidR="00A77106" w:rsidRPr="001F2171" w14:paraId="5543C6BE"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3EDE35A8" w14:textId="406A8CD8"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M</m:t>
                </m:r>
                <m:sSup>
                  <m:sSupPr>
                    <m:ctrlPr>
                      <w:rPr>
                        <w:rFonts w:ascii="Cambria Math" w:hAnsi="Cambria Math" w:cs="Calibri"/>
                        <w:b w:val="0"/>
                        <w:bCs w:val="0"/>
                        <w:i/>
                        <w:sz w:val="22"/>
                        <w:szCs w:val="22"/>
                      </w:rPr>
                    </m:ctrlPr>
                  </m:sSupPr>
                  <m:e>
                    <m:r>
                      <m:rPr>
                        <m:sty m:val="bi"/>
                      </m:rPr>
                      <w:rPr>
                        <w:rFonts w:ascii="Cambria Math" w:hAnsi="Cambria Math" w:cs="Calibri"/>
                        <w:sz w:val="22"/>
                        <w:szCs w:val="22"/>
                      </w:rPr>
                      <m:t>M</m:t>
                    </m:r>
                  </m:e>
                  <m:sup>
                    <m:r>
                      <m:rPr>
                        <m:sty m:val="bi"/>
                      </m:rPr>
                      <w:rPr>
                        <w:rFonts w:ascii="Cambria Math" w:hAnsi="Cambria Math" w:cs="Calibri"/>
                        <w:sz w:val="22"/>
                        <w:szCs w:val="22"/>
                      </w:rPr>
                      <m:t>C</m:t>
                    </m:r>
                    <m:sSub>
                      <m:sSubPr>
                        <m:ctrlPr>
                          <w:rPr>
                            <w:rFonts w:ascii="Cambria Math" w:hAnsi="Cambria Math" w:cs="Calibri"/>
                            <w:b w:val="0"/>
                            <w:bCs w:val="0"/>
                            <w:i/>
                            <w:sz w:val="22"/>
                            <w:szCs w:val="22"/>
                          </w:rPr>
                        </m:ctrlPr>
                      </m:sSubPr>
                      <m:e>
                        <m:r>
                          <m:rPr>
                            <m:sty m:val="bi"/>
                          </m:rPr>
                          <w:rPr>
                            <w:rFonts w:ascii="Cambria Math" w:hAnsi="Cambria Math" w:cs="Calibri"/>
                            <w:sz w:val="22"/>
                            <w:szCs w:val="22"/>
                          </w:rPr>
                          <m:t>O</m:t>
                        </m:r>
                      </m:e>
                      <m:sub>
                        <m:r>
                          <m:rPr>
                            <m:sty m:val="bi"/>
                          </m:rPr>
                          <w:rPr>
                            <w:rFonts w:ascii="Cambria Math" w:hAnsi="Cambria Math" w:cs="Calibri"/>
                            <w:sz w:val="22"/>
                            <w:szCs w:val="22"/>
                          </w:rPr>
                          <m:t>2</m:t>
                        </m:r>
                      </m:sub>
                    </m:sSub>
                  </m:sup>
                </m:sSup>
              </m:oMath>
            </m:oMathPara>
          </w:p>
        </w:tc>
        <w:tc>
          <w:tcPr>
            <w:tcW w:w="5514" w:type="dxa"/>
          </w:tcPr>
          <w:p w14:paraId="6DBD4E3D"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CO</w:t>
            </w:r>
            <w:r w:rsidRPr="001F2171">
              <w:rPr>
                <w:rFonts w:ascii="Calibri" w:hAnsi="Calibri" w:cs="Calibri"/>
                <w:sz w:val="22"/>
                <w:szCs w:val="22"/>
                <w:vertAlign w:val="subscript"/>
              </w:rPr>
              <w:t>2</w:t>
            </w:r>
            <w:r w:rsidRPr="001F2171">
              <w:rPr>
                <w:rFonts w:ascii="Calibri" w:hAnsi="Calibri" w:cs="Calibri"/>
                <w:sz w:val="22"/>
                <w:szCs w:val="22"/>
              </w:rPr>
              <w:t xml:space="preserve"> molecular mass</w:t>
            </w:r>
          </w:p>
        </w:tc>
        <w:tc>
          <w:tcPr>
            <w:tcW w:w="1967" w:type="dxa"/>
          </w:tcPr>
          <w:p w14:paraId="126F5CB2"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g/mol</w:t>
            </w:r>
          </w:p>
        </w:tc>
      </w:tr>
      <w:tr w:rsidR="00A77106" w:rsidRPr="001F2171" w14:paraId="1D13E186"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242C5C10" w14:textId="2C77DA30"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R</m:t>
                </m:r>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M</m:t>
                    </m:r>
                  </m:e>
                  <m:sub>
                    <m:r>
                      <m:rPr>
                        <m:sty m:val="bi"/>
                      </m:rPr>
                      <w:rPr>
                        <w:rFonts w:ascii="Cambria Math" w:hAnsi="Cambria Math" w:cs="Calibri"/>
                        <w:sz w:val="22"/>
                        <w:szCs w:val="22"/>
                      </w:rPr>
                      <m:t>d,l,n,p</m:t>
                    </m:r>
                  </m:sub>
                  <m:sup>
                    <m:r>
                      <m:rPr>
                        <m:sty m:val="bi"/>
                      </m:rPr>
                      <w:rPr>
                        <w:rFonts w:ascii="Cambria Math" w:hAnsi="Cambria Math" w:cs="Calibri"/>
                        <w:sz w:val="22"/>
                        <w:szCs w:val="22"/>
                      </w:rPr>
                      <m:t>0</m:t>
                    </m:r>
                  </m:sup>
                </m:sSubSup>
              </m:oMath>
            </m:oMathPara>
          </w:p>
        </w:tc>
        <w:tc>
          <w:tcPr>
            <w:tcW w:w="5514" w:type="dxa"/>
          </w:tcPr>
          <w:p w14:paraId="54D4A103" w14:textId="78507E3D"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Mass of rock that must be initially applied to the soil, dependent on the type of data </w:t>
            </w:r>
            <w:r w:rsidRPr="001F2171">
              <w:rPr>
                <w:rFonts w:ascii="Calibri" w:hAnsi="Calibri" w:cs="Calibri"/>
                <w:i/>
                <w:iCs/>
                <w:sz w:val="22"/>
                <w:szCs w:val="22"/>
              </w:rPr>
              <w:t>d</w:t>
            </w:r>
            <w:r w:rsidRPr="001F2171">
              <w:rPr>
                <w:rFonts w:ascii="Calibri" w:hAnsi="Calibri" w:cs="Calibri"/>
                <w:sz w:val="22"/>
                <w:szCs w:val="22"/>
              </w:rPr>
              <w:t xml:space="preserve">, location </w:t>
            </w:r>
            <w:r w:rsidRPr="001F2171">
              <w:rPr>
                <w:rFonts w:ascii="Calibri" w:hAnsi="Calibri" w:cs="Calibri"/>
                <w:i/>
                <w:iCs/>
                <w:sz w:val="22"/>
                <w:szCs w:val="22"/>
              </w:rPr>
              <w:t>l</w:t>
            </w:r>
            <w:r w:rsidR="00B01F5E" w:rsidRPr="001F2171">
              <w:rPr>
                <w:rFonts w:ascii="Calibri" w:hAnsi="Calibri" w:cs="Calibri"/>
                <w:sz w:val="22"/>
                <w:szCs w:val="22"/>
              </w:rPr>
              <w:t>,</w:t>
            </w:r>
            <w:r w:rsidRPr="001F2171">
              <w:rPr>
                <w:rFonts w:ascii="Calibri" w:hAnsi="Calibri" w:cs="Calibri"/>
                <w:sz w:val="22"/>
                <w:szCs w:val="22"/>
              </w:rPr>
              <w:t xml:space="preserve"> rock </w:t>
            </w:r>
            <w:r w:rsidR="008A66C6" w:rsidRPr="001F2171">
              <w:rPr>
                <w:rFonts w:ascii="Calibri" w:hAnsi="Calibri" w:cs="Calibri"/>
                <w:i/>
                <w:iCs/>
                <w:sz w:val="22"/>
                <w:szCs w:val="22"/>
              </w:rPr>
              <w:t>n</w:t>
            </w:r>
            <w:r w:rsidR="00B01F5E" w:rsidRPr="001F2171">
              <w:rPr>
                <w:rFonts w:ascii="Calibri" w:hAnsi="Calibri" w:cs="Calibri"/>
                <w:sz w:val="22"/>
                <w:szCs w:val="22"/>
              </w:rPr>
              <w:t xml:space="preserve"> and particle size </w:t>
            </w:r>
            <w:r w:rsidR="00B01F5E" w:rsidRPr="001F2171">
              <w:rPr>
                <w:rFonts w:ascii="Calibri" w:hAnsi="Calibri" w:cs="Calibri"/>
                <w:i/>
                <w:iCs/>
                <w:sz w:val="22"/>
                <w:szCs w:val="22"/>
              </w:rPr>
              <w:t>p</w:t>
            </w:r>
          </w:p>
        </w:tc>
        <w:tc>
          <w:tcPr>
            <w:tcW w:w="1967" w:type="dxa"/>
          </w:tcPr>
          <w:p w14:paraId="7C31C9B3"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w:t>
            </w:r>
          </w:p>
        </w:tc>
      </w:tr>
      <w:tr w:rsidR="00A77106" w:rsidRPr="001F2171" w14:paraId="3F9C35D3"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EBF9125" w14:textId="55F3F002"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R</m:t>
                </m:r>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M</m:t>
                    </m:r>
                  </m:e>
                  <m:sub>
                    <m:r>
                      <m:rPr>
                        <m:sty m:val="bi"/>
                      </m:rPr>
                      <w:rPr>
                        <w:rFonts w:ascii="Cambria Math" w:hAnsi="Cambria Math" w:cs="Calibri"/>
                        <w:sz w:val="22"/>
                        <w:szCs w:val="22"/>
                      </w:rPr>
                      <m:t>d,l,n,p</m:t>
                    </m:r>
                  </m:sub>
                  <m:sup>
                    <m:r>
                      <m:rPr>
                        <m:sty m:val="bi"/>
                      </m:rPr>
                      <w:rPr>
                        <w:rFonts w:ascii="Cambria Math" w:hAnsi="Cambria Math" w:cs="Calibri"/>
                        <w:sz w:val="22"/>
                        <w:szCs w:val="22"/>
                      </w:rPr>
                      <m:t>A</m:t>
                    </m:r>
                  </m:sup>
                </m:sSubSup>
              </m:oMath>
            </m:oMathPara>
          </w:p>
        </w:tc>
        <w:tc>
          <w:tcPr>
            <w:tcW w:w="5514" w:type="dxa"/>
          </w:tcPr>
          <w:p w14:paraId="36300C83" w14:textId="4307E7F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Mass of rock applied annually after the initial year of deployment, dependent on the type of data </w:t>
            </w:r>
            <w:r w:rsidRPr="001F2171">
              <w:rPr>
                <w:rFonts w:ascii="Calibri" w:hAnsi="Calibri" w:cs="Calibri"/>
                <w:i/>
                <w:iCs/>
                <w:sz w:val="22"/>
                <w:szCs w:val="22"/>
              </w:rPr>
              <w:t>d</w:t>
            </w:r>
            <w:r w:rsidRPr="001F2171">
              <w:rPr>
                <w:rFonts w:ascii="Calibri" w:hAnsi="Calibri" w:cs="Calibri"/>
                <w:sz w:val="22"/>
                <w:szCs w:val="22"/>
              </w:rPr>
              <w:t xml:space="preserve">, location </w:t>
            </w:r>
            <w:r w:rsidRPr="001F2171">
              <w:rPr>
                <w:rFonts w:ascii="Calibri" w:hAnsi="Calibri" w:cs="Calibri"/>
                <w:i/>
                <w:iCs/>
                <w:sz w:val="22"/>
                <w:szCs w:val="22"/>
              </w:rPr>
              <w:t>l</w:t>
            </w:r>
            <w:r w:rsidR="00573F7B" w:rsidRPr="001F2171">
              <w:rPr>
                <w:rFonts w:ascii="Calibri" w:hAnsi="Calibri" w:cs="Calibri"/>
                <w:sz w:val="22"/>
                <w:szCs w:val="22"/>
              </w:rPr>
              <w:t>,</w:t>
            </w:r>
            <w:r w:rsidRPr="001F2171">
              <w:rPr>
                <w:rFonts w:ascii="Calibri" w:hAnsi="Calibri" w:cs="Calibri"/>
                <w:sz w:val="22"/>
                <w:szCs w:val="22"/>
              </w:rPr>
              <w:t xml:space="preserve"> rock </w:t>
            </w:r>
            <w:r w:rsidR="008A66C6" w:rsidRPr="001F2171">
              <w:rPr>
                <w:rFonts w:ascii="Calibri" w:hAnsi="Calibri" w:cs="Calibri"/>
                <w:i/>
                <w:iCs/>
                <w:sz w:val="22"/>
                <w:szCs w:val="22"/>
              </w:rPr>
              <w:t>n</w:t>
            </w:r>
            <w:r w:rsidR="00573F7B" w:rsidRPr="001F2171">
              <w:rPr>
                <w:rFonts w:ascii="Calibri" w:hAnsi="Calibri" w:cs="Calibri"/>
                <w:sz w:val="22"/>
                <w:szCs w:val="22"/>
              </w:rPr>
              <w:t xml:space="preserve"> and particle size </w:t>
            </w:r>
            <w:r w:rsidR="00573F7B" w:rsidRPr="001F2171">
              <w:rPr>
                <w:rFonts w:ascii="Calibri" w:hAnsi="Calibri" w:cs="Calibri"/>
                <w:i/>
                <w:iCs/>
                <w:sz w:val="22"/>
                <w:szCs w:val="22"/>
              </w:rPr>
              <w:t>p</w:t>
            </w:r>
          </w:p>
        </w:tc>
        <w:tc>
          <w:tcPr>
            <w:tcW w:w="1967" w:type="dxa"/>
          </w:tcPr>
          <w:p w14:paraId="6C5CCFC9"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w:t>
            </w:r>
          </w:p>
        </w:tc>
      </w:tr>
      <w:tr w:rsidR="00A77106" w:rsidRPr="001F2171" w14:paraId="5F898562"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66C9B764" w14:textId="6DB916C7" w:rsidR="00A77106" w:rsidRPr="001F2171" w:rsidRDefault="00000000" w:rsidP="00232799">
            <w:pPr>
              <w:spacing w:line="360" w:lineRule="auto"/>
              <w:jc w:val="both"/>
              <w:rPr>
                <w:rFonts w:ascii="Calibri" w:eastAsia="Yu Mincho" w:hAnsi="Calibri" w:cs="Calibri"/>
                <w:b w:val="0"/>
                <w:bCs w:val="0"/>
                <w:sz w:val="22"/>
                <w:szCs w:val="22"/>
              </w:rPr>
            </w:pPr>
            <m:oMathPara>
              <m:oMathParaPr>
                <m:jc m:val="left"/>
              </m:oMathParaPr>
              <m:oMath>
                <m:sSub>
                  <m:sSubPr>
                    <m:ctrlPr>
                      <w:rPr>
                        <w:rFonts w:ascii="Cambria Math" w:hAnsi="Cambria Math" w:cs="Calibri"/>
                        <w:b w:val="0"/>
                        <w:bCs w:val="0"/>
                        <w:i/>
                        <w:sz w:val="22"/>
                        <w:szCs w:val="22"/>
                      </w:rPr>
                    </m:ctrlPr>
                  </m:sSubPr>
                  <m:e>
                    <m:r>
                      <m:rPr>
                        <m:sty m:val="bi"/>
                      </m:rPr>
                      <w:rPr>
                        <w:rFonts w:ascii="Cambria Math" w:hAnsi="Cambria Math" w:cs="Calibri"/>
                        <w:sz w:val="22"/>
                        <w:szCs w:val="22"/>
                      </w:rPr>
                      <m:t>P</m:t>
                    </m:r>
                  </m:e>
                  <m:sub>
                    <m:r>
                      <m:rPr>
                        <m:sty m:val="bi"/>
                      </m:rPr>
                      <w:rPr>
                        <w:rFonts w:ascii="Cambria Math" w:hAnsi="Cambria Math" w:cs="Calibri"/>
                        <w:sz w:val="22"/>
                        <w:szCs w:val="22"/>
                      </w:rPr>
                      <m:t>n</m:t>
                    </m:r>
                  </m:sub>
                </m:sSub>
              </m:oMath>
            </m:oMathPara>
          </w:p>
        </w:tc>
        <w:tc>
          <w:tcPr>
            <w:tcW w:w="5514" w:type="dxa"/>
          </w:tcPr>
          <w:p w14:paraId="638D6C11" w14:textId="0ACD81E6"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Theoretical CDR potential of rock </w:t>
            </w:r>
            <w:r w:rsidR="0012336B" w:rsidRPr="001F2171">
              <w:rPr>
                <w:rFonts w:ascii="Calibri" w:hAnsi="Calibri" w:cs="Calibri"/>
                <w:i/>
                <w:iCs/>
                <w:sz w:val="22"/>
                <w:szCs w:val="22"/>
              </w:rPr>
              <w:t>n</w:t>
            </w:r>
          </w:p>
        </w:tc>
        <w:tc>
          <w:tcPr>
            <w:tcW w:w="1967" w:type="dxa"/>
          </w:tcPr>
          <w:p w14:paraId="4377A1DD"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gCO</w:t>
            </w:r>
            <w:r w:rsidRPr="001F2171">
              <w:rPr>
                <w:rFonts w:ascii="Calibri" w:hAnsi="Calibri" w:cs="Calibri"/>
                <w:sz w:val="22"/>
                <w:szCs w:val="22"/>
                <w:vertAlign w:val="subscript"/>
              </w:rPr>
              <w:t>2</w:t>
            </w:r>
            <w:r w:rsidRPr="001F2171">
              <w:rPr>
                <w:rFonts w:ascii="Calibri" w:hAnsi="Calibri" w:cs="Calibri"/>
                <w:sz w:val="22"/>
                <w:szCs w:val="22"/>
              </w:rPr>
              <w:t>/g rock</w:t>
            </w:r>
          </w:p>
        </w:tc>
      </w:tr>
      <w:tr w:rsidR="00A77106" w:rsidRPr="001F2171" w14:paraId="40035CE5"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39CEE23C" w14:textId="1B99317C"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spy</m:t>
                </m:r>
              </m:oMath>
            </m:oMathPara>
          </w:p>
        </w:tc>
        <w:tc>
          <w:tcPr>
            <w:tcW w:w="5514" w:type="dxa"/>
          </w:tcPr>
          <w:p w14:paraId="50C9E546"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Number of seconds in a year</w:t>
            </w:r>
          </w:p>
        </w:tc>
        <w:tc>
          <w:tcPr>
            <w:tcW w:w="1967" w:type="dxa"/>
          </w:tcPr>
          <w:p w14:paraId="6C6D8139"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s/year</w:t>
            </w:r>
          </w:p>
        </w:tc>
      </w:tr>
      <w:tr w:rsidR="00A77106" w:rsidRPr="001F2171" w14:paraId="3D2F37AE"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5C0F9A53" w14:textId="193C4CD2"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SS</m:t>
                </m:r>
                <m:sSub>
                  <m:sSubPr>
                    <m:ctrlPr>
                      <w:rPr>
                        <w:rFonts w:ascii="Cambria Math" w:hAnsi="Cambria Math" w:cs="Calibri"/>
                        <w:b w:val="0"/>
                        <w:bCs w:val="0"/>
                        <w:i/>
                        <w:sz w:val="22"/>
                        <w:szCs w:val="22"/>
                      </w:rPr>
                    </m:ctrlPr>
                  </m:sSubPr>
                  <m:e>
                    <m:r>
                      <m:rPr>
                        <m:sty m:val="bi"/>
                      </m:rPr>
                      <w:rPr>
                        <w:rFonts w:ascii="Cambria Math" w:hAnsi="Cambria Math" w:cs="Calibri"/>
                        <w:sz w:val="22"/>
                        <w:szCs w:val="22"/>
                      </w:rPr>
                      <m:t>A</m:t>
                    </m:r>
                  </m:e>
                  <m:sub>
                    <m:r>
                      <m:rPr>
                        <m:sty m:val="bi"/>
                      </m:rPr>
                      <w:rPr>
                        <w:rFonts w:ascii="Cambria Math" w:hAnsi="Cambria Math" w:cs="Calibri"/>
                        <w:sz w:val="22"/>
                        <w:szCs w:val="22"/>
                      </w:rPr>
                      <m:t>d,n,p</m:t>
                    </m:r>
                  </m:sub>
                </m:sSub>
              </m:oMath>
            </m:oMathPara>
          </w:p>
        </w:tc>
        <w:tc>
          <w:tcPr>
            <w:tcW w:w="5514" w:type="dxa"/>
          </w:tcPr>
          <w:p w14:paraId="5DA059E3" w14:textId="1DDA43E9"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Specific surface area, dependent on the type of data </w:t>
            </w:r>
            <w:r w:rsidRPr="001F2171">
              <w:rPr>
                <w:rFonts w:ascii="Calibri" w:hAnsi="Calibri" w:cs="Calibri"/>
                <w:i/>
                <w:iCs/>
                <w:sz w:val="22"/>
                <w:szCs w:val="22"/>
              </w:rPr>
              <w:t>d</w:t>
            </w:r>
            <w:r w:rsidR="00667E39" w:rsidRPr="001F2171">
              <w:rPr>
                <w:rFonts w:ascii="Calibri" w:hAnsi="Calibri" w:cs="Calibri"/>
                <w:i/>
                <w:iCs/>
                <w:sz w:val="22"/>
                <w:szCs w:val="22"/>
              </w:rPr>
              <w:t xml:space="preserve">, </w:t>
            </w:r>
            <w:r w:rsidRPr="001F2171">
              <w:rPr>
                <w:rFonts w:ascii="Calibri" w:hAnsi="Calibri" w:cs="Calibri"/>
                <w:sz w:val="22"/>
                <w:szCs w:val="22"/>
              </w:rPr>
              <w:t xml:space="preserve">rock </w:t>
            </w:r>
            <w:r w:rsidR="008A66C6" w:rsidRPr="001F2171">
              <w:rPr>
                <w:rFonts w:ascii="Calibri" w:hAnsi="Calibri" w:cs="Calibri"/>
                <w:i/>
                <w:iCs/>
                <w:sz w:val="22"/>
                <w:szCs w:val="22"/>
              </w:rPr>
              <w:t>n</w:t>
            </w:r>
            <w:r w:rsidR="00667E39" w:rsidRPr="001F2171">
              <w:rPr>
                <w:rFonts w:ascii="Calibri" w:hAnsi="Calibri" w:cs="Calibri"/>
                <w:sz w:val="22"/>
                <w:szCs w:val="22"/>
              </w:rPr>
              <w:t xml:space="preserve"> and particle size </w:t>
            </w:r>
            <w:r w:rsidR="00667E39" w:rsidRPr="001F2171">
              <w:rPr>
                <w:rFonts w:ascii="Calibri" w:hAnsi="Calibri" w:cs="Calibri"/>
                <w:i/>
                <w:iCs/>
                <w:sz w:val="22"/>
                <w:szCs w:val="22"/>
              </w:rPr>
              <w:t>p</w:t>
            </w:r>
          </w:p>
        </w:tc>
        <w:tc>
          <w:tcPr>
            <w:tcW w:w="1967" w:type="dxa"/>
          </w:tcPr>
          <w:p w14:paraId="6BA53D58"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m</w:t>
            </w:r>
            <w:r w:rsidRPr="001F2171">
              <w:rPr>
                <w:rFonts w:ascii="Calibri" w:hAnsi="Calibri" w:cs="Calibri"/>
                <w:sz w:val="22"/>
                <w:szCs w:val="22"/>
                <w:vertAlign w:val="superscript"/>
              </w:rPr>
              <w:t>2</w:t>
            </w:r>
            <w:r w:rsidRPr="001F2171">
              <w:rPr>
                <w:rFonts w:ascii="Calibri" w:hAnsi="Calibri" w:cs="Calibri"/>
                <w:sz w:val="22"/>
                <w:szCs w:val="22"/>
              </w:rPr>
              <w:t>/g</w:t>
            </w:r>
          </w:p>
        </w:tc>
      </w:tr>
      <w:tr w:rsidR="00A77106" w:rsidRPr="001F2171" w14:paraId="6984C1AD"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5777D877" w14:textId="6A78286F"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w</m:t>
                </m:r>
              </m:oMath>
            </m:oMathPara>
          </w:p>
        </w:tc>
        <w:tc>
          <w:tcPr>
            <w:tcW w:w="5514" w:type="dxa"/>
          </w:tcPr>
          <w:p w14:paraId="2BB8274C"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CDR efficiency factor</w:t>
            </w:r>
          </w:p>
        </w:tc>
        <w:tc>
          <w:tcPr>
            <w:tcW w:w="1967" w:type="dxa"/>
          </w:tcPr>
          <w:p w14:paraId="52C84ED2"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w:t>
            </w:r>
          </w:p>
        </w:tc>
      </w:tr>
      <w:tr w:rsidR="00A77106" w:rsidRPr="001F2171" w14:paraId="2625B978" w14:textId="77777777" w:rsidTr="00B61087">
        <w:tc>
          <w:tcPr>
            <w:cnfStyle w:val="001000000000" w:firstRow="0" w:lastRow="0" w:firstColumn="1" w:lastColumn="0" w:oddVBand="0" w:evenVBand="0" w:oddHBand="0" w:evenHBand="0" w:firstRowFirstColumn="0" w:firstRowLastColumn="0" w:lastRowFirstColumn="0" w:lastRowLastColumn="0"/>
            <w:tcW w:w="1168" w:type="dxa"/>
          </w:tcPr>
          <w:p w14:paraId="2506FF90" w14:textId="442B14FE"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W</m:t>
                </m:r>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R</m:t>
                    </m:r>
                  </m:e>
                  <m:sub>
                    <m:r>
                      <m:rPr>
                        <m:sty m:val="bi"/>
                      </m:rPr>
                      <w:rPr>
                        <w:rFonts w:ascii="Cambria Math" w:hAnsi="Cambria Math" w:cs="Calibri"/>
                        <w:sz w:val="22"/>
                        <w:szCs w:val="22"/>
                      </w:rPr>
                      <m:t>d,l,n</m:t>
                    </m:r>
                  </m:sub>
                  <m:sup>
                    <m:r>
                      <m:rPr>
                        <m:sty m:val="bi"/>
                      </m:rPr>
                      <w:rPr>
                        <w:rFonts w:ascii="Cambria Math" w:hAnsi="Cambria Math" w:cs="Calibri"/>
                        <w:sz w:val="22"/>
                        <w:szCs w:val="22"/>
                      </w:rPr>
                      <m:t>ALK</m:t>
                    </m:r>
                  </m:sup>
                </m:sSubSup>
              </m:oMath>
            </m:oMathPara>
          </w:p>
        </w:tc>
        <w:tc>
          <w:tcPr>
            <w:tcW w:w="5514" w:type="dxa"/>
          </w:tcPr>
          <w:p w14:paraId="1886F881" w14:textId="55DC8D9E"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Alkalinity dissolution rate, dependent on the type of data </w:t>
            </w:r>
            <w:r w:rsidRPr="001F2171">
              <w:rPr>
                <w:rFonts w:ascii="Calibri" w:hAnsi="Calibri" w:cs="Calibri"/>
                <w:i/>
                <w:iCs/>
                <w:sz w:val="22"/>
                <w:szCs w:val="22"/>
              </w:rPr>
              <w:t>d</w:t>
            </w:r>
            <w:r w:rsidRPr="001F2171">
              <w:rPr>
                <w:rFonts w:ascii="Calibri" w:hAnsi="Calibri" w:cs="Calibri"/>
                <w:sz w:val="22"/>
                <w:szCs w:val="22"/>
              </w:rPr>
              <w:t xml:space="preserve">, location </w:t>
            </w:r>
            <w:r w:rsidRPr="001F2171">
              <w:rPr>
                <w:rFonts w:ascii="Calibri" w:hAnsi="Calibri" w:cs="Calibri"/>
                <w:i/>
                <w:iCs/>
                <w:sz w:val="22"/>
                <w:szCs w:val="22"/>
              </w:rPr>
              <w:t>l</w:t>
            </w:r>
            <w:r w:rsidRPr="001F2171">
              <w:rPr>
                <w:rFonts w:ascii="Calibri" w:hAnsi="Calibri" w:cs="Calibri"/>
                <w:sz w:val="22"/>
                <w:szCs w:val="22"/>
              </w:rPr>
              <w:t xml:space="preserve"> and rock </w:t>
            </w:r>
            <w:r w:rsidR="008A66C6" w:rsidRPr="001F2171">
              <w:rPr>
                <w:rFonts w:ascii="Calibri" w:hAnsi="Calibri" w:cs="Calibri"/>
                <w:i/>
                <w:iCs/>
                <w:sz w:val="22"/>
                <w:szCs w:val="22"/>
              </w:rPr>
              <w:t>n</w:t>
            </w:r>
          </w:p>
        </w:tc>
        <w:tc>
          <w:tcPr>
            <w:tcW w:w="1967" w:type="dxa"/>
          </w:tcPr>
          <w:p w14:paraId="0CF82164" w14:textId="77777777" w:rsidR="00A77106" w:rsidRPr="001F2171" w:rsidRDefault="00A77106" w:rsidP="0023279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mol/m</w:t>
            </w:r>
            <w:r w:rsidRPr="001F2171">
              <w:rPr>
                <w:rFonts w:ascii="Calibri" w:hAnsi="Calibri" w:cs="Calibri"/>
                <w:sz w:val="22"/>
                <w:szCs w:val="22"/>
                <w:vertAlign w:val="superscript"/>
              </w:rPr>
              <w:t>2</w:t>
            </w:r>
            <w:r w:rsidRPr="001F2171">
              <w:rPr>
                <w:rFonts w:ascii="Calibri" w:hAnsi="Calibri" w:cs="Calibri"/>
                <w:sz w:val="22"/>
                <w:szCs w:val="22"/>
              </w:rPr>
              <w:t>/s</w:t>
            </w:r>
          </w:p>
        </w:tc>
      </w:tr>
      <w:tr w:rsidR="00A77106" w:rsidRPr="001F2171" w14:paraId="1E8B723D" w14:textId="77777777" w:rsidTr="00B61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8" w:type="dxa"/>
          </w:tcPr>
          <w:p w14:paraId="1048F6A8" w14:textId="3B3A31F0" w:rsidR="00A77106" w:rsidRPr="001F2171" w:rsidRDefault="002F5BC0" w:rsidP="00232799">
            <w:pPr>
              <w:spacing w:line="360" w:lineRule="auto"/>
              <w:jc w:val="both"/>
              <w:rPr>
                <w:rFonts w:ascii="Calibri" w:eastAsia="Yu Mincho" w:hAnsi="Calibri" w:cs="Calibri"/>
                <w:b w:val="0"/>
                <w:bCs w:val="0"/>
                <w:sz w:val="22"/>
                <w:szCs w:val="22"/>
              </w:rPr>
            </w:pPr>
            <m:oMathPara>
              <m:oMathParaPr>
                <m:jc m:val="left"/>
              </m:oMathParaPr>
              <m:oMath>
                <m:r>
                  <m:rPr>
                    <m:sty m:val="bi"/>
                  </m:rPr>
                  <w:rPr>
                    <w:rFonts w:ascii="Cambria Math" w:hAnsi="Cambria Math" w:cs="Calibri"/>
                    <w:sz w:val="22"/>
                    <w:szCs w:val="22"/>
                  </w:rPr>
                  <m:t>W</m:t>
                </m:r>
                <m:sSubSup>
                  <m:sSubSupPr>
                    <m:ctrlPr>
                      <w:rPr>
                        <w:rFonts w:ascii="Cambria Math" w:hAnsi="Cambria Math" w:cs="Calibri"/>
                        <w:b w:val="0"/>
                        <w:bCs w:val="0"/>
                        <w:i/>
                        <w:sz w:val="22"/>
                        <w:szCs w:val="22"/>
                      </w:rPr>
                    </m:ctrlPr>
                  </m:sSubSupPr>
                  <m:e>
                    <m:r>
                      <m:rPr>
                        <m:sty m:val="bi"/>
                      </m:rPr>
                      <w:rPr>
                        <w:rFonts w:ascii="Cambria Math" w:hAnsi="Cambria Math" w:cs="Calibri"/>
                        <w:sz w:val="22"/>
                        <w:szCs w:val="22"/>
                      </w:rPr>
                      <m:t>R</m:t>
                    </m:r>
                  </m:e>
                  <m:sub>
                    <m:r>
                      <m:rPr>
                        <m:sty m:val="bi"/>
                      </m:rPr>
                      <w:rPr>
                        <w:rFonts w:ascii="Cambria Math" w:hAnsi="Cambria Math" w:cs="Calibri"/>
                        <w:sz w:val="22"/>
                        <w:szCs w:val="22"/>
                      </w:rPr>
                      <m:t>d,l,n</m:t>
                    </m:r>
                  </m:sub>
                  <m:sup>
                    <m:r>
                      <m:rPr>
                        <m:sty m:val="bi"/>
                      </m:rPr>
                      <w:rPr>
                        <w:rFonts w:ascii="Cambria Math" w:hAnsi="Cambria Math" w:cs="Calibri"/>
                        <w:sz w:val="22"/>
                        <w:szCs w:val="22"/>
                      </w:rPr>
                      <m:t>ROCK</m:t>
                    </m:r>
                  </m:sup>
                </m:sSubSup>
              </m:oMath>
            </m:oMathPara>
          </w:p>
        </w:tc>
        <w:tc>
          <w:tcPr>
            <w:tcW w:w="5514" w:type="dxa"/>
          </w:tcPr>
          <w:p w14:paraId="5A2B3823" w14:textId="67EE683F"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 xml:space="preserve">Rock weathering rate, dependent on the type of data </w:t>
            </w:r>
            <w:r w:rsidRPr="001F2171">
              <w:rPr>
                <w:rFonts w:ascii="Calibri" w:hAnsi="Calibri" w:cs="Calibri"/>
                <w:i/>
                <w:iCs/>
                <w:sz w:val="22"/>
                <w:szCs w:val="22"/>
              </w:rPr>
              <w:t>d</w:t>
            </w:r>
            <w:r w:rsidRPr="001F2171">
              <w:rPr>
                <w:rFonts w:ascii="Calibri" w:hAnsi="Calibri" w:cs="Calibri"/>
                <w:sz w:val="22"/>
                <w:szCs w:val="22"/>
              </w:rPr>
              <w:t xml:space="preserve">, location </w:t>
            </w:r>
            <w:r w:rsidRPr="001F2171">
              <w:rPr>
                <w:rFonts w:ascii="Calibri" w:hAnsi="Calibri" w:cs="Calibri"/>
                <w:i/>
                <w:iCs/>
                <w:sz w:val="22"/>
                <w:szCs w:val="22"/>
              </w:rPr>
              <w:t>l</w:t>
            </w:r>
            <w:r w:rsidRPr="001F2171">
              <w:rPr>
                <w:rFonts w:ascii="Calibri" w:hAnsi="Calibri" w:cs="Calibri"/>
                <w:sz w:val="22"/>
                <w:szCs w:val="22"/>
              </w:rPr>
              <w:t xml:space="preserve"> and rock </w:t>
            </w:r>
            <w:r w:rsidR="008A66C6" w:rsidRPr="001F2171">
              <w:rPr>
                <w:rFonts w:ascii="Calibri" w:hAnsi="Calibri" w:cs="Calibri"/>
                <w:i/>
                <w:iCs/>
                <w:sz w:val="22"/>
                <w:szCs w:val="22"/>
              </w:rPr>
              <w:t>n</w:t>
            </w:r>
          </w:p>
        </w:tc>
        <w:tc>
          <w:tcPr>
            <w:tcW w:w="1967" w:type="dxa"/>
          </w:tcPr>
          <w:p w14:paraId="47157DE4" w14:textId="77777777" w:rsidR="00A77106" w:rsidRPr="001F2171" w:rsidRDefault="00A77106" w:rsidP="0023279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r w:rsidRPr="001F2171">
              <w:rPr>
                <w:rFonts w:ascii="Calibri" w:hAnsi="Calibri" w:cs="Calibri"/>
                <w:sz w:val="22"/>
                <w:szCs w:val="22"/>
              </w:rPr>
              <w:t>g/m</w:t>
            </w:r>
            <w:r w:rsidRPr="001F2171">
              <w:rPr>
                <w:rFonts w:ascii="Calibri" w:hAnsi="Calibri" w:cs="Calibri"/>
                <w:sz w:val="22"/>
                <w:szCs w:val="22"/>
                <w:vertAlign w:val="superscript"/>
              </w:rPr>
              <w:t>2</w:t>
            </w:r>
            <w:r w:rsidRPr="001F2171">
              <w:rPr>
                <w:rFonts w:ascii="Calibri" w:hAnsi="Calibri" w:cs="Calibri"/>
                <w:sz w:val="22"/>
                <w:szCs w:val="22"/>
              </w:rPr>
              <w:t>/s</w:t>
            </w:r>
          </w:p>
        </w:tc>
      </w:tr>
    </w:tbl>
    <w:p w14:paraId="023187C5" w14:textId="1F02C5A6" w:rsidR="00BE73FF" w:rsidRPr="00073FAC" w:rsidRDefault="007B7988" w:rsidP="005946BB">
      <w:pPr>
        <w:pStyle w:val="Ttulo1"/>
        <w:spacing w:after="240"/>
        <w:rPr>
          <w:rFonts w:asciiTheme="minorHAnsi" w:hAnsiTheme="minorHAnsi" w:cstheme="minorHAnsi"/>
          <w:b/>
          <w:bCs/>
          <w:color w:val="auto"/>
        </w:rPr>
      </w:pPr>
      <w:bookmarkStart w:id="1" w:name="_Toc194330846"/>
      <w:r>
        <w:rPr>
          <w:rFonts w:asciiTheme="minorHAnsi" w:hAnsiTheme="minorHAnsi" w:cstheme="minorHAnsi"/>
          <w:b/>
          <w:bCs/>
          <w:color w:val="auto"/>
          <w:sz w:val="24"/>
          <w:szCs w:val="24"/>
        </w:rPr>
        <w:lastRenderedPageBreak/>
        <w:t>2</w:t>
      </w:r>
      <w:r w:rsidR="005703AB" w:rsidRPr="00073FAC">
        <w:rPr>
          <w:rFonts w:asciiTheme="minorHAnsi" w:hAnsiTheme="minorHAnsi" w:cstheme="minorHAnsi"/>
          <w:b/>
          <w:bCs/>
          <w:color w:val="auto"/>
          <w:sz w:val="24"/>
          <w:szCs w:val="24"/>
        </w:rPr>
        <w:t xml:space="preserve">. </w:t>
      </w:r>
      <w:r w:rsidR="0050425D" w:rsidRPr="00073FAC">
        <w:rPr>
          <w:rFonts w:asciiTheme="minorHAnsi" w:hAnsiTheme="minorHAnsi" w:cstheme="minorHAnsi"/>
          <w:b/>
          <w:bCs/>
          <w:color w:val="auto"/>
          <w:sz w:val="24"/>
          <w:szCs w:val="24"/>
        </w:rPr>
        <w:t>Methods</w:t>
      </w:r>
      <w:bookmarkEnd w:id="1"/>
    </w:p>
    <w:p w14:paraId="6D65E448" w14:textId="1FA9E0BE" w:rsidR="00050863" w:rsidRDefault="00050863" w:rsidP="005946BB">
      <w:pPr>
        <w:spacing w:before="240" w:line="360" w:lineRule="auto"/>
        <w:jc w:val="both"/>
        <w:rPr>
          <w:rFonts w:ascii="Calibri" w:eastAsia="Calibri" w:hAnsi="Calibri" w:cs="Calibri"/>
        </w:rPr>
      </w:pPr>
      <w:r w:rsidRPr="005946BB">
        <w:rPr>
          <w:rFonts w:ascii="Calibri" w:eastAsia="Calibri" w:hAnsi="Calibri" w:cs="Calibri"/>
        </w:rPr>
        <w:t>Here we describe</w:t>
      </w:r>
      <w:r w:rsidR="0014496D">
        <w:rPr>
          <w:rFonts w:ascii="Calibri" w:eastAsia="Calibri" w:hAnsi="Calibri" w:cs="Calibri"/>
        </w:rPr>
        <w:t xml:space="preserve"> </w:t>
      </w:r>
      <w:r w:rsidR="001C5F0D" w:rsidRPr="005946BB">
        <w:rPr>
          <w:rFonts w:ascii="Calibri" w:eastAsia="Calibri" w:hAnsi="Calibri" w:cs="Calibri"/>
        </w:rPr>
        <w:t xml:space="preserve">the greenhouse gas removal </w:t>
      </w:r>
      <w:r w:rsidR="00FF7346">
        <w:rPr>
          <w:rFonts w:ascii="Calibri" w:eastAsia="Calibri" w:hAnsi="Calibri" w:cs="Calibri"/>
        </w:rPr>
        <w:t xml:space="preserve">(GGR) </w:t>
      </w:r>
      <w:r w:rsidR="001C5F0D" w:rsidRPr="005946BB">
        <w:rPr>
          <w:rFonts w:ascii="Calibri" w:eastAsia="Calibri" w:hAnsi="Calibri" w:cs="Calibri"/>
        </w:rPr>
        <w:t xml:space="preserve">efficiency and the applied life cycle impact assessment methods. </w:t>
      </w:r>
    </w:p>
    <w:p w14:paraId="59025F0E" w14:textId="05F47D68" w:rsidR="00AE0792" w:rsidRDefault="00AE0792" w:rsidP="00AE0792">
      <w:pPr>
        <w:spacing w:before="240" w:after="0" w:line="360" w:lineRule="auto"/>
        <w:jc w:val="both"/>
        <w:rPr>
          <w:rFonts w:ascii="Calibri" w:eastAsia="Calibri" w:hAnsi="Calibri" w:cs="Calibri"/>
        </w:rPr>
      </w:pPr>
    </w:p>
    <w:p w14:paraId="1E37799D" w14:textId="1207AF79" w:rsidR="00C263A5" w:rsidRPr="00CC46CC" w:rsidRDefault="007B7988" w:rsidP="00C30D24">
      <w:pPr>
        <w:pStyle w:val="Ttulo2"/>
        <w:spacing w:after="240"/>
        <w:rPr>
          <w:rFonts w:asciiTheme="minorHAnsi" w:eastAsiaTheme="minorEastAsia" w:hAnsiTheme="minorHAnsi" w:cstheme="minorBidi"/>
          <w:b/>
          <w:bCs/>
          <w:color w:val="auto"/>
          <w:sz w:val="22"/>
          <w:szCs w:val="22"/>
        </w:rPr>
      </w:pPr>
      <w:bookmarkStart w:id="2" w:name="_Toc194330847"/>
      <w:r w:rsidRPr="00CC46CC">
        <w:rPr>
          <w:rFonts w:asciiTheme="minorHAnsi" w:eastAsiaTheme="minorEastAsia" w:hAnsiTheme="minorHAnsi" w:cstheme="minorBidi"/>
          <w:b/>
          <w:bCs/>
          <w:color w:val="auto"/>
          <w:sz w:val="22"/>
          <w:szCs w:val="22"/>
        </w:rPr>
        <w:t>2</w:t>
      </w:r>
      <w:r w:rsidR="006F2230" w:rsidRPr="00CC46CC">
        <w:rPr>
          <w:rFonts w:asciiTheme="minorHAnsi" w:eastAsiaTheme="minorEastAsia" w:hAnsiTheme="minorHAnsi" w:cstheme="minorBidi"/>
          <w:b/>
          <w:bCs/>
          <w:color w:val="auto"/>
          <w:sz w:val="22"/>
          <w:szCs w:val="22"/>
        </w:rPr>
        <w:t xml:space="preserve">.1 </w:t>
      </w:r>
      <w:r w:rsidR="008D4019" w:rsidRPr="00CC46CC">
        <w:rPr>
          <w:rFonts w:asciiTheme="minorHAnsi" w:eastAsiaTheme="minorEastAsia" w:hAnsiTheme="minorHAnsi" w:cstheme="minorBidi"/>
          <w:b/>
          <w:bCs/>
          <w:color w:val="auto"/>
          <w:sz w:val="22"/>
          <w:szCs w:val="22"/>
        </w:rPr>
        <w:t>Removal efficiency</w:t>
      </w:r>
      <w:bookmarkEnd w:id="2"/>
    </w:p>
    <w:p w14:paraId="7F4A7431" w14:textId="3E30A0AF" w:rsidR="00820ED0" w:rsidRPr="00F14655" w:rsidRDefault="008D4019" w:rsidP="008D4019">
      <w:pPr>
        <w:spacing w:line="360" w:lineRule="auto"/>
        <w:jc w:val="both"/>
        <w:rPr>
          <w:rFonts w:ascii="Calibri" w:eastAsia="Calibri" w:hAnsi="Calibri" w:cs="Calibri"/>
        </w:rPr>
      </w:pPr>
      <w:r w:rsidRPr="00D607DD">
        <w:t>We defined</w:t>
      </w:r>
      <w:r w:rsidRPr="00D607DD">
        <w:rPr>
          <w:rFonts w:ascii="Cambria Math" w:eastAsia="Calibri" w:hAnsi="Cambria Math" w:cs="Calibri"/>
          <w:i/>
        </w:rPr>
        <w:t xml:space="preserve"> </w:t>
      </w:r>
      <m:oMath>
        <m:r>
          <w:rPr>
            <w:rFonts w:ascii="Cambria Math" w:eastAsia="Calibri" w:hAnsi="Cambria Math" w:cs="Calibri"/>
          </w:rPr>
          <m:t>GGR</m:t>
        </m:r>
        <m:sSub>
          <m:sSubPr>
            <m:ctrlPr>
              <w:rPr>
                <w:rFonts w:ascii="Cambria Math" w:eastAsia="Calibri" w:hAnsi="Cambria Math" w:cs="Calibri"/>
                <w:i/>
              </w:rPr>
            </m:ctrlPr>
          </m:sSubPr>
          <m:e>
            <m:r>
              <w:rPr>
                <w:rFonts w:ascii="Cambria Math" w:eastAsia="Calibri" w:hAnsi="Cambria Math" w:cs="Calibri"/>
              </w:rPr>
              <m:t>η</m:t>
            </m:r>
          </m:e>
          <m:sub>
            <m:r>
              <w:rPr>
                <w:rFonts w:ascii="Cambria Math" w:eastAsia="Calibri" w:hAnsi="Cambria Math" w:cs="Calibri"/>
              </w:rPr>
              <m:t>i,t,y</m:t>
            </m:r>
          </m:sub>
        </m:sSub>
      </m:oMath>
      <w:r w:rsidRPr="00D607DD">
        <w:rPr>
          <w:rFonts w:ascii="Cambria Math" w:eastAsia="Calibri" w:hAnsi="Cambria Math" w:cs="Calibri"/>
          <w:iCs/>
        </w:rPr>
        <w:t>,</w:t>
      </w:r>
      <w:r w:rsidRPr="00D607DD">
        <w:t xml:space="preserve"> the </w:t>
      </w:r>
      <w:r w:rsidR="00FF7346">
        <w:t>GGR</w:t>
      </w:r>
      <w:r w:rsidRPr="00D607DD">
        <w:t xml:space="preserve"> efficiency </w:t>
      </w:r>
      <w:r w:rsidRPr="00D607DD">
        <w:rPr>
          <w:rFonts w:ascii="Calibri" w:eastAsia="Calibri" w:hAnsi="Calibri" w:cs="Calibri"/>
        </w:rPr>
        <w:t xml:space="preserve">of </w:t>
      </w:r>
      <w:r w:rsidR="00C315CA">
        <w:rPr>
          <w:rFonts w:ascii="Calibri" w:eastAsia="Calibri" w:hAnsi="Calibri" w:cs="Calibri"/>
        </w:rPr>
        <w:t>Negative Emission</w:t>
      </w:r>
      <w:r w:rsidR="00A636F0">
        <w:rPr>
          <w:rFonts w:ascii="Calibri" w:eastAsia="Calibri" w:hAnsi="Calibri" w:cs="Calibri"/>
        </w:rPr>
        <w:t>s</w:t>
      </w:r>
      <w:r w:rsidR="00C315CA">
        <w:rPr>
          <w:rFonts w:ascii="Calibri" w:eastAsia="Calibri" w:hAnsi="Calibri" w:cs="Calibri"/>
        </w:rPr>
        <w:t xml:space="preserve"> Technology or Practice (</w:t>
      </w:r>
      <w:r w:rsidRPr="00D607DD">
        <w:rPr>
          <w:rFonts w:ascii="Calibri" w:eastAsia="Calibri" w:hAnsi="Calibri" w:cs="Calibri"/>
        </w:rPr>
        <w:t>NETP</w:t>
      </w:r>
      <w:r w:rsidR="00C315CA">
        <w:rPr>
          <w:rFonts w:ascii="Calibri" w:eastAsia="Calibri" w:hAnsi="Calibri" w:cs="Calibri"/>
        </w:rPr>
        <w:t>)</w:t>
      </w:r>
      <w:r w:rsidRPr="00D607DD">
        <w:rPr>
          <w:rFonts w:ascii="Calibri" w:eastAsia="Calibri" w:hAnsi="Calibri" w:cs="Calibri"/>
        </w:rPr>
        <w:t xml:space="preserve"> </w:t>
      </w:r>
      <w:proofErr w:type="spellStart"/>
      <w:r w:rsidRPr="00D607DD">
        <w:rPr>
          <w:rFonts w:ascii="Calibri" w:eastAsia="Calibri" w:hAnsi="Calibri" w:cs="Calibri"/>
          <w:i/>
          <w:iCs/>
        </w:rPr>
        <w:t>i</w:t>
      </w:r>
      <w:proofErr w:type="spellEnd"/>
      <w:r w:rsidRPr="00D607DD">
        <w:rPr>
          <w:rFonts w:ascii="Calibri" w:eastAsia="Calibri" w:hAnsi="Calibri" w:cs="Calibri"/>
        </w:rPr>
        <w:t xml:space="preserve">, </w:t>
      </w:r>
      <w:r w:rsidRPr="00D607DD">
        <w:t>as the</w:t>
      </w:r>
      <w:r w:rsidRPr="00D607DD">
        <w:rPr>
          <w:rFonts w:ascii="Calibri" w:eastAsia="Calibri" w:hAnsi="Calibri" w:cs="Calibri"/>
        </w:rPr>
        <w:t xml:space="preserve"> ratio between the net amount of CO</w:t>
      </w:r>
      <w:r w:rsidRPr="00D607DD">
        <w:rPr>
          <w:rFonts w:ascii="Calibri" w:eastAsia="Calibri" w:hAnsi="Calibri" w:cs="Calibri"/>
          <w:vertAlign w:val="subscript"/>
        </w:rPr>
        <w:t>2</w:t>
      </w:r>
      <w:r w:rsidRPr="00D607DD">
        <w:rPr>
          <w:rFonts w:ascii="Calibri" w:eastAsia="Calibri" w:hAnsi="Calibri" w:cs="Calibri"/>
        </w:rPr>
        <w:t xml:space="preserve">eq removed (calculated as the difference between the </w:t>
      </w:r>
      <w:r w:rsidR="00BF2266">
        <w:rPr>
          <w:rFonts w:ascii="Calibri" w:eastAsia="Calibri" w:hAnsi="Calibri" w:cs="Calibri"/>
        </w:rPr>
        <w:t xml:space="preserve">total </w:t>
      </w:r>
      <w:r w:rsidRPr="00D607DD">
        <w:rPr>
          <w:rFonts w:ascii="Calibri" w:eastAsia="Calibri" w:hAnsi="Calibri" w:cs="Calibri"/>
        </w:rPr>
        <w:t>CO</w:t>
      </w:r>
      <w:r w:rsidRPr="00D607DD">
        <w:rPr>
          <w:rFonts w:ascii="Calibri" w:eastAsia="Calibri" w:hAnsi="Calibri" w:cs="Calibri"/>
          <w:vertAlign w:val="subscript"/>
        </w:rPr>
        <w:t>2</w:t>
      </w:r>
      <w:r w:rsidRPr="00D607DD">
        <w:rPr>
          <w:rFonts w:ascii="Calibri" w:eastAsia="Calibri" w:hAnsi="Calibri" w:cs="Calibri"/>
        </w:rPr>
        <w:t>eq removed and emitted) and the total amount of CO</w:t>
      </w:r>
      <w:r w:rsidRPr="00D607DD">
        <w:rPr>
          <w:rFonts w:ascii="Calibri" w:eastAsia="Calibri" w:hAnsi="Calibri" w:cs="Calibri"/>
          <w:vertAlign w:val="subscript"/>
        </w:rPr>
        <w:t>2</w:t>
      </w:r>
      <w:r w:rsidRPr="00D607DD">
        <w:rPr>
          <w:rFonts w:ascii="Calibri" w:eastAsia="Calibri" w:hAnsi="Calibri" w:cs="Calibri"/>
        </w:rPr>
        <w:t xml:space="preserve"> removed from the atmosphere</w:t>
      </w:r>
      <w:r w:rsidR="002708BD">
        <w:rPr>
          <w:rFonts w:ascii="Calibri" w:eastAsia="Calibri" w:hAnsi="Calibri" w:cs="Calibri"/>
        </w:rPr>
        <w:t xml:space="preserve"> </w:t>
      </w:r>
      <w:r w:rsidR="002708BD" w:rsidRPr="00D607DD">
        <w:rPr>
          <w:rFonts w:ascii="Calibri" w:eastAsia="Calibri" w:hAnsi="Calibri" w:cs="Calibri"/>
          <w:i/>
          <w:iCs/>
        </w:rPr>
        <w:t>t</w:t>
      </w:r>
      <w:r w:rsidR="002708BD" w:rsidRPr="00D607DD">
        <w:rPr>
          <w:rFonts w:ascii="Calibri" w:eastAsia="Calibri" w:hAnsi="Calibri" w:cs="Calibri"/>
        </w:rPr>
        <w:t xml:space="preserve"> years after deployment</w:t>
      </w:r>
      <w:r w:rsidR="002708BD">
        <w:rPr>
          <w:rFonts w:ascii="Calibri" w:eastAsia="Calibri" w:hAnsi="Calibri" w:cs="Calibri"/>
        </w:rPr>
        <w:t xml:space="preserve"> </w:t>
      </w:r>
      <w:r w:rsidR="002708BD" w:rsidRPr="00D607DD">
        <w:rPr>
          <w:rFonts w:ascii="Calibri" w:eastAsia="Calibri" w:hAnsi="Calibri" w:cs="Calibri"/>
        </w:rPr>
        <w:t xml:space="preserve">in year </w:t>
      </w:r>
      <w:r w:rsidR="002708BD" w:rsidRPr="00D607DD">
        <w:rPr>
          <w:rFonts w:ascii="Calibri" w:eastAsia="Calibri" w:hAnsi="Calibri" w:cs="Calibri"/>
          <w:i/>
          <w:iCs/>
        </w:rPr>
        <w:t>y</w:t>
      </w:r>
      <w:r w:rsidR="002708BD" w:rsidRPr="00D607DD">
        <w:rPr>
          <w:rFonts w:ascii="Calibri" w:eastAsia="Calibri" w:hAnsi="Calibri" w:cs="Calibri"/>
        </w:rPr>
        <w:t xml:space="preserve"> (</w:t>
      </w:r>
      <w:r w:rsidR="00812CCF">
        <w:rPr>
          <w:rFonts w:ascii="Calibri" w:eastAsia="Calibri" w:hAnsi="Calibri" w:cs="Calibri"/>
        </w:rPr>
        <w:t xml:space="preserve">between </w:t>
      </w:r>
      <w:r w:rsidR="002708BD" w:rsidRPr="00D607DD">
        <w:rPr>
          <w:rFonts w:ascii="Calibri" w:eastAsia="Calibri" w:hAnsi="Calibri" w:cs="Calibri"/>
        </w:rPr>
        <w:t>2030</w:t>
      </w:r>
      <w:r w:rsidR="00812CCF">
        <w:rPr>
          <w:rFonts w:ascii="Calibri" w:eastAsia="Calibri" w:hAnsi="Calibri" w:cs="Calibri"/>
        </w:rPr>
        <w:t xml:space="preserve"> and </w:t>
      </w:r>
      <w:r w:rsidR="002708BD" w:rsidRPr="00D607DD">
        <w:rPr>
          <w:rFonts w:ascii="Calibri" w:eastAsia="Calibri" w:hAnsi="Calibri" w:cs="Calibri"/>
        </w:rPr>
        <w:t>2050)</w:t>
      </w:r>
      <w:r w:rsidR="00D60E8F">
        <w:rPr>
          <w:rFonts w:ascii="Calibri" w:eastAsia="Calibri" w:hAnsi="Calibri" w:cs="Calibri"/>
        </w:rPr>
        <w:t>.</w:t>
      </w:r>
      <w:r w:rsidRPr="00D16824">
        <w:rPr>
          <w:rFonts w:ascii="Calibri" w:eastAsia="Calibri" w:hAnsi="Calibri" w:cs="Calibri"/>
        </w:rPr>
        <w:t xml:space="preserve"> </w:t>
      </w:r>
      <m:oMath>
        <m:r>
          <w:rPr>
            <w:rFonts w:ascii="Cambria Math" w:eastAsia="Calibri" w:hAnsi="Cambria Math" w:cs="Calibri"/>
          </w:rPr>
          <m:t>GGR</m:t>
        </m:r>
        <m:sSub>
          <m:sSubPr>
            <m:ctrlPr>
              <w:rPr>
                <w:rFonts w:ascii="Cambria Math" w:eastAsia="Calibri" w:hAnsi="Cambria Math" w:cs="Calibri"/>
                <w:i/>
              </w:rPr>
            </m:ctrlPr>
          </m:sSubPr>
          <m:e>
            <m:r>
              <w:rPr>
                <w:rFonts w:ascii="Cambria Math" w:eastAsia="Calibri" w:hAnsi="Cambria Math" w:cs="Calibri"/>
              </w:rPr>
              <m:t>η</m:t>
            </m:r>
          </m:e>
          <m:sub>
            <m:r>
              <w:rPr>
                <w:rFonts w:ascii="Cambria Math" w:eastAsia="Calibri" w:hAnsi="Cambria Math" w:cs="Calibri"/>
              </w:rPr>
              <m:t>i,t,y</m:t>
            </m:r>
          </m:sub>
        </m:sSub>
      </m:oMath>
      <w:r w:rsidRPr="00D16824">
        <w:rPr>
          <w:rFonts w:ascii="Calibri" w:eastAsia="Calibri" w:hAnsi="Calibri" w:cs="Calibri"/>
        </w:rPr>
        <w:t xml:space="preserve"> is </w:t>
      </w:r>
      <w:r w:rsidRPr="00F65D0F">
        <w:rPr>
          <w:rFonts w:ascii="Calibri" w:eastAsia="Calibri" w:hAnsi="Calibri" w:cs="Calibri"/>
        </w:rPr>
        <w:t xml:space="preserve">estimated with Equation </w:t>
      </w:r>
      <w:r w:rsidR="005118D3">
        <w:rPr>
          <w:rFonts w:ascii="Calibri" w:eastAsia="Calibri" w:hAnsi="Calibri" w:cs="Calibri"/>
        </w:rPr>
        <w:t>(</w:t>
      </w:r>
      <w:r w:rsidRPr="00F65D0F">
        <w:rPr>
          <w:rFonts w:ascii="Calibri" w:eastAsia="Calibri" w:hAnsi="Calibri" w:cs="Calibri"/>
        </w:rPr>
        <w:t>1</w:t>
      </w:r>
      <w:r w:rsidR="005118D3">
        <w:rPr>
          <w:rFonts w:ascii="Calibri" w:eastAsia="Calibri" w:hAnsi="Calibri" w:cs="Calibri"/>
        </w:rPr>
        <w:t>)</w:t>
      </w:r>
      <w:r w:rsidRPr="00F65D0F">
        <w:rPr>
          <w:rFonts w:ascii="Calibri" w:eastAsia="Calibri" w:hAnsi="Calibri" w:cs="Calibri"/>
        </w:rPr>
        <w:t xml:space="preserve">, where </w:t>
      </w:r>
      <m:oMath>
        <m:r>
          <w:rPr>
            <w:rFonts w:ascii="Cambria Math" w:eastAsia="Calibri" w:hAnsi="Cambria Math" w:cs="Calibri"/>
          </w:rPr>
          <m:t>CD</m:t>
        </m:r>
        <m:sSub>
          <m:sSubPr>
            <m:ctrlPr>
              <w:rPr>
                <w:rFonts w:ascii="Cambria Math" w:eastAsia="Calibri" w:hAnsi="Cambria Math" w:cs="Calibri"/>
                <w:i/>
              </w:rPr>
            </m:ctrlPr>
          </m:sSubPr>
          <m:e>
            <m:r>
              <w:rPr>
                <w:rFonts w:ascii="Cambria Math" w:eastAsia="Calibri" w:hAnsi="Cambria Math" w:cs="Calibri"/>
              </w:rPr>
              <m:t>R</m:t>
            </m:r>
          </m:e>
          <m:sub>
            <m:r>
              <w:rPr>
                <w:rFonts w:ascii="Cambria Math" w:eastAsia="Calibri" w:hAnsi="Cambria Math" w:cs="Calibri"/>
              </w:rPr>
              <m:t>i,s,t,y</m:t>
            </m:r>
          </m:sub>
        </m:sSub>
      </m:oMath>
      <w:r w:rsidRPr="00F65D0F">
        <w:rPr>
          <w:rFonts w:ascii="Calibri" w:eastAsia="Calibri" w:hAnsi="Calibri" w:cs="Calibri"/>
        </w:rPr>
        <w:t xml:space="preserve"> and </w:t>
      </w:r>
      <m:oMath>
        <m:r>
          <w:rPr>
            <w:rFonts w:ascii="Cambria Math" w:eastAsia="Calibri" w:hAnsi="Cambria Math" w:cs="Calibri"/>
          </w:rPr>
          <m:t>GH</m:t>
        </m:r>
        <m:sSub>
          <m:sSubPr>
            <m:ctrlPr>
              <w:rPr>
                <w:rFonts w:ascii="Cambria Math" w:eastAsia="Calibri" w:hAnsi="Cambria Math" w:cs="Calibri"/>
                <w:i/>
              </w:rPr>
            </m:ctrlPr>
          </m:sSubPr>
          <m:e>
            <m:r>
              <w:rPr>
                <w:rFonts w:ascii="Cambria Math" w:eastAsia="Calibri" w:hAnsi="Cambria Math" w:cs="Calibri"/>
              </w:rPr>
              <m:t>G</m:t>
            </m:r>
          </m:e>
          <m:sub>
            <m:r>
              <w:rPr>
                <w:rFonts w:ascii="Cambria Math" w:eastAsia="Calibri" w:hAnsi="Cambria Math" w:cs="Calibri"/>
              </w:rPr>
              <m:t>i,s,t,y</m:t>
            </m:r>
          </m:sub>
        </m:sSub>
      </m:oMath>
      <w:r w:rsidRPr="00F65D0F">
        <w:rPr>
          <w:rFonts w:ascii="Calibri" w:eastAsia="Calibri" w:hAnsi="Calibri" w:cs="Calibri"/>
        </w:rPr>
        <w:t xml:space="preserve"> represent the</w:t>
      </w:r>
      <w:r w:rsidR="00AC67F5" w:rsidRPr="00F65D0F">
        <w:rPr>
          <w:rFonts w:ascii="Calibri" w:eastAsia="Calibri" w:hAnsi="Calibri" w:cs="Calibri"/>
        </w:rPr>
        <w:t xml:space="preserve"> gross</w:t>
      </w:r>
      <w:r w:rsidRPr="00F65D0F">
        <w:rPr>
          <w:rFonts w:ascii="Calibri" w:eastAsia="Calibri" w:hAnsi="Calibri" w:cs="Calibri"/>
        </w:rPr>
        <w:t xml:space="preserve"> amount of </w:t>
      </w:r>
      <w:r w:rsidR="008574DA" w:rsidRPr="00F65D0F">
        <w:rPr>
          <w:rFonts w:ascii="Calibri" w:eastAsia="Calibri" w:hAnsi="Calibri" w:cs="Calibri"/>
        </w:rPr>
        <w:t xml:space="preserve">elementary flow </w:t>
      </w:r>
      <w:r w:rsidR="00D359ED" w:rsidRPr="00F65D0F">
        <w:rPr>
          <w:rFonts w:ascii="Calibri" w:eastAsia="Calibri" w:hAnsi="Calibri" w:cs="Calibri"/>
          <w:i/>
          <w:iCs/>
        </w:rPr>
        <w:t>s</w:t>
      </w:r>
      <w:r w:rsidRPr="00F65D0F">
        <w:rPr>
          <w:rFonts w:ascii="Calibri" w:eastAsia="Calibri" w:hAnsi="Calibri" w:cs="Calibri"/>
        </w:rPr>
        <w:t xml:space="preserve"> </w:t>
      </w:r>
      <w:r w:rsidR="008574DA" w:rsidRPr="00F65D0F">
        <w:rPr>
          <w:rFonts w:ascii="Calibri" w:eastAsia="Calibri" w:hAnsi="Calibri" w:cs="Calibri"/>
        </w:rPr>
        <w:t>within the</w:t>
      </w:r>
      <w:r w:rsidR="008574DA">
        <w:rPr>
          <w:rFonts w:ascii="Calibri" w:eastAsia="Calibri" w:hAnsi="Calibri" w:cs="Calibri"/>
        </w:rPr>
        <w:t xml:space="preserve"> set </w:t>
      </w:r>
      <w:r w:rsidR="00BB6CD1" w:rsidRPr="00830E6A">
        <w:rPr>
          <w:rFonts w:ascii="Calibri" w:eastAsia="Calibri" w:hAnsi="Calibri" w:cs="Calibri"/>
          <w:i/>
          <w:iCs/>
        </w:rPr>
        <w:t>J</w:t>
      </w:r>
      <w:r w:rsidR="00BB6CD1">
        <w:rPr>
          <w:rFonts w:ascii="Calibri" w:eastAsia="Calibri" w:hAnsi="Calibri" w:cs="Calibri"/>
        </w:rPr>
        <w:t xml:space="preserve"> of greenhouse gases that is </w:t>
      </w:r>
      <w:r w:rsidRPr="00D16824">
        <w:rPr>
          <w:rFonts w:ascii="Calibri" w:eastAsia="Calibri" w:hAnsi="Calibri" w:cs="Calibri"/>
        </w:rPr>
        <w:t>removed</w:t>
      </w:r>
      <w:r w:rsidR="005E2351">
        <w:rPr>
          <w:rFonts w:ascii="Calibri" w:eastAsia="Calibri" w:hAnsi="Calibri" w:cs="Calibri"/>
        </w:rPr>
        <w:t xml:space="preserve"> (negative value)</w:t>
      </w:r>
      <w:r w:rsidRPr="00D16824">
        <w:rPr>
          <w:rFonts w:ascii="Calibri" w:eastAsia="Calibri" w:hAnsi="Calibri" w:cs="Calibri"/>
        </w:rPr>
        <w:t xml:space="preserve"> </w:t>
      </w:r>
      <w:r w:rsidR="00723BCC">
        <w:rPr>
          <w:rFonts w:ascii="Calibri" w:eastAsia="Calibri" w:hAnsi="Calibri" w:cs="Calibri"/>
        </w:rPr>
        <w:t>and</w:t>
      </w:r>
      <w:r w:rsidRPr="00D16824">
        <w:rPr>
          <w:rFonts w:ascii="Calibri" w:eastAsia="Calibri" w:hAnsi="Calibri" w:cs="Calibri"/>
        </w:rPr>
        <w:t xml:space="preserve"> emitted</w:t>
      </w:r>
      <w:r w:rsidR="005E2351">
        <w:rPr>
          <w:rFonts w:ascii="Calibri" w:eastAsia="Calibri" w:hAnsi="Calibri" w:cs="Calibri"/>
        </w:rPr>
        <w:t xml:space="preserve"> (positive value)</w:t>
      </w:r>
      <w:r w:rsidR="001F4122">
        <w:rPr>
          <w:rFonts w:ascii="Calibri" w:eastAsia="Calibri" w:hAnsi="Calibri" w:cs="Calibri"/>
        </w:rPr>
        <w:t xml:space="preserve"> </w:t>
      </w:r>
      <w:r w:rsidRPr="003B2D4A">
        <w:rPr>
          <w:rFonts w:ascii="Calibri" w:eastAsia="Calibri" w:hAnsi="Calibri" w:cs="Calibri"/>
        </w:rPr>
        <w:t xml:space="preserve">by NETP </w:t>
      </w:r>
      <w:proofErr w:type="spellStart"/>
      <w:r w:rsidRPr="003B2D4A">
        <w:rPr>
          <w:rFonts w:ascii="Calibri" w:eastAsia="Calibri" w:hAnsi="Calibri" w:cs="Calibri"/>
          <w:i/>
          <w:iCs/>
        </w:rPr>
        <w:t>i</w:t>
      </w:r>
      <w:proofErr w:type="spellEnd"/>
      <w:r w:rsidRPr="003B2D4A">
        <w:rPr>
          <w:rFonts w:ascii="Calibri" w:eastAsia="Calibri" w:hAnsi="Calibri" w:cs="Calibri"/>
        </w:rPr>
        <w:t xml:space="preserve"> </w:t>
      </w:r>
      <w:r w:rsidRPr="003B2D4A">
        <w:rPr>
          <w:rFonts w:ascii="Calibri" w:eastAsia="Calibri" w:hAnsi="Calibri" w:cs="Calibri"/>
          <w:i/>
          <w:iCs/>
        </w:rPr>
        <w:t xml:space="preserve">t </w:t>
      </w:r>
      <w:r w:rsidRPr="003B2D4A">
        <w:rPr>
          <w:rFonts w:ascii="Calibri" w:eastAsia="Calibri" w:hAnsi="Calibri" w:cs="Calibri"/>
        </w:rPr>
        <w:t>years after deployment in year</w:t>
      </w:r>
      <w:r w:rsidRPr="003B2D4A">
        <w:rPr>
          <w:rFonts w:ascii="Calibri" w:eastAsia="Calibri" w:hAnsi="Calibri" w:cs="Calibri"/>
          <w:i/>
          <w:iCs/>
        </w:rPr>
        <w:t xml:space="preserve"> y</w:t>
      </w:r>
      <w:r w:rsidRPr="00D74145">
        <w:rPr>
          <w:rFonts w:ascii="Calibri" w:eastAsia="Calibri" w:hAnsi="Calibri" w:cs="Calibri"/>
        </w:rPr>
        <w:t>.</w:t>
      </w:r>
      <w:r w:rsidRPr="00D74145">
        <w:t xml:space="preserve"> </w:t>
      </w:r>
    </w:p>
    <w:tbl>
      <w:tblPr>
        <w:tblStyle w:val="Tablaconcuadrcula"/>
        <w:tblW w:w="8673"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2"/>
        <w:gridCol w:w="461"/>
      </w:tblGrid>
      <w:tr w:rsidR="001C086A" w:rsidRPr="001C086A" w14:paraId="19C64C7F" w14:textId="77777777" w:rsidTr="00F65D0F">
        <w:tc>
          <w:tcPr>
            <w:tcW w:w="8215" w:type="dxa"/>
          </w:tcPr>
          <w:p w14:paraId="7B4D9373" w14:textId="1B78BB06" w:rsidR="00057941" w:rsidRPr="00F65D0F" w:rsidRDefault="00057941" w:rsidP="00156252">
            <w:pPr>
              <w:spacing w:line="360" w:lineRule="auto"/>
              <w:jc w:val="center"/>
            </w:pPr>
            <m:oMathPara>
              <m:oMathParaPr>
                <m:jc m:val="left"/>
              </m:oMathParaPr>
              <m:oMath>
                <m:r>
                  <w:rPr>
                    <w:rFonts w:ascii="Cambria Math" w:eastAsia="Calibri" w:hAnsi="Cambria Math" w:cs="Calibri"/>
                  </w:rPr>
                  <m:t>GGR</m:t>
                </m:r>
                <m:sSub>
                  <m:sSubPr>
                    <m:ctrlPr>
                      <w:rPr>
                        <w:rFonts w:ascii="Cambria Math" w:eastAsia="Calibri" w:hAnsi="Cambria Math" w:cs="Calibri"/>
                        <w:i/>
                      </w:rPr>
                    </m:ctrlPr>
                  </m:sSubPr>
                  <m:e>
                    <m:r>
                      <w:rPr>
                        <w:rFonts w:ascii="Cambria Math" w:eastAsia="Calibri" w:hAnsi="Cambria Math" w:cs="Calibri"/>
                      </w:rPr>
                      <m:t>η</m:t>
                    </m:r>
                  </m:e>
                  <m:sub>
                    <m:r>
                      <w:rPr>
                        <w:rFonts w:ascii="Cambria Math" w:eastAsia="Calibri" w:hAnsi="Cambria Math" w:cs="Calibri"/>
                      </w:rPr>
                      <m:t>i,t,y</m:t>
                    </m:r>
                  </m:sub>
                </m:sSub>
                <m:r>
                  <w:rPr>
                    <w:rFonts w:ascii="Cambria Math" w:eastAsia="Calibri" w:hAnsi="Cambria Math" w:cs="Calibri"/>
                  </w:rPr>
                  <m:t>=</m:t>
                </m:r>
                <m:f>
                  <m:fPr>
                    <m:ctrlPr>
                      <w:rPr>
                        <w:rFonts w:ascii="Cambria Math" w:eastAsia="Calibri" w:hAnsi="Cambria Math" w:cs="Calibri"/>
                        <w:i/>
                      </w:rPr>
                    </m:ctrlPr>
                  </m:fPr>
                  <m:num>
                    <m:nary>
                      <m:naryPr>
                        <m:chr m:val="∑"/>
                        <m:limLoc m:val="undOvr"/>
                        <m:ctrlPr>
                          <w:rPr>
                            <w:rFonts w:ascii="Cambria Math" w:eastAsia="Calibri" w:hAnsi="Cambria Math" w:cs="Calibri"/>
                            <w:i/>
                          </w:rPr>
                        </m:ctrlPr>
                      </m:naryPr>
                      <m:sub>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=0</m:t>
                        </m:r>
                      </m:sub>
                      <m:sup>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=t</m:t>
                        </m:r>
                      </m:sup>
                      <m:e>
                        <m:nary>
                          <m:naryPr>
                            <m:chr m:val="∑"/>
                            <m:limLoc m:val="undOvr"/>
                            <m:supHide m:val="1"/>
                            <m:ctrlPr>
                              <w:rPr>
                                <w:rFonts w:ascii="Cambria Math" w:eastAsia="Calibri" w:hAnsi="Cambria Math" w:cs="Calibri"/>
                                <w:i/>
                              </w:rPr>
                            </m:ctrlPr>
                          </m:naryPr>
                          <m:sub>
                            <m:r>
                              <w:rPr>
                                <w:rFonts w:ascii="Cambria Math" w:eastAsia="Calibri" w:hAnsi="Cambria Math" w:cs="Calibri"/>
                              </w:rPr>
                              <m:t>s∈J</m:t>
                            </m:r>
                          </m:sub>
                          <m:sup/>
                          <m:e>
                            <m:r>
                              <w:rPr>
                                <w:rFonts w:ascii="Cambria Math" w:eastAsia="Calibri" w:hAnsi="Cambria Math" w:cs="Calibri"/>
                              </w:rPr>
                              <m:t>(</m:t>
                            </m:r>
                            <m:d>
                              <m:dPr>
                                <m:begChr m:val="|"/>
                                <m:endChr m:val="|"/>
                                <m:ctrlPr>
                                  <w:rPr>
                                    <w:rFonts w:ascii="Cambria Math" w:eastAsia="Calibri" w:hAnsi="Cambria Math" w:cs="Calibri"/>
                                    <w:i/>
                                  </w:rPr>
                                </m:ctrlPr>
                              </m:dPr>
                              <m:e>
                                <m:r>
                                  <w:rPr>
                                    <w:rFonts w:ascii="Cambria Math" w:eastAsia="Calibri" w:hAnsi="Cambria Math" w:cs="Calibri"/>
                                  </w:rPr>
                                  <m:t>CD</m:t>
                                </m:r>
                                <m:sSub>
                                  <m:sSubPr>
                                    <m:ctrlPr>
                                      <w:rPr>
                                        <w:rFonts w:ascii="Cambria Math" w:eastAsia="Calibri" w:hAnsi="Cambria Math" w:cs="Calibri"/>
                                        <w:i/>
                                      </w:rPr>
                                    </m:ctrlPr>
                                  </m:sSubPr>
                                  <m:e>
                                    <m:r>
                                      <w:rPr>
                                        <w:rFonts w:ascii="Cambria Math" w:eastAsia="Calibri" w:hAnsi="Cambria Math" w:cs="Calibri"/>
                                      </w:rPr>
                                      <m:t>R</m:t>
                                    </m:r>
                                  </m:e>
                                  <m:sub>
                                    <m:r>
                                      <w:rPr>
                                        <w:rFonts w:ascii="Cambria Math" w:eastAsia="Calibri" w:hAnsi="Cambria Math" w:cs="Calibri"/>
                                      </w:rPr>
                                      <m:t>i,s=C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,y</m:t>
                                    </m:r>
                                  </m:sub>
                                </m:sSub>
                              </m:e>
                            </m:d>
                            <m:r>
                              <w:rPr>
                                <w:rFonts w:ascii="Cambria Math" w:eastAsia="Calibri" w:hAnsi="Cambria Math" w:cs="Calibri"/>
                              </w:rPr>
                              <m:t>-GH</m:t>
                            </m:r>
                            <m:sSub>
                              <m:sSubPr>
                                <m:ctrlPr>
                                  <w:rPr>
                                    <w:rFonts w:ascii="Cambria Math" w:eastAsia="Calibri" w:hAnsi="Cambria Math" w:cs="Calibri"/>
                                    <w:i/>
                                  </w:rPr>
                                </m:ctrlPr>
                              </m:sSubPr>
                              <m:e>
                                <m:r>
                                  <w:rPr>
                                    <w:rFonts w:ascii="Cambria Math" w:eastAsia="Calibri" w:hAnsi="Cambria Math" w:cs="Calibri"/>
                                  </w:rPr>
                                  <m:t>G</m:t>
                                </m:r>
                              </m:e>
                              <m:sub>
                                <m:r>
                                  <w:rPr>
                                    <w:rFonts w:ascii="Cambria Math" w:eastAsia="Calibri" w:hAnsi="Cambria Math" w:cs="Calibri"/>
                                  </w:rPr>
                                  <m:t>i,s,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,y</m:t>
                                </m:r>
                              </m:sub>
                            </m:sSub>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sub>
                            </m:sSub>
                          </m:e>
                        </m:nary>
                      </m:e>
                    </m:nary>
                  </m:num>
                  <m:den>
                    <m:nary>
                      <m:naryPr>
                        <m:chr m:val="∑"/>
                        <m:limLoc m:val="undOvr"/>
                        <m:ctrlPr>
                          <w:rPr>
                            <w:rFonts w:ascii="Cambria Math" w:eastAsia="Calibri" w:hAnsi="Cambria Math" w:cs="Calibri"/>
                            <w:i/>
                          </w:rPr>
                        </m:ctrlPr>
                      </m:naryPr>
                      <m:sub>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=0</m:t>
                        </m:r>
                      </m:sub>
                      <m:sup>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=t</m:t>
                        </m:r>
                      </m:sup>
                      <m:e>
                        <m:d>
                          <m:dPr>
                            <m:begChr m:val="|"/>
                            <m:endChr m:val="|"/>
                            <m:ctrlPr>
                              <w:rPr>
                                <w:rFonts w:ascii="Cambria Math" w:eastAsia="Calibri" w:hAnsi="Cambria Math" w:cs="Calibri"/>
                                <w:i/>
                              </w:rPr>
                            </m:ctrlPr>
                          </m:dPr>
                          <m:e>
                            <m:r>
                              <w:rPr>
                                <w:rFonts w:ascii="Cambria Math" w:eastAsia="Calibri" w:hAnsi="Cambria Math" w:cs="Calibri"/>
                              </w:rPr>
                              <m:t>CD</m:t>
                            </m:r>
                            <m:sSub>
                              <m:sSubPr>
                                <m:ctrlPr>
                                  <w:rPr>
                                    <w:rFonts w:ascii="Cambria Math" w:eastAsia="Calibri" w:hAnsi="Cambria Math" w:cs="Calibri"/>
                                    <w:i/>
                                  </w:rPr>
                                </m:ctrlPr>
                              </m:sSubPr>
                              <m:e>
                                <m:r>
                                  <w:rPr>
                                    <w:rFonts w:ascii="Cambria Math" w:eastAsia="Calibri" w:hAnsi="Cambria Math" w:cs="Calibri"/>
                                  </w:rPr>
                                  <m:t>R</m:t>
                                </m:r>
                              </m:e>
                              <m:sub>
                                <m:r>
                                  <w:rPr>
                                    <w:rFonts w:ascii="Cambria Math" w:eastAsia="Calibri" w:hAnsi="Cambria Math" w:cs="Calibri"/>
                                  </w:rPr>
                                  <m:t>i,s=C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m:t>
                                    </m:r>
                                  </m:sup>
                                </m:sSup>
                                <m:r>
                                  <w:rPr>
                                    <w:rFonts w:ascii="Cambria Math" w:eastAsia="Calibri" w:hAnsi="Cambria Math" w:cs="Calibri"/>
                                  </w:rPr>
                                  <m:t>,y</m:t>
                                </m:r>
                              </m:sub>
                            </m:sSub>
                          </m:e>
                        </m:d>
                      </m:e>
                    </m:nary>
                  </m:den>
                </m:f>
                <m:r>
                  <w:rPr>
                    <w:rFonts w:ascii="Cambria Math" w:eastAsia="Calibri" w:hAnsi="Cambria Math" w:cs="Calibri"/>
                  </w:rPr>
                  <m:t xml:space="preserve">   ∀ i∈I, t∈T,y∈Y </m:t>
                </m:r>
              </m:oMath>
            </m:oMathPara>
          </w:p>
        </w:tc>
        <w:tc>
          <w:tcPr>
            <w:tcW w:w="458" w:type="dxa"/>
          </w:tcPr>
          <w:p w14:paraId="6A1E8BE6" w14:textId="77777777" w:rsidR="00057941" w:rsidRPr="00F65D0F" w:rsidRDefault="00057941" w:rsidP="00156252">
            <w:pPr>
              <w:spacing w:line="360" w:lineRule="auto"/>
              <w:jc w:val="center"/>
              <w:rPr>
                <w:sz w:val="12"/>
                <w:szCs w:val="12"/>
              </w:rPr>
            </w:pPr>
          </w:p>
          <w:p w14:paraId="30E9F0C4" w14:textId="4CD0659E" w:rsidR="00057941" w:rsidRPr="001C086A" w:rsidRDefault="00057941" w:rsidP="00D007F2">
            <w:pPr>
              <w:spacing w:line="360" w:lineRule="auto"/>
            </w:pPr>
            <w:r w:rsidRPr="00F65D0F">
              <w:t>(1)</w:t>
            </w:r>
          </w:p>
        </w:tc>
      </w:tr>
    </w:tbl>
    <w:p w14:paraId="3F1EC2F2" w14:textId="13468C84" w:rsidR="009763A4" w:rsidRDefault="00AA4F13" w:rsidP="009D19AD">
      <w:pPr>
        <w:spacing w:before="240" w:line="360" w:lineRule="auto"/>
        <w:jc w:val="both"/>
      </w:pPr>
      <w:r w:rsidRPr="001C086A">
        <w:t xml:space="preserve">The goal of our analysis is to evaluate the effects of </w:t>
      </w:r>
      <w:r w:rsidR="00DA37B2">
        <w:t>Carbon Dioxide Removal (</w:t>
      </w:r>
      <w:r w:rsidRPr="001C086A">
        <w:t>CDR</w:t>
      </w:r>
      <w:r w:rsidR="00DA37B2">
        <w:t>)</w:t>
      </w:r>
      <w:r w:rsidRPr="001C086A">
        <w:t xml:space="preserve"> </w:t>
      </w:r>
      <w:r w:rsidR="00EC5DAE" w:rsidRPr="001C086A">
        <w:t>in</w:t>
      </w:r>
      <w:r w:rsidRPr="001C086A">
        <w:t xml:space="preserve"> year </w:t>
      </w:r>
      <w:r w:rsidR="00EC5DAE" w:rsidRPr="001C086A">
        <w:rPr>
          <w:rFonts w:ascii="Calibri" w:eastAsia="Calibri" w:hAnsi="Calibri" w:cs="Calibri"/>
          <w:i/>
          <w:iCs/>
        </w:rPr>
        <w:t>y</w:t>
      </w:r>
      <w:r w:rsidR="003F34C1" w:rsidRPr="001C086A">
        <w:t>; hence,</w:t>
      </w:r>
      <w:r w:rsidR="00F81E20" w:rsidRPr="001C086A">
        <w:t xml:space="preserve"> </w:t>
      </w:r>
      <w:r w:rsidR="00F81E20" w:rsidRPr="00F65D0F">
        <w:t xml:space="preserve">Equation </w:t>
      </w:r>
      <w:r w:rsidR="00205BEF">
        <w:t>(</w:t>
      </w:r>
      <w:r w:rsidR="00CA2879" w:rsidRPr="00F65D0F">
        <w:t>1</w:t>
      </w:r>
      <w:r w:rsidR="00205BEF">
        <w:t>)</w:t>
      </w:r>
      <w:r w:rsidR="00CA2879" w:rsidRPr="00F65D0F">
        <w:t xml:space="preserve"> </w:t>
      </w:r>
      <w:r w:rsidR="00C73530" w:rsidRPr="00F65D0F">
        <w:t>only</w:t>
      </w:r>
      <w:r w:rsidR="00CA2879">
        <w:t xml:space="preserve"> account</w:t>
      </w:r>
      <w:r w:rsidR="00C73530">
        <w:t>s</w:t>
      </w:r>
      <w:r w:rsidR="00CA2879">
        <w:t xml:space="preserve"> for the CDR happening </w:t>
      </w:r>
      <w:r w:rsidR="00C73530">
        <w:t>that year</w:t>
      </w:r>
      <w:r w:rsidR="00CA2879">
        <w:t xml:space="preserve"> (</w:t>
      </w:r>
      <m:oMath>
        <m:r>
          <w:rPr>
            <w:rFonts w:ascii="Cambria Math" w:hAnsi="Cambria Math"/>
          </w:rPr>
          <m:t>t=0</m:t>
        </m:r>
      </m:oMath>
      <w:r w:rsidR="0050309E">
        <w:t>)</w:t>
      </w:r>
      <w:r w:rsidR="008711F2">
        <w:t xml:space="preserve"> in the </w:t>
      </w:r>
      <w:r w:rsidR="00FD490A">
        <w:t>Direct Air Carbon Capture and Storage (</w:t>
      </w:r>
      <w:r w:rsidR="008711F2">
        <w:t>DACCS</w:t>
      </w:r>
      <w:r w:rsidR="00FD490A">
        <w:t>)</w:t>
      </w:r>
      <w:r w:rsidR="008711F2">
        <w:t xml:space="preserve">, ocean liming, </w:t>
      </w:r>
      <w:r w:rsidR="00FD490A">
        <w:t>Bioenergy with Carbon Capture and Storage (</w:t>
      </w:r>
      <w:r w:rsidR="008711F2">
        <w:t>BECCS</w:t>
      </w:r>
      <w:r w:rsidR="00FD490A">
        <w:t>)</w:t>
      </w:r>
      <w:r w:rsidR="008711F2">
        <w:t xml:space="preserve"> and terrestrial NETPs </w:t>
      </w:r>
      <w:r w:rsidR="008711F2" w:rsidRPr="001E0ED5">
        <w:t>scenarios</w:t>
      </w:r>
      <w:r w:rsidR="006E2784" w:rsidRPr="001E0ED5">
        <w:t xml:space="preserve"> (Equation </w:t>
      </w:r>
      <w:r w:rsidR="008E6137">
        <w:t>(</w:t>
      </w:r>
      <w:r w:rsidR="006E2784" w:rsidRPr="001E0ED5">
        <w:t>2</w:t>
      </w:r>
      <w:r w:rsidR="008E6137">
        <w:t>)</w:t>
      </w:r>
      <w:r w:rsidR="006E2784" w:rsidRPr="001E0ED5">
        <w:t>)</w:t>
      </w:r>
      <w:r w:rsidR="00C73530">
        <w:t xml:space="preserve">. </w:t>
      </w:r>
      <w:r w:rsidR="00520F37">
        <w:t>As</w:t>
      </w:r>
      <w:r w:rsidR="002D733B">
        <w:t xml:space="preserve"> we discussed in the main text, </w:t>
      </w:r>
      <w:r w:rsidR="00B8791A">
        <w:t xml:space="preserve">greenhouse gas emissions offset the CDR occurring the year of deployment in some of the </w:t>
      </w:r>
      <w:r w:rsidR="00313D5A">
        <w:t>studie</w:t>
      </w:r>
      <w:r w:rsidR="00B8791A">
        <w:t>d enhanced weathering</w:t>
      </w:r>
      <w:r w:rsidR="00C11B2B">
        <w:t xml:space="preserve"> (</w:t>
      </w:r>
      <m:oMath>
        <m:r>
          <w:rPr>
            <w:rFonts w:ascii="Cambria Math" w:eastAsia="Calibri" w:hAnsi="Cambria Math" w:cs="Calibri"/>
          </w:rPr>
          <m:t>EW</m:t>
        </m:r>
      </m:oMath>
      <w:r w:rsidR="00C11B2B">
        <w:t>)</w:t>
      </w:r>
      <w:r w:rsidR="00B8791A">
        <w:t xml:space="preserve"> systems</w:t>
      </w:r>
      <w:r w:rsidR="003D49E4">
        <w:t xml:space="preserve"> (where CDR occurs gradually over time)</w:t>
      </w:r>
      <w:r w:rsidR="00B8791A">
        <w:t xml:space="preserve">, leading to a negative </w:t>
      </w:r>
      <w:r w:rsidR="00FF7346">
        <w:t>GGR</w:t>
      </w:r>
      <w:r w:rsidR="00B8791A">
        <w:t xml:space="preserve"> efficiency</w:t>
      </w:r>
      <w:r w:rsidR="00380991">
        <w:t xml:space="preserve"> the initial year</w:t>
      </w:r>
      <w:r w:rsidR="00B8791A">
        <w:t xml:space="preserve">. </w:t>
      </w:r>
      <w:r w:rsidR="00027D50">
        <w:t>Thus,</w:t>
      </w:r>
      <w:r w:rsidR="009763A4">
        <w:t xml:space="preserve"> </w:t>
      </w:r>
      <w:r w:rsidR="000E2EFE">
        <w:t>w</w:t>
      </w:r>
      <w:r w:rsidR="00D12E9B">
        <w:t xml:space="preserve">e evaluated </w:t>
      </w:r>
      <w:r w:rsidR="00E27CBC">
        <w:t xml:space="preserve">how </w:t>
      </w:r>
      <w:r w:rsidR="004E29E1">
        <w:t xml:space="preserve">the CDR </w:t>
      </w:r>
      <w:r w:rsidR="00321ED6">
        <w:t>occurr</w:t>
      </w:r>
      <w:r w:rsidR="004E29E1">
        <w:t xml:space="preserve">ing </w:t>
      </w:r>
      <w:r w:rsidR="00321ED6">
        <w:t>in the years following the rock</w:t>
      </w:r>
      <w:r w:rsidR="004E29E1">
        <w:t xml:space="preserve"> deployment </w:t>
      </w:r>
      <w:r w:rsidR="007D3C5A">
        <w:t>improves the GGR efficiency of the enhanced weathering scenarios</w:t>
      </w:r>
      <w:r w:rsidR="005153BE">
        <w:t xml:space="preserve"> (relation (3))</w:t>
      </w:r>
      <w:r w:rsidR="0026164A">
        <w:t>.</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9"/>
        <w:gridCol w:w="569"/>
      </w:tblGrid>
      <w:tr w:rsidR="00A367DF" w:rsidRPr="00A367DF" w14:paraId="493AC09D" w14:textId="77777777" w:rsidTr="003C01D9">
        <w:tc>
          <w:tcPr>
            <w:tcW w:w="7989" w:type="dxa"/>
          </w:tcPr>
          <w:p w14:paraId="25DD6D40" w14:textId="602E1886" w:rsidR="009D19AD" w:rsidRPr="00A367DF" w:rsidRDefault="009D19AD" w:rsidP="00156252">
            <w:pPr>
              <w:spacing w:line="360" w:lineRule="auto"/>
              <w:jc w:val="center"/>
              <w:rPr>
                <w:rFonts w:ascii="Calibri" w:eastAsia="Yu Mincho" w:hAnsi="Calibri" w:cs="Times New Roman"/>
              </w:rPr>
            </w:pPr>
            <m:oMathPara>
              <m:oMath>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r>
                  <w:rPr>
                    <w:rFonts w:ascii="Cambria Math" w:eastAsia="Yu Mincho" w:hAnsi="Cambria Math" w:cs="Times New Roman"/>
                  </w:rPr>
                  <m:t xml:space="preserve">=0   </m:t>
                </m:r>
                <m:r>
                  <w:rPr>
                    <w:rFonts w:ascii="Cambria Math" w:eastAsia="Calibri" w:hAnsi="Cambria Math" w:cs="Calibri"/>
                  </w:rPr>
                  <m:t>∀ t&gt;0, i∉EW,s=C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 xml:space="preserve">, y∈Y </m:t>
                </m:r>
              </m:oMath>
            </m:oMathPara>
          </w:p>
        </w:tc>
        <w:tc>
          <w:tcPr>
            <w:tcW w:w="569" w:type="dxa"/>
          </w:tcPr>
          <w:p w14:paraId="3AB4E826" w14:textId="628A4C97" w:rsidR="009D19AD" w:rsidRPr="00D1105E" w:rsidRDefault="009D19AD" w:rsidP="00156252">
            <w:pPr>
              <w:spacing w:line="360" w:lineRule="auto"/>
              <w:jc w:val="center"/>
              <w:rPr>
                <w:highlight w:val="yellow"/>
              </w:rPr>
            </w:pPr>
            <w:r w:rsidRPr="001E0ED5">
              <w:t>(2)</w:t>
            </w:r>
          </w:p>
        </w:tc>
      </w:tr>
      <w:tr w:rsidR="00A367DF" w:rsidRPr="00A367DF" w14:paraId="20F3B266" w14:textId="77777777" w:rsidTr="003C01D9">
        <w:tc>
          <w:tcPr>
            <w:tcW w:w="7989" w:type="dxa"/>
          </w:tcPr>
          <w:p w14:paraId="6DFC1376" w14:textId="4E999088" w:rsidR="009D19AD" w:rsidRPr="00A367DF" w:rsidRDefault="00000000" w:rsidP="00156252">
            <w:pPr>
              <w:spacing w:line="360" w:lineRule="auto"/>
              <w:jc w:val="center"/>
              <w:rPr>
                <w:rFonts w:ascii="Calibri" w:eastAsia="Yu Mincho" w:hAnsi="Calibri" w:cs="Times New Roman"/>
              </w:rPr>
            </w:pPr>
            <m:oMathPara>
              <m:oMath>
                <m:d>
                  <m:dPr>
                    <m:begChr m:val="|"/>
                    <m:endChr m:val="|"/>
                    <m:ctrlPr>
                      <w:rPr>
                        <w:rFonts w:ascii="Cambria Math" w:eastAsia="Yu Mincho" w:hAnsi="Cambria Math" w:cs="Times New Roman"/>
                        <w:i/>
                      </w:rPr>
                    </m:ctrlPr>
                  </m:dPr>
                  <m:e>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e>
                </m:d>
                <m:r>
                  <w:rPr>
                    <w:rFonts w:ascii="Cambria Math" w:eastAsia="Yu Mincho" w:hAnsi="Cambria Math" w:cs="Times New Roman"/>
                  </w:rPr>
                  <m:t xml:space="preserve">&gt;0   </m:t>
                </m:r>
                <m:r>
                  <w:rPr>
                    <w:rFonts w:ascii="Cambria Math" w:eastAsia="Calibri" w:hAnsi="Cambria Math" w:cs="Calibri"/>
                  </w:rPr>
                  <m:t>∀ t&gt;0, i</m:t>
                </m:r>
                <m:r>
                  <w:rPr>
                    <w:rFonts w:ascii="Cambria Math" w:hAnsi="Cambria Math"/>
                  </w:rPr>
                  <m:t>∈</m:t>
                </m:r>
                <m:r>
                  <w:rPr>
                    <w:rFonts w:ascii="Cambria Math" w:eastAsia="Calibri" w:hAnsi="Cambria Math" w:cs="Calibri"/>
                  </w:rPr>
                  <m:t>EW, 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 y∈Y</m:t>
                </m:r>
              </m:oMath>
            </m:oMathPara>
          </w:p>
        </w:tc>
        <w:tc>
          <w:tcPr>
            <w:tcW w:w="569" w:type="dxa"/>
          </w:tcPr>
          <w:p w14:paraId="7A837A31" w14:textId="23B2976C" w:rsidR="009D19AD" w:rsidRPr="00D1105E" w:rsidRDefault="009D19AD" w:rsidP="00156252">
            <w:pPr>
              <w:spacing w:line="360" w:lineRule="auto"/>
              <w:jc w:val="center"/>
              <w:rPr>
                <w:highlight w:val="yellow"/>
              </w:rPr>
            </w:pPr>
            <w:r w:rsidRPr="00B20B25">
              <w:t>(</w:t>
            </w:r>
            <w:r w:rsidR="00B20B25" w:rsidRPr="00B20B25">
              <w:t>3</w:t>
            </w:r>
            <w:r w:rsidRPr="00B20B25">
              <w:t>)</w:t>
            </w:r>
          </w:p>
        </w:tc>
      </w:tr>
    </w:tbl>
    <w:p w14:paraId="576791B3" w14:textId="1AE9C34C" w:rsidR="008D4019" w:rsidRPr="00EE6ABC" w:rsidRDefault="00EB1211" w:rsidP="00AE7DEE">
      <w:pPr>
        <w:spacing w:before="240" w:line="360" w:lineRule="auto"/>
        <w:jc w:val="both"/>
      </w:pPr>
      <w:r w:rsidRPr="006679B1">
        <w:t>The greenhouse gas emissions</w:t>
      </w:r>
      <w:r w:rsidR="005E32AF" w:rsidRPr="006679B1">
        <w:t xml:space="preserve"> linked to the infrastructure and operating activities are assumed to take place the year of deployment in all the NETPs scenarios. </w:t>
      </w:r>
      <w:r w:rsidR="00E94A96">
        <w:t>O</w:t>
      </w:r>
      <w:r w:rsidR="00F0429C" w:rsidRPr="006679B1">
        <w:t>nly terrestrial NETPs (</w:t>
      </w:r>
      <m:oMath>
        <m:r>
          <w:rPr>
            <w:rFonts w:ascii="Cambria Math" w:eastAsia="Calibri" w:hAnsi="Cambria Math" w:cs="Calibri"/>
          </w:rPr>
          <m:t>TERR</m:t>
        </m:r>
      </m:oMath>
      <w:r w:rsidR="001A0207" w:rsidRPr="006679B1">
        <w:t xml:space="preserve">, including </w:t>
      </w:r>
      <w:r w:rsidR="00765637" w:rsidRPr="006679B1">
        <w:t>biochar and forestation)</w:t>
      </w:r>
      <w:r w:rsidR="00E33B1B" w:rsidRPr="006679B1">
        <w:t xml:space="preserve"> emit greenhouse gases</w:t>
      </w:r>
      <w:r w:rsidR="003526D0">
        <w:t xml:space="preserve"> </w:t>
      </w:r>
      <w:r w:rsidR="00E33B1B" w:rsidRPr="006679B1">
        <w:t xml:space="preserve">after the year of deployment </w:t>
      </w:r>
      <w:r w:rsidR="009001AD" w:rsidRPr="006679B1">
        <w:t xml:space="preserve">due to </w:t>
      </w:r>
      <w:r w:rsidR="00D40A68" w:rsidRPr="006679B1">
        <w:t xml:space="preserve">the mineralization of the biochar carbon </w:t>
      </w:r>
      <w:r w:rsidR="00D40A68" w:rsidRPr="00EE6ABC">
        <w:t xml:space="preserve">and </w:t>
      </w:r>
      <w:r w:rsidR="00141603" w:rsidRPr="00EE6ABC">
        <w:t>forest fires</w:t>
      </w:r>
      <w:r w:rsidR="00B15D2D" w:rsidRPr="00EE6ABC">
        <w:t>,</w:t>
      </w:r>
      <w:r w:rsidR="00D9092D" w:rsidRPr="00EE6ABC">
        <w:t xml:space="preserve"> </w:t>
      </w:r>
      <w:r w:rsidR="0082752D" w:rsidRPr="00EE6ABC">
        <w:t>which release</w:t>
      </w:r>
      <w:r w:rsidR="00D9092D" w:rsidRPr="00EE6ABC">
        <w:t xml:space="preserve"> part of</w:t>
      </w:r>
      <w:r w:rsidR="00D86493" w:rsidRPr="00EE6ABC">
        <w:t xml:space="preserve"> the</w:t>
      </w:r>
      <w:r w:rsidR="00D9092D" w:rsidRPr="00EE6ABC">
        <w:t xml:space="preserve"> </w:t>
      </w:r>
      <w:r w:rsidR="00016532" w:rsidRPr="00EE6ABC">
        <w:t xml:space="preserve">removed </w:t>
      </w:r>
      <w:r w:rsidR="00D9092D" w:rsidRPr="00EE6ABC">
        <w:t>carbon</w:t>
      </w:r>
      <w:r w:rsidR="00CC1241">
        <w:t xml:space="preserve"> </w:t>
      </w:r>
      <w:r w:rsidR="00CC1241" w:rsidRPr="00914CE7">
        <w:t>(Equation (4) and Inequality (5))</w:t>
      </w:r>
      <w:r w:rsidR="00141603" w:rsidRPr="00914CE7">
        <w:t>.</w:t>
      </w:r>
      <w:r w:rsidR="00141603" w:rsidRPr="00EE6ABC">
        <w:t xml:space="preserve"> </w:t>
      </w:r>
      <w:r w:rsidR="008D4019" w:rsidRPr="00EE6ABC">
        <w:t xml:space="preserve">Note that </w:t>
      </w:r>
      <m:oMath>
        <m:r>
          <w:rPr>
            <w:rFonts w:ascii="Cambria Math" w:eastAsia="Calibri" w:hAnsi="Cambria Math" w:cs="Calibri"/>
          </w:rPr>
          <m:t>GH</m:t>
        </m:r>
        <m:sSub>
          <m:sSubPr>
            <m:ctrlPr>
              <w:rPr>
                <w:rFonts w:ascii="Cambria Math" w:eastAsia="Calibri" w:hAnsi="Cambria Math" w:cs="Calibri"/>
                <w:i/>
              </w:rPr>
            </m:ctrlPr>
          </m:sSubPr>
          <m:e>
            <m:r>
              <w:rPr>
                <w:rFonts w:ascii="Cambria Math" w:eastAsia="Calibri" w:hAnsi="Cambria Math" w:cs="Calibri"/>
              </w:rPr>
              <m:t>G</m:t>
            </m:r>
          </m:e>
          <m:sub>
            <m:r>
              <w:rPr>
                <w:rFonts w:ascii="Cambria Math" w:eastAsia="Calibri" w:hAnsi="Cambria Math" w:cs="Calibri"/>
              </w:rPr>
              <m:t>i,s,t,y</m:t>
            </m:r>
          </m:sub>
        </m:sSub>
      </m:oMath>
      <w:r w:rsidR="008D4019" w:rsidRPr="00EE6ABC">
        <w:t xml:space="preserve"> does not include the greenhouse gas emissions prevented from being emitted due to the integration of the secondary </w:t>
      </w:r>
      <w:r w:rsidR="005015F8" w:rsidRPr="00EE6ABC">
        <w:t xml:space="preserve">products </w:t>
      </w:r>
      <w:r w:rsidR="005015F8" w:rsidRPr="00EE6ABC">
        <w:lastRenderedPageBreak/>
        <w:t xml:space="preserve">or </w:t>
      </w:r>
      <w:r w:rsidR="008D4019" w:rsidRPr="00EE6ABC">
        <w:t>services provided by NETPs into the economy</w:t>
      </w:r>
      <w:r w:rsidR="005A4D97" w:rsidRPr="00EE6ABC">
        <w:t xml:space="preserve">, i.e., </w:t>
      </w:r>
      <w:r w:rsidR="00046675" w:rsidRPr="00EE6ABC">
        <w:t>phosphate fertilizers</w:t>
      </w:r>
      <w:r w:rsidR="004C38E5" w:rsidRPr="00EE6ABC">
        <w:t xml:space="preserve"> (</w:t>
      </w:r>
      <w:r w:rsidR="00046675" w:rsidRPr="00EE6ABC">
        <w:t>enhanced weathering scenarios</w:t>
      </w:r>
      <w:r w:rsidR="004C38E5" w:rsidRPr="00EE6ABC">
        <w:t>), heat (biochar scenarios)</w:t>
      </w:r>
      <w:r w:rsidR="00EE1DE3" w:rsidRPr="00EE6ABC">
        <w:t>, electricity (combustion-BECCS) and hydrogen (gasification-BECCS)</w:t>
      </w:r>
      <w:r w:rsidR="00046675" w:rsidRPr="00EE6ABC">
        <w:t>.</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9"/>
        <w:gridCol w:w="569"/>
      </w:tblGrid>
      <w:tr w:rsidR="008A3F4D" w:rsidRPr="00EE6ABC" w14:paraId="6170F0D4" w14:textId="77777777" w:rsidTr="005075AB">
        <w:tc>
          <w:tcPr>
            <w:tcW w:w="7989" w:type="dxa"/>
          </w:tcPr>
          <w:p w14:paraId="5AAC3D77" w14:textId="336EB345" w:rsidR="007822BC" w:rsidRPr="00EE6ABC" w:rsidRDefault="00335198" w:rsidP="007822BC">
            <w:pPr>
              <w:spacing w:line="360" w:lineRule="auto"/>
              <w:jc w:val="center"/>
              <w:rPr>
                <w:rFonts w:ascii="Calibri" w:eastAsia="Yu Mincho" w:hAnsi="Calibri" w:cs="Times New Roman"/>
              </w:rPr>
            </w:pPr>
            <m:oMathPara>
              <m:oMath>
                <m:r>
                  <w:rPr>
                    <w:rFonts w:ascii="Cambria Math" w:eastAsia="Yu Mincho" w:hAnsi="Cambria Math" w:cs="Times New Roman"/>
                  </w:rPr>
                  <m:t>GH</m:t>
                </m:r>
                <m:sSub>
                  <m:sSubPr>
                    <m:ctrlPr>
                      <w:rPr>
                        <w:rFonts w:ascii="Cambria Math" w:eastAsia="Yu Mincho" w:hAnsi="Cambria Math" w:cs="Times New Roman"/>
                        <w:i/>
                      </w:rPr>
                    </m:ctrlPr>
                  </m:sSubPr>
                  <m:e>
                    <m:r>
                      <w:rPr>
                        <w:rFonts w:ascii="Cambria Math" w:eastAsia="Yu Mincho" w:hAnsi="Cambria Math" w:cs="Times New Roman"/>
                      </w:rPr>
                      <m:t>G</m:t>
                    </m:r>
                  </m:e>
                  <m:sub>
                    <m:r>
                      <w:rPr>
                        <w:rFonts w:ascii="Cambria Math" w:eastAsia="Yu Mincho" w:hAnsi="Cambria Math" w:cs="Times New Roman"/>
                      </w:rPr>
                      <m:t>i,s,t,y</m:t>
                    </m:r>
                  </m:sub>
                </m:sSub>
                <m:r>
                  <w:rPr>
                    <w:rFonts w:ascii="Cambria Math" w:eastAsia="Yu Mincho" w:hAnsi="Cambria Math" w:cs="Times New Roman"/>
                  </w:rPr>
                  <m:t xml:space="preserve">=0   </m:t>
                </m:r>
                <m:r>
                  <w:rPr>
                    <w:rFonts w:ascii="Cambria Math" w:eastAsia="Calibri" w:hAnsi="Cambria Math" w:cs="Calibri"/>
                  </w:rPr>
                  <m:t>∀ t&gt;0, i∉TERR,s∈J, y∈Y</m:t>
                </m:r>
              </m:oMath>
            </m:oMathPara>
          </w:p>
        </w:tc>
        <w:tc>
          <w:tcPr>
            <w:tcW w:w="569" w:type="dxa"/>
          </w:tcPr>
          <w:p w14:paraId="1CBEDEAA" w14:textId="22FB099F" w:rsidR="007822BC" w:rsidRPr="00EE6ABC" w:rsidRDefault="00C700FE" w:rsidP="007822BC">
            <w:pPr>
              <w:spacing w:line="360" w:lineRule="auto"/>
              <w:jc w:val="center"/>
            </w:pPr>
            <w:r w:rsidRPr="00EE6ABC">
              <w:t>(</w:t>
            </w:r>
            <w:r w:rsidR="00B06EFB" w:rsidRPr="00EE6ABC">
              <w:t>4</w:t>
            </w:r>
            <w:r w:rsidRPr="00EE6ABC">
              <w:t>)</w:t>
            </w:r>
          </w:p>
        </w:tc>
      </w:tr>
      <w:tr w:rsidR="008A3F4D" w:rsidRPr="008A3F4D" w14:paraId="3F877741" w14:textId="77777777" w:rsidTr="005075AB">
        <w:tc>
          <w:tcPr>
            <w:tcW w:w="7989" w:type="dxa"/>
          </w:tcPr>
          <w:p w14:paraId="44600C96" w14:textId="0BFE9A45" w:rsidR="00F94CE3" w:rsidRPr="00EE6ABC" w:rsidRDefault="00F94CE3" w:rsidP="007822BC">
            <w:pPr>
              <w:spacing w:line="360" w:lineRule="auto"/>
              <w:jc w:val="center"/>
              <w:rPr>
                <w:rFonts w:ascii="Calibri" w:eastAsia="Yu Mincho" w:hAnsi="Calibri" w:cs="Times New Roman"/>
              </w:rPr>
            </w:pPr>
            <m:oMathPara>
              <m:oMath>
                <m:r>
                  <w:rPr>
                    <w:rFonts w:ascii="Cambria Math" w:eastAsia="Yu Mincho" w:hAnsi="Cambria Math" w:cs="Times New Roman"/>
                  </w:rPr>
                  <m:t>GH</m:t>
                </m:r>
                <m:sSub>
                  <m:sSubPr>
                    <m:ctrlPr>
                      <w:rPr>
                        <w:rFonts w:ascii="Cambria Math" w:eastAsia="Yu Mincho" w:hAnsi="Cambria Math" w:cs="Times New Roman"/>
                        <w:i/>
                      </w:rPr>
                    </m:ctrlPr>
                  </m:sSubPr>
                  <m:e>
                    <m:r>
                      <w:rPr>
                        <w:rFonts w:ascii="Cambria Math" w:eastAsia="Yu Mincho" w:hAnsi="Cambria Math" w:cs="Times New Roman"/>
                      </w:rPr>
                      <m:t>G</m:t>
                    </m:r>
                  </m:e>
                  <m:sub>
                    <m:r>
                      <w:rPr>
                        <w:rFonts w:ascii="Cambria Math" w:eastAsia="Yu Mincho" w:hAnsi="Cambria Math" w:cs="Times New Roman"/>
                      </w:rPr>
                      <m:t>i,s,t,y</m:t>
                    </m:r>
                  </m:sub>
                </m:sSub>
                <m:r>
                  <w:rPr>
                    <w:rFonts w:ascii="Cambria Math" w:eastAsia="Yu Mincho" w:hAnsi="Cambria Math" w:cs="Times New Roman"/>
                  </w:rPr>
                  <m:t xml:space="preserve">&gt;0   </m:t>
                </m:r>
                <m:r>
                  <w:rPr>
                    <w:rFonts w:ascii="Cambria Math" w:eastAsia="Calibri" w:hAnsi="Cambria Math" w:cs="Calibri"/>
                  </w:rPr>
                  <m:t>∀ t&gt;0, i∈TERR,s∈J, y∈Y</m:t>
                </m:r>
              </m:oMath>
            </m:oMathPara>
          </w:p>
        </w:tc>
        <w:tc>
          <w:tcPr>
            <w:tcW w:w="569" w:type="dxa"/>
          </w:tcPr>
          <w:p w14:paraId="33CFA205" w14:textId="3C8D14AD" w:rsidR="00F94CE3" w:rsidRPr="00EE6ABC" w:rsidRDefault="00F94CE3" w:rsidP="007822BC">
            <w:pPr>
              <w:spacing w:line="360" w:lineRule="auto"/>
              <w:jc w:val="center"/>
            </w:pPr>
            <w:r w:rsidRPr="00EE6ABC">
              <w:t>(</w:t>
            </w:r>
            <w:r w:rsidR="00B06EFB" w:rsidRPr="00EE6ABC">
              <w:t>5</w:t>
            </w:r>
            <w:r w:rsidRPr="00EE6ABC">
              <w:t>)</w:t>
            </w:r>
          </w:p>
        </w:tc>
      </w:tr>
    </w:tbl>
    <w:p w14:paraId="3B4D68B4" w14:textId="15CBA7D6" w:rsidR="008D4019" w:rsidRPr="00D16824" w:rsidRDefault="00DC3F58" w:rsidP="005A2369">
      <w:pPr>
        <w:spacing w:before="240" w:line="360" w:lineRule="auto"/>
        <w:jc w:val="both"/>
        <w:rPr>
          <w:rFonts w:ascii="Calibri" w:eastAsia="Calibri" w:hAnsi="Calibri" w:cs="Calibri"/>
        </w:rPr>
      </w:pPr>
      <w:r w:rsidRPr="000205D4">
        <w:t xml:space="preserve">The </w:t>
      </w:r>
      <m:oMath>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oMath>
      <w:r w:rsidR="008D4019" w:rsidRPr="000205D4">
        <w:rPr>
          <w:rFonts w:ascii="Calibri" w:eastAsia="Calibri" w:hAnsi="Calibri" w:cs="Calibri"/>
        </w:rPr>
        <w:t xml:space="preserve"> </w:t>
      </w:r>
      <w:r w:rsidRPr="000205D4">
        <w:rPr>
          <w:rFonts w:ascii="Calibri" w:eastAsia="Calibri" w:hAnsi="Calibri" w:cs="Calibri"/>
        </w:rPr>
        <w:t xml:space="preserve">in Equation </w:t>
      </w:r>
      <w:r w:rsidR="00406DA9" w:rsidRPr="000205D4">
        <w:rPr>
          <w:rFonts w:ascii="Calibri" w:eastAsia="Calibri" w:hAnsi="Calibri" w:cs="Calibri"/>
        </w:rPr>
        <w:t>(</w:t>
      </w:r>
      <w:r w:rsidRPr="000205D4">
        <w:rPr>
          <w:rFonts w:ascii="Calibri" w:eastAsia="Calibri" w:hAnsi="Calibri" w:cs="Calibri"/>
        </w:rPr>
        <w:t>1</w:t>
      </w:r>
      <w:r w:rsidR="00406DA9" w:rsidRPr="000205D4">
        <w:rPr>
          <w:rFonts w:ascii="Calibri" w:eastAsia="Calibri" w:hAnsi="Calibri" w:cs="Calibri"/>
        </w:rPr>
        <w:t>)</w:t>
      </w:r>
      <w:r w:rsidRPr="000205D4">
        <w:rPr>
          <w:rFonts w:ascii="Calibri" w:eastAsia="Calibri" w:hAnsi="Calibri" w:cs="Calibri"/>
        </w:rPr>
        <w:t xml:space="preserve"> </w:t>
      </w:r>
      <w:r w:rsidR="008D4019" w:rsidRPr="000205D4">
        <w:rPr>
          <w:rFonts w:ascii="Calibri" w:eastAsia="Calibri" w:hAnsi="Calibri" w:cs="Calibri"/>
        </w:rPr>
        <w:t xml:space="preserve">is the time-dependent Global Warming Potential </w:t>
      </w:r>
      <w:r w:rsidR="00793675" w:rsidRPr="000205D4">
        <w:rPr>
          <w:rFonts w:ascii="Calibri" w:eastAsia="Calibri" w:hAnsi="Calibri" w:cs="Calibri"/>
        </w:rPr>
        <w:t xml:space="preserve">(GWP) </w:t>
      </w:r>
      <w:r w:rsidR="008D4019" w:rsidRPr="000205D4">
        <w:rPr>
          <w:rFonts w:ascii="Calibri" w:eastAsia="Calibri" w:hAnsi="Calibri" w:cs="Calibri"/>
        </w:rPr>
        <w:t xml:space="preserve">of greenhouse gas </w:t>
      </w:r>
      <w:r w:rsidR="00673B50" w:rsidRPr="000205D4">
        <w:rPr>
          <w:rFonts w:ascii="Calibri" w:eastAsia="Calibri" w:hAnsi="Calibri" w:cs="Calibri"/>
          <w:i/>
          <w:iCs/>
        </w:rPr>
        <w:t>s</w:t>
      </w:r>
      <w:r w:rsidR="00921E46" w:rsidRPr="000205D4">
        <w:rPr>
          <w:rFonts w:ascii="Calibri" w:eastAsia="Calibri" w:hAnsi="Calibri" w:cs="Calibri"/>
        </w:rPr>
        <w:t xml:space="preserve"> </w:t>
      </w:r>
      <w:r w:rsidR="00173838" w:rsidRPr="000205D4">
        <w:rPr>
          <w:rFonts w:ascii="Calibri" w:eastAsia="Calibri" w:hAnsi="Calibri" w:cs="Calibri"/>
        </w:rPr>
        <w:t xml:space="preserve">emitted </w:t>
      </w:r>
      <w:r w:rsidR="008D4019" w:rsidRPr="000205D4">
        <w:rPr>
          <w:rFonts w:ascii="Calibri" w:eastAsia="Calibri" w:hAnsi="Calibri" w:cs="Calibri"/>
        </w:rPr>
        <w:t xml:space="preserve">in year </w:t>
      </w:r>
      <w:r w:rsidR="008D4019" w:rsidRPr="000205D4">
        <w:rPr>
          <w:rFonts w:ascii="Calibri" w:eastAsia="Calibri" w:hAnsi="Calibri" w:cs="Calibri"/>
          <w:i/>
          <w:iCs/>
        </w:rPr>
        <w:t>t</w:t>
      </w:r>
      <w:r w:rsidR="008D4019" w:rsidRPr="000205D4">
        <w:rPr>
          <w:rFonts w:ascii="Calibri" w:eastAsia="Calibri" w:hAnsi="Calibri" w:cs="Calibri"/>
        </w:rPr>
        <w:t xml:space="preserve">, </w:t>
      </w:r>
      <w:r w:rsidR="008D4019" w:rsidRPr="00D16824">
        <w:rPr>
          <w:rFonts w:ascii="Calibri" w:eastAsia="Calibri" w:hAnsi="Calibri" w:cs="Calibri"/>
        </w:rPr>
        <w:t>expressed in kg CO</w:t>
      </w:r>
      <w:r w:rsidR="008D4019" w:rsidRPr="00D16824">
        <w:rPr>
          <w:rFonts w:ascii="Calibri" w:eastAsia="Calibri" w:hAnsi="Calibri" w:cs="Calibri"/>
          <w:vertAlign w:val="subscript"/>
        </w:rPr>
        <w:t>2</w:t>
      </w:r>
      <w:r w:rsidR="008D4019" w:rsidRPr="00D16824">
        <w:rPr>
          <w:rFonts w:ascii="Calibri" w:eastAsia="Calibri" w:hAnsi="Calibri" w:cs="Calibri"/>
        </w:rPr>
        <w:t>eq per kg of gas. It is derived from the methodology proposed by Levasseur et al.</w:t>
      </w:r>
      <w:r w:rsidR="008D4019" w:rsidRPr="00D16824">
        <w:rPr>
          <w:rFonts w:ascii="Calibri" w:eastAsia="Calibri" w:hAnsi="Calibri" w:cs="Calibri"/>
        </w:rPr>
        <w:fldChar w:fldCharType="begin" w:fldLock="1"/>
      </w:r>
      <w:r w:rsidR="0043212B">
        <w:rPr>
          <w:rFonts w:ascii="Calibri" w:eastAsia="Calibri" w:hAnsi="Calibri" w:cs="Calibri"/>
        </w:rPr>
        <w:instrText xml:space="preserve"> ADDIN ZOTERO_ITEM CSL_CITATION {"citationID":"FjQoVnrX","properties":{"formattedCitation":"\\super 1\\nosupersub{}","plainCitation":"1","noteIndex":0},"citationItems":[{"id":2852,"uris":["http://www.mendeley.com/documents/?uuid=633f73c2-2bf0-439f-874d-6ac71728b6f9","http://zotero.org/users/14213812/items/I6IKL23D"],"itemData":{"id":2852,"type":"article-journal","abstract":"The lack of temporal information is an important limitation of life cycle assessment (LCA). A dynamic LCA approach is proposed to improve the accuracy of LCA by addressing the inconsistency of temporal assessment. This approach consists of first computing a dynamic life cycle inventory (LCI), considering the temporal profile of emissions. Then, time-dependent characterization factors are calculated to assess the dynamic LCI in real-time impact scores for any given time horizon. Although generally applicable to any impact category, this approach is developed here for global warming, based on the radiative forcing concept. This case study demonstrates that the use of global warming potentials for a given time horizon to characterize greenhouse gas emissions leads to an inconsistency between the time frame chosen for the analysis and the time period covered by the LCA results. Dynamic LCA is applied to the US EPA LCA on renewable fuels, which compares the life cycle greenhouse gas emissions of different biofuels with fossil fuels including land-use change emissions. The comparison of the results obtained with both traditional and dynamic LCA approaches shows that the difference can be important enough to change the conclusions on whether or not a biofuel meets some given global warming reduction targets. © 2010 American Chemical Society.","container-title":"Environmental Science and Technology","DOI":"10.1021/es9030003","ISSN":"0013936X","issue":"8","note":"PMID: 20302334","page":"3169-3174","title":"Considering time in LCA: Dynamic LCA and its application to global warming impact assessments","volume":"44","author":[{"family":"Levasseur","given":"Annie"},{"family":"Lesage","given":"Pascal"},{"family":"Margni","given":"Manuele"},{"family":"Deschěnes","given":"Louise"},{"family":"Samson","given":"Réjean"}],"issued":{"date-parts":[["2010"]]}}}],"schema":"https://github.com/citation-style-language/schema/raw/master/csl-citation.json"} </w:instrText>
      </w:r>
      <w:r w:rsidR="008D4019" w:rsidRPr="00D16824">
        <w:rPr>
          <w:rFonts w:ascii="Calibri" w:eastAsia="Calibri" w:hAnsi="Calibri" w:cs="Calibri"/>
        </w:rPr>
        <w:fldChar w:fldCharType="separate"/>
      </w:r>
      <w:r w:rsidR="0043212B" w:rsidRPr="0043212B">
        <w:rPr>
          <w:rFonts w:ascii="Calibri" w:hAnsi="Calibri" w:cs="Calibri"/>
          <w:vertAlign w:val="superscript"/>
        </w:rPr>
        <w:t>1</w:t>
      </w:r>
      <w:r w:rsidR="008D4019" w:rsidRPr="00D16824">
        <w:rPr>
          <w:rFonts w:ascii="Calibri" w:eastAsia="Calibri" w:hAnsi="Calibri" w:cs="Calibri"/>
        </w:rPr>
        <w:fldChar w:fldCharType="end"/>
      </w:r>
      <w:r w:rsidR="008D4019" w:rsidRPr="00D16824">
        <w:rPr>
          <w:rFonts w:ascii="Calibri" w:eastAsia="Calibri" w:hAnsi="Calibri" w:cs="Calibri"/>
        </w:rPr>
        <w:t xml:space="preserve"> to estimate dynamic characterization factors for variable time horizons. With this method, the greenhouse gases emitted (or removed) </w:t>
      </w:r>
      <w:r w:rsidR="008D4019" w:rsidRPr="00A72EB0">
        <w:rPr>
          <w:rFonts w:ascii="Calibri" w:eastAsia="Calibri" w:hAnsi="Calibri" w:cs="Calibri"/>
          <w:i/>
          <w:iCs/>
        </w:rPr>
        <w:t>t</w:t>
      </w:r>
      <w:r w:rsidR="008D4019" w:rsidRPr="00A72EB0">
        <w:rPr>
          <w:rFonts w:ascii="Calibri" w:eastAsia="Calibri" w:hAnsi="Calibri" w:cs="Calibri"/>
        </w:rPr>
        <w:t xml:space="preserve"> </w:t>
      </w:r>
      <w:r w:rsidR="008D4019" w:rsidRPr="00D16824">
        <w:rPr>
          <w:rFonts w:ascii="Calibri" w:eastAsia="Calibri" w:hAnsi="Calibri" w:cs="Calibri"/>
        </w:rPr>
        <w:t xml:space="preserve">years after the initial deployment will only contribute to (or prevent) global warming </w:t>
      </w:r>
      <w:r w:rsidR="008D4019" w:rsidRPr="006062E9">
        <w:rPr>
          <w:rFonts w:ascii="Calibri" w:eastAsia="Calibri" w:hAnsi="Calibri" w:cs="Calibri"/>
        </w:rPr>
        <w:t xml:space="preserve">during a time horizon </w:t>
      </w:r>
      <m:oMath>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oMath>
      <w:r w:rsidR="008D4019" w:rsidRPr="006062E9">
        <w:rPr>
          <w:rFonts w:ascii="Calibri" w:eastAsia="Calibri" w:hAnsi="Calibri" w:cs="Calibri"/>
        </w:rPr>
        <w:t xml:space="preserve"> </w:t>
      </w:r>
      <w:r w:rsidR="008D4019" w:rsidRPr="00562ECF">
        <w:rPr>
          <w:rFonts w:ascii="Calibri" w:eastAsia="Calibri" w:hAnsi="Calibri" w:cs="Calibri"/>
        </w:rPr>
        <w:t xml:space="preserve">contained within the studied </w:t>
      </w:r>
      <w:r w:rsidR="008A4EC3" w:rsidRPr="00562ECF">
        <w:rPr>
          <w:rFonts w:ascii="Calibri" w:eastAsia="Calibri" w:hAnsi="Calibri" w:cs="Calibri"/>
        </w:rPr>
        <w:t xml:space="preserve">20-year time horizon </w:t>
      </w:r>
      <w:r w:rsidR="008D4019" w:rsidRPr="006062E9">
        <w:rPr>
          <w:rFonts w:ascii="Calibri" w:eastAsia="Calibri" w:hAnsi="Calibri" w:cs="Calibri"/>
        </w:rPr>
        <w:t>(</w:t>
      </w:r>
      <m:oMath>
        <m:r>
          <w:rPr>
            <w:rFonts w:ascii="Cambria Math" w:eastAsia="Calibri" w:hAnsi="Cambria Math" w:cs="Calibri"/>
          </w:rPr>
          <m:t>TH</m:t>
        </m:r>
      </m:oMath>
      <w:r w:rsidR="008D4019" w:rsidRPr="006062E9">
        <w:rPr>
          <w:rFonts w:ascii="Calibri" w:eastAsia="Calibri" w:hAnsi="Calibri" w:cs="Calibri"/>
        </w:rPr>
        <w:t xml:space="preserve">), estimated as </w:t>
      </w:r>
      <m:oMath>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r>
          <w:rPr>
            <w:rFonts w:ascii="Cambria Math" w:eastAsia="Calibri" w:hAnsi="Cambria Math" w:cs="Calibri"/>
          </w:rPr>
          <m:t>=TH-t</m:t>
        </m:r>
      </m:oMath>
      <w:r w:rsidR="008D4019" w:rsidRPr="006062E9">
        <w:rPr>
          <w:rFonts w:ascii="Calibri" w:eastAsia="Calibri" w:hAnsi="Calibri" w:cs="Calibri"/>
        </w:rPr>
        <w:t>.</w:t>
      </w:r>
      <w:r w:rsidR="008D4019" w:rsidRPr="00D16824">
        <w:rPr>
          <w:rFonts w:ascii="Calibri" w:eastAsia="Calibri" w:hAnsi="Calibri" w:cs="Calibri"/>
        </w:rPr>
        <w:t xml:space="preserve"> </w:t>
      </w:r>
    </w:p>
    <w:p w14:paraId="23B691B7" w14:textId="4CE0170A" w:rsidR="008D4019" w:rsidRPr="006D78A8" w:rsidRDefault="008D4019" w:rsidP="008D4019">
      <w:pPr>
        <w:spacing w:line="360" w:lineRule="auto"/>
        <w:jc w:val="both"/>
        <w:rPr>
          <w:rFonts w:ascii="Calibri" w:eastAsia="Calibri" w:hAnsi="Calibri" w:cs="Calibri"/>
        </w:rPr>
      </w:pPr>
      <m:oMath>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oMath>
      <w:r w:rsidRPr="006D78A8">
        <w:rPr>
          <w:rFonts w:ascii="Calibri" w:eastAsia="Calibri" w:hAnsi="Calibri" w:cs="Calibri"/>
        </w:rPr>
        <w:t xml:space="preserve"> is computed with </w:t>
      </w:r>
      <w:r w:rsidRPr="00E37DAF">
        <w:rPr>
          <w:rFonts w:ascii="Calibri" w:eastAsia="Calibri" w:hAnsi="Calibri" w:cs="Calibri"/>
        </w:rPr>
        <w:t xml:space="preserve">Equation </w:t>
      </w:r>
      <w:r w:rsidR="00E37DAF" w:rsidRPr="00E37DAF">
        <w:rPr>
          <w:rFonts w:ascii="Calibri" w:eastAsia="Calibri" w:hAnsi="Calibri" w:cs="Calibri"/>
        </w:rPr>
        <w:t>(</w:t>
      </w:r>
      <w:r w:rsidR="00E37DAF">
        <w:rPr>
          <w:rFonts w:ascii="Calibri" w:eastAsia="Calibri" w:hAnsi="Calibri" w:cs="Calibri"/>
        </w:rPr>
        <w:t>6)</w:t>
      </w:r>
      <w:r w:rsidRPr="006D78A8">
        <w:rPr>
          <w:rFonts w:ascii="Calibri" w:eastAsia="Calibri" w:hAnsi="Calibri" w:cs="Calibri"/>
        </w:rPr>
        <w:t xml:space="preserve"> as the ratio between the </w:t>
      </w:r>
      <w:r w:rsidRPr="004670DF">
        <w:rPr>
          <w:rFonts w:ascii="Calibri" w:eastAsia="Calibri" w:hAnsi="Calibri" w:cs="Calibri"/>
        </w:rPr>
        <w:t xml:space="preserve">absolute GWP of greenhouse gas </w:t>
      </w:r>
      <w:r w:rsidR="00FF734C" w:rsidRPr="004670DF">
        <w:rPr>
          <w:rFonts w:ascii="Calibri" w:eastAsia="Calibri" w:hAnsi="Calibri" w:cs="Calibri"/>
          <w:i/>
          <w:iCs/>
        </w:rPr>
        <w:t>s</w:t>
      </w:r>
      <w:r w:rsidRPr="004670DF">
        <w:rPr>
          <w:rFonts w:ascii="Calibri" w:eastAsia="Calibri" w:hAnsi="Calibri" w:cs="Calibri"/>
        </w:rPr>
        <w:t xml:space="preserve"> emitted or removed in year </w:t>
      </w:r>
      <w:r w:rsidRPr="004670DF">
        <w:rPr>
          <w:rFonts w:ascii="Calibri" w:eastAsia="Calibri" w:hAnsi="Calibri" w:cs="Calibri"/>
          <w:i/>
          <w:iCs/>
        </w:rPr>
        <w:t>t</w:t>
      </w:r>
      <w:r w:rsidRPr="004670DF">
        <w:rPr>
          <w:rFonts w:ascii="Calibri" w:eastAsia="Calibri" w:hAnsi="Calibri" w:cs="Calibri"/>
        </w:rPr>
        <w:t xml:space="preserve"> and quantified over period </w:t>
      </w:r>
      <m:oMath>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oMath>
      <w:r w:rsidRPr="006D78A8">
        <w:rPr>
          <w:rFonts w:ascii="Calibri" w:eastAsia="Calibri" w:hAnsi="Calibri" w:cs="Calibri"/>
        </w:rPr>
        <w:t xml:space="preserve"> (</w:t>
      </w:r>
      <m:oMath>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s,t</m:t>
            </m:r>
          </m:sub>
          <m:sup>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sup>
        </m:sSubSup>
      </m:oMath>
      <w:r w:rsidRPr="006D78A8">
        <w:rPr>
          <w:rFonts w:ascii="Calibri" w:eastAsia="Calibri" w:hAnsi="Calibri" w:cs="Calibri"/>
        </w:rPr>
        <w:t xml:space="preserve">, </w:t>
      </w:r>
      <w:r w:rsidRPr="00E37DAF">
        <w:rPr>
          <w:rFonts w:ascii="Calibri" w:eastAsia="Calibri" w:hAnsi="Calibri" w:cs="Calibri"/>
        </w:rPr>
        <w:t xml:space="preserve">Equation </w:t>
      </w:r>
      <w:r w:rsidR="00E37DAF" w:rsidRPr="00E37DAF">
        <w:rPr>
          <w:rFonts w:ascii="Calibri" w:eastAsia="Calibri" w:hAnsi="Calibri" w:cs="Calibri"/>
        </w:rPr>
        <w:t>(7)</w:t>
      </w:r>
      <w:r w:rsidRPr="00E37DAF">
        <w:rPr>
          <w:rFonts w:ascii="Calibri" w:eastAsia="Calibri" w:hAnsi="Calibri" w:cs="Calibri"/>
        </w:rPr>
        <w:t>),</w:t>
      </w:r>
      <w:r w:rsidRPr="006D78A8">
        <w:rPr>
          <w:rFonts w:ascii="Calibri" w:eastAsia="Calibri" w:hAnsi="Calibri" w:cs="Calibri"/>
        </w:rPr>
        <w:t xml:space="preserve"> and the absolute GWP of CO</w:t>
      </w:r>
      <w:r w:rsidRPr="006D78A8">
        <w:rPr>
          <w:rFonts w:ascii="Calibri" w:eastAsia="Calibri" w:hAnsi="Calibri" w:cs="Calibri"/>
          <w:vertAlign w:val="subscript"/>
        </w:rPr>
        <w:t>2</w:t>
      </w:r>
      <w:r w:rsidRPr="006D78A8">
        <w:rPr>
          <w:rFonts w:ascii="Calibri" w:eastAsia="Calibri" w:hAnsi="Calibri" w:cs="Calibri"/>
        </w:rPr>
        <w:t xml:space="preserve"> over </w:t>
      </w:r>
      <w:r w:rsidRPr="00562ECF">
        <w:rPr>
          <w:rFonts w:ascii="Calibri" w:eastAsia="Calibri" w:hAnsi="Calibri" w:cs="Calibri"/>
        </w:rPr>
        <w:t xml:space="preserve">a </w:t>
      </w:r>
      <w:r w:rsidR="003970D2" w:rsidRPr="00562ECF">
        <w:rPr>
          <w:rFonts w:ascii="Calibri" w:eastAsia="Calibri" w:hAnsi="Calibri" w:cs="Calibri"/>
        </w:rPr>
        <w:t xml:space="preserve">20-year period </w:t>
      </w:r>
      <w:r w:rsidRPr="008B7C02">
        <w:rPr>
          <w:rFonts w:ascii="Calibri" w:eastAsia="Calibri" w:hAnsi="Calibri" w:cs="Calibri"/>
        </w:rPr>
        <w:t>(</w:t>
      </w:r>
      <m:oMath>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sub>
          <m:sup>
            <m:r>
              <w:rPr>
                <w:rFonts w:ascii="Cambria Math" w:eastAsia="Calibri" w:hAnsi="Cambria Math" w:cs="Calibri"/>
              </w:rPr>
              <m:t>TH</m:t>
            </m:r>
          </m:sup>
        </m:sSubSup>
      </m:oMath>
      <w:r w:rsidRPr="008B7C02">
        <w:rPr>
          <w:rFonts w:ascii="Calibri" w:eastAsia="Calibri" w:hAnsi="Calibri" w:cs="Calibri"/>
        </w:rPr>
        <w:t xml:space="preserve">, Equation </w:t>
      </w:r>
      <w:r w:rsidR="00AE533B" w:rsidRPr="008B7C02">
        <w:rPr>
          <w:rFonts w:ascii="Calibri" w:eastAsia="Calibri" w:hAnsi="Calibri" w:cs="Calibri"/>
        </w:rPr>
        <w:t>(8)</w:t>
      </w:r>
      <w:r w:rsidRPr="008B7C02">
        <w:rPr>
          <w:rFonts w:ascii="Calibri" w:eastAsia="Calibri" w:hAnsi="Calibri" w:cs="Calibri"/>
        </w:rPr>
        <w:t xml:space="preserve">), both expressed in </w:t>
      </w:r>
      <w:proofErr w:type="spellStart"/>
      <w:r w:rsidRPr="008B7C02">
        <w:rPr>
          <w:rFonts w:ascii="Calibri" w:eastAsia="Calibri" w:hAnsi="Calibri" w:cs="Calibri"/>
        </w:rPr>
        <w:t>W·year</w:t>
      </w:r>
      <w:proofErr w:type="spellEnd"/>
      <w:r w:rsidRPr="008B7C02">
        <w:rPr>
          <w:rFonts w:ascii="Calibri" w:eastAsia="Calibri" w:hAnsi="Calibri" w:cs="Calibri"/>
        </w:rPr>
        <w:t>/m</w:t>
      </w:r>
      <w:r w:rsidRPr="008B7C02">
        <w:rPr>
          <w:rFonts w:ascii="Calibri" w:eastAsia="Calibri" w:hAnsi="Calibri" w:cs="Calibri"/>
          <w:vertAlign w:val="superscript"/>
        </w:rPr>
        <w:t>2</w:t>
      </w:r>
      <w:r w:rsidRPr="008B7C02">
        <w:rPr>
          <w:rFonts w:ascii="Calibri" w:eastAsia="Calibri" w:hAnsi="Calibri" w:cs="Calibri"/>
        </w:rPr>
        <w:t>/kg. These are calculated with the radiative forcing of the specific greenhouse gas (</w:t>
      </w:r>
      <m:oMath>
        <m:r>
          <w:rPr>
            <w:rFonts w:ascii="Cambria Math" w:eastAsia="Calibri" w:hAnsi="Cambria Math" w:cs="Calibri"/>
          </w:rPr>
          <m:t>R</m:t>
        </m:r>
        <m:sSub>
          <m:sSubPr>
            <m:ctrlPr>
              <w:rPr>
                <w:rFonts w:ascii="Cambria Math" w:eastAsia="Calibri" w:hAnsi="Cambria Math" w:cs="Calibri"/>
                <w:i/>
              </w:rPr>
            </m:ctrlPr>
          </m:sSubPr>
          <m:e>
            <m:r>
              <w:rPr>
                <w:rFonts w:ascii="Cambria Math" w:eastAsia="Calibri" w:hAnsi="Cambria Math" w:cs="Calibri"/>
              </w:rPr>
              <m:t>F</m:t>
            </m:r>
          </m:e>
          <m:sub>
            <m:r>
              <w:rPr>
                <w:rFonts w:ascii="Cambria Math" w:eastAsia="Calibri" w:hAnsi="Cambria Math" w:cs="Calibri"/>
              </w:rPr>
              <m:t>s</m:t>
            </m:r>
          </m:sub>
        </m:sSub>
      </m:oMath>
      <w:r w:rsidRPr="008B7C02">
        <w:rPr>
          <w:rFonts w:ascii="Calibri" w:eastAsia="Calibri" w:hAnsi="Calibri" w:cs="Calibri"/>
        </w:rPr>
        <w:t>, in W/m</w:t>
      </w:r>
      <w:r w:rsidRPr="008B7C02">
        <w:rPr>
          <w:rFonts w:ascii="Calibri" w:eastAsia="Calibri" w:hAnsi="Calibri" w:cs="Calibri"/>
          <w:vertAlign w:val="superscript"/>
        </w:rPr>
        <w:t>2</w:t>
      </w:r>
      <w:r w:rsidRPr="008B7C02">
        <w:rPr>
          <w:rFonts w:ascii="Calibri" w:eastAsia="Calibri" w:hAnsi="Calibri" w:cs="Calibri"/>
        </w:rPr>
        <w:t xml:space="preserve">/kg, taken from </w:t>
      </w:r>
      <w:r w:rsidRPr="008B7C02">
        <w:rPr>
          <w:rFonts w:ascii="Calibri" w:eastAsia="Calibri" w:hAnsi="Calibri" w:cs="Calibri"/>
        </w:rPr>
        <w:fldChar w:fldCharType="begin" w:fldLock="1"/>
      </w:r>
      <w:r w:rsidR="0043212B">
        <w:rPr>
          <w:rFonts w:ascii="Calibri" w:eastAsia="Calibri" w:hAnsi="Calibri" w:cs="Calibri"/>
        </w:rPr>
        <w:instrText xml:space="preserve"> ADDIN ZOTERO_ITEM CSL_CITATION {"citationID":"pMYkd6tN","properties":{"formattedCitation":"\\super 2\\nosupersub{}","plainCitation":"2","noteIndex":0},"citationItems":[{"id":2850,"uris":["http://www.mendeley.com/documents/?uuid=6e75558e-4d4a-4857-9be6-b9972d5d2ae6","http://zotero.org/users/14213812/items/RGS73PRP"],"itemData":{"id":2850,"type":"chapter","abstract":"Detailed info on correction to make 7SM 7.SM.1.3.1 5:41 Replace \"contrails, aviation induced cirrus aerosols,\" with \"contrails and aviation-induced cirrus, aerosols,\" 7SM 7.SM.1.3.1 6.5 Replace \"ACCMIP\" with \"AeroCom\" 7SM 7.SM.1.3.1 6.13 to 6.16 Delete the sentence \"Newer CMIP6 model results were not used as fewer model results are available and the complexity of aerosol schemes and internal mixing in these models makes attribution of aerosol forcing to precursors more difficult than in CMIP5-era models. » 7SM 7.SM.1.3.1 6:13 Replace \"Newer CMIP6 model results were not used as fewer model results are available and the complexity of aerosol schemes and internal mixing in these models makes attribution of aerosol forcing to precursors more difficult than in CMIP5-era models\" by \"Section 7.SM.1.3.2 explains the rationale for choosing these coefficients.\" 7SM 7.SM.1.3.2 7:53 After sentence \"…to generate the time series of ERFari.\" insert \"These forcing contributions are based on modelling results from Myhre et al. (2013a), with scalings and uncertainty ranges for each component selected such that the total ERFari assessment of-0.3 ± 0.3 W m-2 is preserved. These estimates of per-species ERFari are independent of the headline assessments in Chapter 6, and differ particularly for BC (Section 6.4.2) where total BC ERFari is assessed to be +0.145 W m-2. The emulators in Chapter 7 are run with more positive ERF values for BC and more negative values for OC, SO2 and NH3 to preserve the assessed uncertainty range for total ERFari while maintaining a Gaussian uncertainty distribution for the forcing contribution from each species. As many aerosol precursors are co-emitted, the stronger best-estimate contributions per species used here offset each other and the time evolution and present-day values of total ERFari are broadly consistent between Chapter 6 and Chapter 7. It should be reiterated here that the Chapter 7 values are not per-species assessments of ERFari and are used for the calibration and projection of climate in emulators.\" 7SM 7.SM.1.4 8:14 Replace \"4.36\" by \"4.35\" 7SM 7.SM.1.4 10:4 Replace \"4.36\" by \"4.35\" 7SM 7.SM.2.2 11:36 Insert \"SPM Figure 4b,\" before \"Chapter 1\" 7SM 7.SM.2.4 12:53 Insert new subsection 7.SM.2.4: \"7.SM.2.4 Supporting information for SPM Figure 4b A similar exercise was performed for the anthropogenic contributions to future warming shown in SPM Fig. 4b. As no natural forcing is included in this exercise, a long pre-industrial spin-up is not required and only the period 1750-2100 was run using the constrained two-layer model. As in Section 7.SM.2.3, 2,237 ensemble members are used, sampling the full assessed uncertainty ranges in effective radiative forcing and climate response. In these simulations, the baseline case is all anthropogenic forcing, with one component removed at a time and the differences in warming reported. Contributions to future warming are reported for CO2, other non-CO2","container-title":"Climate Change 2021: The Physical Science Basis. Contribution of Working Group I to the Sixth Assessment Report of the Intergovernmental Panel on Climate Change","title":"The Earth's energy budget, climate feedbacks and climate sensitivity-supplementary material","author":[{"family":"Smith","given":"C."},{"family":"Nicholls","given":"Z. R. J."},{"family":"Armour","given":"K."},{"family":"Collins","given":"W."},{"family":"Forster","given":"P."},{"family":"Meinshausen","given":"M."},{"family":"Palmer","given":"M. D."},{"family":"Watanabe","given":"M."}],"issued":{"date-parts":[["2021"]]}}}],"schema":"https://github.com/citation-style-language/schema/raw/master/csl-citation.json"} </w:instrText>
      </w:r>
      <w:r w:rsidRPr="008B7C02">
        <w:rPr>
          <w:rFonts w:ascii="Calibri" w:eastAsia="Calibri" w:hAnsi="Calibri" w:cs="Calibri"/>
        </w:rPr>
        <w:fldChar w:fldCharType="separate"/>
      </w:r>
      <w:r w:rsidR="0043212B" w:rsidRPr="0043212B">
        <w:rPr>
          <w:rFonts w:ascii="Calibri" w:hAnsi="Calibri" w:cs="Calibri"/>
          <w:vertAlign w:val="superscript"/>
        </w:rPr>
        <w:t>2</w:t>
      </w:r>
      <w:r w:rsidRPr="008B7C02">
        <w:rPr>
          <w:rFonts w:ascii="Calibri" w:eastAsia="Calibri" w:hAnsi="Calibri" w:cs="Calibri"/>
        </w:rPr>
        <w:fldChar w:fldCharType="end"/>
      </w:r>
      <w:r w:rsidRPr="008B7C02">
        <w:rPr>
          <w:rFonts w:ascii="Calibri" w:eastAsia="Calibri" w:hAnsi="Calibri" w:cs="Calibri"/>
        </w:rPr>
        <w:t xml:space="preserve">) and the </w:t>
      </w:r>
      <w:r w:rsidR="00014F20" w:rsidRPr="008B7C02">
        <w:rPr>
          <w:rFonts w:ascii="Calibri" w:eastAsia="Calibri" w:hAnsi="Calibri" w:cs="Calibri"/>
        </w:rPr>
        <w:t>share</w:t>
      </w:r>
      <w:r w:rsidRPr="008B7C02">
        <w:rPr>
          <w:rFonts w:ascii="Calibri" w:eastAsia="Calibri" w:hAnsi="Calibri" w:cs="Calibri"/>
        </w:rPr>
        <w:t xml:space="preserve"> of CO</w:t>
      </w:r>
      <w:r w:rsidRPr="008B7C02">
        <w:rPr>
          <w:rFonts w:ascii="Calibri" w:eastAsia="Calibri" w:hAnsi="Calibri" w:cs="Calibri"/>
          <w:vertAlign w:val="subscript"/>
        </w:rPr>
        <w:t>2</w:t>
      </w:r>
      <w:r w:rsidRPr="008B7C02">
        <w:rPr>
          <w:rFonts w:ascii="Calibri" w:eastAsia="Calibri" w:hAnsi="Calibri" w:cs="Calibri"/>
        </w:rPr>
        <w:t xml:space="preserve"> (Equation</w:t>
      </w:r>
      <w:r w:rsidRPr="00F4378E">
        <w:rPr>
          <w:rFonts w:ascii="Calibri" w:eastAsia="Calibri" w:hAnsi="Calibri" w:cs="Calibri"/>
        </w:rPr>
        <w:t xml:space="preserve"> </w:t>
      </w:r>
      <w:r w:rsidR="003F0D44" w:rsidRPr="00F4378E">
        <w:rPr>
          <w:rFonts w:ascii="Calibri" w:eastAsia="Calibri" w:hAnsi="Calibri" w:cs="Calibri"/>
        </w:rPr>
        <w:t>(9)</w:t>
      </w:r>
      <w:r w:rsidRPr="00F4378E">
        <w:rPr>
          <w:rFonts w:ascii="Calibri" w:eastAsia="Calibri" w:hAnsi="Calibri" w:cs="Calibri"/>
        </w:rPr>
        <w:t xml:space="preserve">) and other greenhouse gases (Equation </w:t>
      </w:r>
      <w:r w:rsidR="003F0D44" w:rsidRPr="00F4378E">
        <w:rPr>
          <w:rFonts w:ascii="Calibri" w:eastAsia="Calibri" w:hAnsi="Calibri" w:cs="Calibri"/>
        </w:rPr>
        <w:t>(10)</w:t>
      </w:r>
      <w:r w:rsidRPr="00F4378E">
        <w:rPr>
          <w:rFonts w:ascii="Calibri" w:eastAsia="Calibri" w:hAnsi="Calibri" w:cs="Calibri"/>
        </w:rPr>
        <w:t>)</w:t>
      </w:r>
      <w:r w:rsidR="00F93AEA" w:rsidRPr="00F4378E">
        <w:rPr>
          <w:rFonts w:ascii="Calibri" w:eastAsia="Calibri" w:hAnsi="Calibri" w:cs="Calibri"/>
        </w:rPr>
        <w:t xml:space="preserve"> </w:t>
      </w:r>
      <w:r w:rsidR="00014F20" w:rsidRPr="00F4378E">
        <w:rPr>
          <w:rFonts w:ascii="Calibri" w:eastAsia="Calibri" w:hAnsi="Calibri" w:cs="Calibri"/>
        </w:rPr>
        <w:t xml:space="preserve">that remains in </w:t>
      </w:r>
      <w:r w:rsidR="00E545ED" w:rsidRPr="00F4378E">
        <w:rPr>
          <w:rFonts w:ascii="Calibri" w:eastAsia="Calibri" w:hAnsi="Calibri" w:cs="Calibri"/>
        </w:rPr>
        <w:t xml:space="preserve">the atmosphere </w:t>
      </w:r>
      <m:oMath>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oMath>
      <w:r w:rsidR="00E545ED" w:rsidRPr="00F4378E">
        <w:rPr>
          <w:rFonts w:ascii="Calibri" w:eastAsia="Calibri" w:hAnsi="Calibri" w:cs="Calibri"/>
        </w:rPr>
        <w:t xml:space="preserve"> </w:t>
      </w:r>
      <w:r w:rsidR="00710FFB" w:rsidRPr="00F4378E">
        <w:rPr>
          <w:rFonts w:ascii="Calibri" w:eastAsia="Calibri" w:hAnsi="Calibri" w:cs="Calibri"/>
        </w:rPr>
        <w:t xml:space="preserve">years after a pulse emission </w:t>
      </w:r>
      <w:r w:rsidR="00E545ED" w:rsidRPr="00F4378E">
        <w:rPr>
          <w:rFonts w:ascii="Calibri" w:eastAsia="Calibri" w:hAnsi="Calibri" w:cs="Calibri"/>
        </w:rPr>
        <w:t>(</w:t>
      </w:r>
      <m:oMath>
        <m:sSub>
          <m:sSubPr>
            <m:ctrlPr>
              <w:rPr>
                <w:rFonts w:ascii="Cambria Math" w:eastAsia="Calibri" w:hAnsi="Cambria Math" w:cs="Calibri"/>
                <w:i/>
              </w:rPr>
            </m:ctrlPr>
          </m:sSubPr>
          <m:e>
            <m:r>
              <w:rPr>
                <w:rFonts w:ascii="Cambria Math" w:eastAsia="Calibri" w:hAnsi="Cambria Math" w:cs="Calibri"/>
              </w:rPr>
              <m:t>C</m:t>
            </m:r>
          </m:e>
          <m:sub>
            <m:r>
              <w:rPr>
                <w:rFonts w:ascii="Cambria Math" w:eastAsia="Calibri" w:hAnsi="Cambria Math" w:cs="Calibri"/>
              </w:rPr>
              <m:t>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sub>
        </m:sSub>
      </m:oMath>
      <w:r w:rsidR="00E545ED" w:rsidRPr="00F4378E">
        <w:rPr>
          <w:rFonts w:ascii="Calibri" w:eastAsia="Calibri" w:hAnsi="Calibri" w:cs="Calibri"/>
        </w:rPr>
        <w:t>)</w:t>
      </w:r>
      <w:r w:rsidRPr="00F4378E">
        <w:rPr>
          <w:rFonts w:ascii="Calibri" w:eastAsia="Calibri" w:hAnsi="Calibri" w:cs="Calibri"/>
        </w:rPr>
        <w:t xml:space="preserve">. The parameters needed to estimate </w:t>
      </w:r>
      <m:oMath>
        <m:sSub>
          <m:sSubPr>
            <m:ctrlPr>
              <w:rPr>
                <w:rFonts w:ascii="Cambria Math" w:eastAsia="Calibri" w:hAnsi="Cambria Math" w:cs="Calibri"/>
                <w:i/>
              </w:rPr>
            </m:ctrlPr>
          </m:sSubPr>
          <m:e>
            <m:r>
              <w:rPr>
                <w:rFonts w:ascii="Cambria Math" w:eastAsia="Calibri" w:hAnsi="Cambria Math" w:cs="Calibri"/>
              </w:rPr>
              <m:t>C</m:t>
            </m:r>
          </m:e>
          <m:sub>
            <m:r>
              <w:rPr>
                <w:rFonts w:ascii="Cambria Math" w:eastAsia="Calibri" w:hAnsi="Cambria Math" w:cs="Calibri"/>
              </w:rPr>
              <m:t>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sub>
        </m:sSub>
      </m:oMath>
      <w:r w:rsidR="00273DF6" w:rsidRPr="00F4378E">
        <w:rPr>
          <w:rFonts w:ascii="Calibri" w:eastAsia="Calibri" w:hAnsi="Calibri" w:cs="Calibri"/>
        </w:rPr>
        <w:t xml:space="preserve"> (</w:t>
      </w:r>
      <m:oMath>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0</m:t>
            </m:r>
          </m:sub>
        </m:sSub>
      </m:oMath>
      <w:r w:rsidR="00273DF6" w:rsidRPr="00F4378E">
        <w:rPr>
          <w:rFonts w:ascii="Calibri" w:eastAsia="Calibri" w:hAnsi="Calibri" w:cs="Calibri"/>
        </w:rPr>
        <w:t xml:space="preserve">, </w:t>
      </w:r>
      <m:oMath>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g</m:t>
            </m:r>
          </m:sub>
        </m:sSub>
      </m:oMath>
      <w:r w:rsidR="00273DF6" w:rsidRPr="00F4378E">
        <w:rPr>
          <w:rFonts w:ascii="Calibri" w:eastAsia="Calibri" w:hAnsi="Calibri" w:cs="Calibri"/>
        </w:rPr>
        <w:t>,</w:t>
      </w:r>
      <w:r w:rsidR="00560827" w:rsidRPr="00F4378E">
        <w:rPr>
          <w:rFonts w:ascii="Calibri" w:eastAsia="Calibri" w:hAnsi="Calibri" w:cs="Calibri"/>
        </w:rPr>
        <w:t xml:space="preserve"> </w:t>
      </w:r>
      <m:oMath>
        <m:sSub>
          <m:sSubPr>
            <m:ctrlPr>
              <w:rPr>
                <w:rFonts w:ascii="Cambria Math" w:eastAsia="Yu Mincho" w:hAnsi="Cambria Math" w:cs="Times New Roman"/>
                <w:i/>
              </w:rPr>
            </m:ctrlPr>
          </m:sSubPr>
          <m:e>
            <m:r>
              <w:rPr>
                <w:rFonts w:ascii="Cambria Math" w:eastAsia="Yu Mincho" w:hAnsi="Cambria Math" w:cs="Times New Roman"/>
              </w:rPr>
              <m:t>τ</m:t>
            </m:r>
          </m:e>
          <m:sub>
            <m:r>
              <w:rPr>
                <w:rFonts w:ascii="Cambria Math" w:eastAsia="Yu Mincho" w:hAnsi="Cambria Math" w:cs="Times New Roman"/>
              </w:rPr>
              <m:t>g</m:t>
            </m:r>
          </m:sub>
        </m:sSub>
      </m:oMath>
      <w:r w:rsidR="00273DF6" w:rsidRPr="00F4378E">
        <w:rPr>
          <w:rFonts w:ascii="Calibri" w:eastAsia="Calibri" w:hAnsi="Calibri" w:cs="Calibri"/>
        </w:rPr>
        <w:t xml:space="preserve"> and </w:t>
      </w:r>
      <m:oMath>
        <m:sSub>
          <m:sSubPr>
            <m:ctrlPr>
              <w:rPr>
                <w:rFonts w:ascii="Cambria Math" w:eastAsia="Yu Mincho" w:hAnsi="Cambria Math" w:cs="Times New Roman"/>
                <w:i/>
              </w:rPr>
            </m:ctrlPr>
          </m:sSubPr>
          <m:e>
            <m:r>
              <w:rPr>
                <w:rFonts w:ascii="Cambria Math" w:eastAsia="Yu Mincho" w:hAnsi="Cambria Math" w:cs="Times New Roman"/>
              </w:rPr>
              <m:t>τ</m:t>
            </m:r>
          </m:e>
          <m:sub>
            <m:r>
              <w:rPr>
                <w:rFonts w:ascii="Cambria Math" w:eastAsia="Yu Mincho" w:hAnsi="Cambria Math" w:cs="Times New Roman"/>
              </w:rPr>
              <m:t>s</m:t>
            </m:r>
          </m:sub>
        </m:sSub>
      </m:oMath>
      <w:r w:rsidR="00273DF6" w:rsidRPr="00F4378E">
        <w:rPr>
          <w:rFonts w:ascii="Calibri" w:eastAsia="Calibri" w:hAnsi="Calibri" w:cs="Calibri"/>
        </w:rPr>
        <w:t>)</w:t>
      </w:r>
      <w:r w:rsidRPr="00F4378E">
        <w:rPr>
          <w:rFonts w:ascii="Calibri" w:eastAsia="Calibri" w:hAnsi="Calibri" w:cs="Calibri"/>
        </w:rPr>
        <w:t xml:space="preserve"> are taken from Millar et al.</w:t>
      </w:r>
      <w:r w:rsidRPr="006D78A8">
        <w:rPr>
          <w:rFonts w:ascii="Calibri" w:eastAsia="Calibri" w:hAnsi="Calibri" w:cs="Calibri"/>
        </w:rPr>
        <w:fldChar w:fldCharType="begin" w:fldLock="1"/>
      </w:r>
      <w:r w:rsidR="0043212B">
        <w:rPr>
          <w:rFonts w:ascii="Calibri" w:eastAsia="Calibri" w:hAnsi="Calibri" w:cs="Calibri"/>
        </w:rPr>
        <w:instrText xml:space="preserve"> ADDIN ZOTERO_ITEM CSL_CITATION {"citationID":"jxsKOEDW","properties":{"formattedCitation":"\\super 3\\nosupersub{}","plainCitation":"3","noteIndex":0},"citationItems":[{"id":2848,"uris":["http://www.mendeley.com/documents/?uuid=fe980e40-b299-42b2-805f-159328f724a6","http://zotero.org/users/14213812/items/2TXY2CXV"],"itemData":{"id":2848,"type":"article-journal","abstract":"Projections of the response to anthropogenic emission scenarios, evaluation of some greenhouse gas metrics, and estimates of the social cost of carbon often require a simple model that links emissions of carbon dioxide (CO2) to atmospheric concentrations and global temperature changes. An essential requirement of such a model is to reproduce typical global surface temperature and atmospheric CO2 responses displayed by more complex Earth system models (ESMs) under a range of emission scenarios, as well as an ability to sample the range of ESM response in a transparent, accessible and reproducible form. Here we adapt the simple model of the Intergovernmental Panel on Climate Change 5th Assessment Report (IPCC AR5) to explicitly represent the state dependence of the CO2 airborne fraction. Our adapted model (FAIR) reproduces the range of behaviour shown in full and intermediate complexity ESMs under several idealised carbon pulse and exponential concentration increase experiments. We find that the inclusion of a linear increase in 100-year integrated airborne fraction with cumulative carbon uptake and global temperature change substantially improves the representation of the response of the climate system to CO2 on a range of timescales and under a range of experimental designs.","container-title":"Atmospheric Chemistry and Physics","DOI":"10.5194/acp-17-7213-2017","ISSN":"16807324","issue":"11","page":"7213-7228","title":"A modified impulse-response representation of the global near-surface air temperature and atmospheric concentration response to carbon dioxide emissions","volume":"17","author":[{"family":"Millar","given":"J. Richard"},{"family":"Nicholls","given":"Zebedee R."},{"family":"Friedlingstein","given":"Pierre"},{"family":"Allen","given":"Myles R."}],"issued":{"date-parts":[["2017"]]}}}],"schema":"https://github.com/citation-style-language/schema/raw/master/csl-citation.json"} </w:instrText>
      </w:r>
      <w:r w:rsidRPr="006D78A8">
        <w:rPr>
          <w:rFonts w:ascii="Calibri" w:eastAsia="Calibri" w:hAnsi="Calibri" w:cs="Calibri"/>
        </w:rPr>
        <w:fldChar w:fldCharType="separate"/>
      </w:r>
      <w:r w:rsidR="0043212B" w:rsidRPr="0043212B">
        <w:rPr>
          <w:rFonts w:ascii="Calibri" w:hAnsi="Calibri" w:cs="Calibri"/>
          <w:vertAlign w:val="superscript"/>
        </w:rPr>
        <w:t>3</w:t>
      </w:r>
      <w:r w:rsidRPr="006D78A8">
        <w:rPr>
          <w:rFonts w:ascii="Calibri" w:eastAsia="Calibri" w:hAnsi="Calibri" w:cs="Calibri"/>
        </w:rPr>
        <w:fldChar w:fldCharType="end"/>
      </w:r>
      <w:r w:rsidRPr="006D78A8">
        <w:rPr>
          <w:rFonts w:ascii="Calibri" w:eastAsia="Calibri" w:hAnsi="Calibri" w:cs="Calibri"/>
        </w:rPr>
        <w:t xml:space="preserve"> </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5"/>
        <w:gridCol w:w="573"/>
      </w:tblGrid>
      <w:tr w:rsidR="00B170C8" w:rsidRPr="00B170C8" w14:paraId="03EA0394" w14:textId="77777777" w:rsidTr="005B3951">
        <w:tc>
          <w:tcPr>
            <w:tcW w:w="7989" w:type="dxa"/>
          </w:tcPr>
          <w:p w14:paraId="19CAAD62" w14:textId="3010DD1A" w:rsidR="008D4019" w:rsidRPr="00AE533B" w:rsidRDefault="008D4019" w:rsidP="007A6892">
            <w:pPr>
              <w:spacing w:line="360" w:lineRule="auto"/>
              <w:jc w:val="center"/>
              <w:rPr>
                <w:rFonts w:ascii="Calibri" w:eastAsia="Calibri" w:hAnsi="Calibri" w:cs="Calibri"/>
              </w:rPr>
            </w:pPr>
            <m:oMathPara>
              <m:oMath>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r>
                  <w:rPr>
                    <w:rFonts w:ascii="Cambria Math" w:eastAsia="Calibri" w:hAnsi="Cambria Math" w:cs="Calibri"/>
                  </w:rPr>
                  <m:t>=</m:t>
                </m:r>
                <m:f>
                  <m:fPr>
                    <m:ctrlPr>
                      <w:rPr>
                        <w:rFonts w:ascii="Cambria Math" w:eastAsia="Calibri" w:hAnsi="Cambria Math" w:cs="Calibri"/>
                        <w:i/>
                      </w:rPr>
                    </m:ctrlPr>
                  </m:fPr>
                  <m:num>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s,t</m:t>
                        </m:r>
                      </m:sub>
                      <m:sup>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sup>
                    </m:sSubSup>
                  </m:num>
                  <m:den>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sub>
                      <m:sup>
                        <m:r>
                          <w:rPr>
                            <w:rFonts w:ascii="Cambria Math" w:eastAsia="Calibri" w:hAnsi="Cambria Math" w:cs="Calibri"/>
                          </w:rPr>
                          <m:t>TH</m:t>
                        </m:r>
                      </m:sup>
                    </m:sSubSup>
                  </m:den>
                </m:f>
                <m:r>
                  <w:rPr>
                    <w:rFonts w:ascii="Cambria Math" w:eastAsia="Calibri" w:hAnsi="Cambria Math" w:cs="Calibri"/>
                  </w:rPr>
                  <m:t xml:space="preserve">   ∀ s∈J, t∈T </m:t>
                </m:r>
              </m:oMath>
            </m:oMathPara>
          </w:p>
        </w:tc>
        <w:tc>
          <w:tcPr>
            <w:tcW w:w="569" w:type="dxa"/>
          </w:tcPr>
          <w:p w14:paraId="0F6A3749" w14:textId="77777777" w:rsidR="008D4019" w:rsidRPr="00AE533B" w:rsidRDefault="008D4019" w:rsidP="007A6892">
            <w:pPr>
              <w:spacing w:line="360" w:lineRule="auto"/>
              <w:jc w:val="center"/>
              <w:rPr>
                <w:sz w:val="10"/>
                <w:szCs w:val="10"/>
              </w:rPr>
            </w:pPr>
          </w:p>
          <w:p w14:paraId="78D7A536" w14:textId="0C58E6BD" w:rsidR="008D4019" w:rsidRPr="00AE533B" w:rsidRDefault="008D4019" w:rsidP="007A6892">
            <w:pPr>
              <w:spacing w:line="360" w:lineRule="auto"/>
              <w:jc w:val="center"/>
            </w:pPr>
            <w:r w:rsidRPr="00AE533B">
              <w:t>(</w:t>
            </w:r>
            <w:r w:rsidR="004E3601" w:rsidRPr="00AE533B">
              <w:t>6</w:t>
            </w:r>
            <w:r w:rsidRPr="00AE533B">
              <w:t>)</w:t>
            </w:r>
          </w:p>
        </w:tc>
      </w:tr>
      <w:tr w:rsidR="00B170C8" w:rsidRPr="00B170C8" w14:paraId="62836C84" w14:textId="77777777" w:rsidTr="005B3951">
        <w:tc>
          <w:tcPr>
            <w:tcW w:w="7989" w:type="dxa"/>
          </w:tcPr>
          <w:p w14:paraId="4397FB17" w14:textId="655ED5A9" w:rsidR="008D4019" w:rsidRPr="00AE533B" w:rsidRDefault="008D4019" w:rsidP="007A6892">
            <w:pPr>
              <w:spacing w:line="360" w:lineRule="auto"/>
              <w:jc w:val="center"/>
              <w:rPr>
                <w:rFonts w:ascii="Calibri" w:eastAsia="Yu Mincho" w:hAnsi="Calibri" w:cs="Times New Roman"/>
              </w:rPr>
            </w:pPr>
            <m:oMathPara>
              <m:oMath>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s,t</m:t>
                    </m:r>
                  </m:sub>
                  <m:sup>
                    <m:r>
                      <w:rPr>
                        <w:rFonts w:ascii="Cambria Math" w:eastAsia="Calibri" w:hAnsi="Cambria Math" w:cs="Calibri"/>
                      </w:rPr>
                      <m:t>T</m:t>
                    </m:r>
                    <m:sSup>
                      <m:sSupPr>
                        <m:ctrlPr>
                          <w:rPr>
                            <w:rFonts w:ascii="Cambria Math" w:eastAsia="Calibri" w:hAnsi="Cambria Math" w:cs="Calibri"/>
                            <w:i/>
                          </w:rPr>
                        </m:ctrlPr>
                      </m:sSupPr>
                      <m:e>
                        <m:r>
                          <w:rPr>
                            <w:rFonts w:ascii="Cambria Math" w:eastAsia="Calibri" w:hAnsi="Cambria Math" w:cs="Calibri"/>
                          </w:rPr>
                          <m:t>H</m:t>
                        </m:r>
                      </m:e>
                      <m:sup>
                        <m:r>
                          <w:rPr>
                            <w:rFonts w:ascii="Cambria Math" w:eastAsia="Calibri" w:hAnsi="Cambria Math" w:cs="Calibri"/>
                          </w:rPr>
                          <m:t>'</m:t>
                        </m:r>
                      </m:sup>
                    </m:sSup>
                  </m:sup>
                </m:sSubSup>
                <m:r>
                  <w:rPr>
                    <w:rFonts w:ascii="Cambria Math" w:eastAsia="Calibri" w:hAnsi="Cambria Math" w:cs="Calibri"/>
                  </w:rPr>
                  <m:t>=</m:t>
                </m:r>
                <m:nary>
                  <m:naryPr>
                    <m:limLoc m:val="subSup"/>
                    <m:ctrlPr>
                      <w:rPr>
                        <w:rFonts w:ascii="Cambria Math" w:eastAsia="Calibri" w:hAnsi="Cambria Math" w:cs="Calibri"/>
                        <w:i/>
                      </w:rPr>
                    </m:ctrlPr>
                  </m:naryPr>
                  <m:sub>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=0</m:t>
                    </m:r>
                  </m:sub>
                  <m:sup>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=TH-t</m:t>
                    </m:r>
                  </m:sup>
                  <m:e>
                    <m:r>
                      <w:rPr>
                        <w:rFonts w:ascii="Cambria Math" w:eastAsia="Calibri" w:hAnsi="Cambria Math" w:cs="Calibri"/>
                      </w:rPr>
                      <m:t>R</m:t>
                    </m:r>
                    <m:sSub>
                      <m:sSubPr>
                        <m:ctrlPr>
                          <w:rPr>
                            <w:rFonts w:ascii="Cambria Math" w:eastAsia="Calibri" w:hAnsi="Cambria Math" w:cs="Calibri"/>
                            <w:i/>
                          </w:rPr>
                        </m:ctrlPr>
                      </m:sSubPr>
                      <m:e>
                        <m:r>
                          <w:rPr>
                            <w:rFonts w:ascii="Cambria Math" w:eastAsia="Calibri" w:hAnsi="Cambria Math" w:cs="Calibri"/>
                          </w:rPr>
                          <m:t>F</m:t>
                        </m:r>
                      </m:e>
                      <m:sub>
                        <m:r>
                          <w:rPr>
                            <w:rFonts w:ascii="Cambria Math" w:eastAsia="Calibri" w:hAnsi="Cambria Math" w:cs="Calibri"/>
                          </w:rPr>
                          <m:t>s</m:t>
                        </m:r>
                      </m:sub>
                    </m:sSub>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C</m:t>
                        </m:r>
                      </m:e>
                      <m:sub>
                        <m:r>
                          <w:rPr>
                            <w:rFonts w:ascii="Cambria Math" w:eastAsia="Calibri" w:hAnsi="Cambria Math" w:cs="Calibri"/>
                          </w:rPr>
                          <m:t>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sub>
                    </m:sSub>
                    <m:r>
                      <w:rPr>
                        <w:rFonts w:ascii="Cambria Math" w:eastAsia="Calibri" w:hAnsi="Cambria Math" w:cs="Calibri"/>
                      </w:rPr>
                      <m:t>·d</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e>
                </m:nary>
                <m:r>
                  <w:rPr>
                    <w:rFonts w:ascii="Cambria Math" w:eastAsia="Calibri" w:hAnsi="Cambria Math" w:cs="Calibri"/>
                  </w:rPr>
                  <m:t xml:space="preserve">  ∀ s∈J, t∈T</m:t>
                </m:r>
              </m:oMath>
            </m:oMathPara>
          </w:p>
        </w:tc>
        <w:tc>
          <w:tcPr>
            <w:tcW w:w="569" w:type="dxa"/>
          </w:tcPr>
          <w:p w14:paraId="38886F48" w14:textId="77777777" w:rsidR="008D4019" w:rsidRPr="00AE533B" w:rsidRDefault="008D4019" w:rsidP="007A6892">
            <w:pPr>
              <w:spacing w:line="360" w:lineRule="auto"/>
              <w:jc w:val="center"/>
              <w:rPr>
                <w:sz w:val="10"/>
                <w:szCs w:val="10"/>
              </w:rPr>
            </w:pPr>
          </w:p>
          <w:p w14:paraId="6521F366" w14:textId="7FBFA6B4" w:rsidR="008D4019" w:rsidRPr="00AE533B" w:rsidRDefault="008D4019" w:rsidP="007A6892">
            <w:pPr>
              <w:spacing w:line="360" w:lineRule="auto"/>
              <w:jc w:val="center"/>
              <w:rPr>
                <w:sz w:val="10"/>
                <w:szCs w:val="10"/>
              </w:rPr>
            </w:pPr>
            <w:r w:rsidRPr="00AE533B">
              <w:t>(</w:t>
            </w:r>
            <w:r w:rsidR="00E37DAF" w:rsidRPr="00AE533B">
              <w:t>7</w:t>
            </w:r>
            <w:r w:rsidRPr="00AE533B">
              <w:t>)</w:t>
            </w:r>
          </w:p>
        </w:tc>
      </w:tr>
      <w:tr w:rsidR="00B170C8" w:rsidRPr="00B170C8" w14:paraId="7C565791" w14:textId="77777777" w:rsidTr="005B3951">
        <w:tc>
          <w:tcPr>
            <w:tcW w:w="7989" w:type="dxa"/>
          </w:tcPr>
          <w:p w14:paraId="66E6E356" w14:textId="55F1AA21" w:rsidR="008D4019" w:rsidRPr="00AE533B" w:rsidRDefault="008D4019" w:rsidP="007A6892">
            <w:pPr>
              <w:spacing w:line="360" w:lineRule="auto"/>
              <w:jc w:val="center"/>
              <w:rPr>
                <w:rFonts w:ascii="Calibri" w:eastAsia="Yu Mincho" w:hAnsi="Calibri" w:cs="Times New Roman"/>
              </w:rPr>
            </w:pPr>
            <m:oMathPara>
              <m:oMath>
                <m:r>
                  <w:rPr>
                    <w:rFonts w:ascii="Cambria Math" w:eastAsia="Calibri" w:hAnsi="Cambria Math" w:cs="Calibri"/>
                  </w:rPr>
                  <m:t>AGW</m:t>
                </m:r>
                <m:sSubSup>
                  <m:sSubSupPr>
                    <m:ctrlPr>
                      <w:rPr>
                        <w:rFonts w:ascii="Cambria Math" w:eastAsia="Calibri" w:hAnsi="Cambria Math" w:cs="Calibri"/>
                        <w:i/>
                      </w:rPr>
                    </m:ctrlPr>
                  </m:sSubSupPr>
                  <m:e>
                    <m:r>
                      <w:rPr>
                        <w:rFonts w:ascii="Cambria Math" w:eastAsia="Calibri" w:hAnsi="Cambria Math" w:cs="Calibri"/>
                      </w:rPr>
                      <m:t>P</m:t>
                    </m:r>
                  </m:e>
                  <m:sub>
                    <m:r>
                      <w:rPr>
                        <w:rFonts w:ascii="Cambria Math" w:eastAsia="Calibri" w:hAnsi="Cambria Math" w:cs="Calibri"/>
                      </w:rPr>
                      <m:t>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sub>
                  <m:sup>
                    <m:r>
                      <w:rPr>
                        <w:rFonts w:ascii="Cambria Math" w:eastAsia="Calibri" w:hAnsi="Cambria Math" w:cs="Calibri"/>
                      </w:rPr>
                      <m:t>TH</m:t>
                    </m:r>
                  </m:sup>
                </m:sSubSup>
                <m:r>
                  <w:rPr>
                    <w:rFonts w:ascii="Cambria Math" w:eastAsia="Calibri" w:hAnsi="Cambria Math" w:cs="Calibri"/>
                  </w:rPr>
                  <m:t>=</m:t>
                </m:r>
                <m:nary>
                  <m:naryPr>
                    <m:limLoc m:val="subSup"/>
                    <m:ctrlPr>
                      <w:rPr>
                        <w:rFonts w:ascii="Cambria Math" w:eastAsia="Calibri" w:hAnsi="Cambria Math" w:cs="Calibri"/>
                        <w:i/>
                      </w:rPr>
                    </m:ctrlPr>
                  </m:naryPr>
                  <m:sub>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=0</m:t>
                    </m:r>
                  </m:sub>
                  <m:sup>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=TH</m:t>
                    </m:r>
                  </m:sup>
                  <m:e>
                    <m:r>
                      <w:rPr>
                        <w:rFonts w:ascii="Cambria Math" w:eastAsia="Calibri" w:hAnsi="Cambria Math" w:cs="Calibri"/>
                      </w:rPr>
                      <m:t>R</m:t>
                    </m:r>
                    <m:sSub>
                      <m:sSubPr>
                        <m:ctrlPr>
                          <w:rPr>
                            <w:rFonts w:ascii="Cambria Math" w:eastAsia="Calibri" w:hAnsi="Cambria Math" w:cs="Calibri"/>
                            <w:i/>
                          </w:rPr>
                        </m:ctrlPr>
                      </m:sSubPr>
                      <m:e>
                        <m:r>
                          <w:rPr>
                            <w:rFonts w:ascii="Cambria Math" w:eastAsia="Calibri" w:hAnsi="Cambria Math" w:cs="Calibri"/>
                          </w:rPr>
                          <m:t>F</m:t>
                        </m:r>
                      </m:e>
                      <m:sub>
                        <m:r>
                          <w:rPr>
                            <w:rFonts w:ascii="Cambria Math" w:eastAsia="Calibri" w:hAnsi="Cambria Math" w:cs="Calibri"/>
                          </w:rPr>
                          <m:t>s</m:t>
                        </m:r>
                      </m:sub>
                    </m:sSub>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C</m:t>
                        </m:r>
                      </m:e>
                      <m:sub>
                        <m:r>
                          <w:rPr>
                            <w:rFonts w:ascii="Cambria Math" w:eastAsia="Calibri" w:hAnsi="Cambria Math" w:cs="Calibri"/>
                          </w:rPr>
                          <m:t>s,</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sub>
                    </m:sSub>
                    <m:r>
                      <w:rPr>
                        <w:rFonts w:ascii="Cambria Math" w:eastAsia="Calibri" w:hAnsi="Cambria Math" w:cs="Calibri"/>
                      </w:rPr>
                      <m:t>·d</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e>
                </m:nary>
                <m:r>
                  <w:rPr>
                    <w:rFonts w:ascii="Cambria Math" w:eastAsia="Calibri" w:hAnsi="Cambria Math" w:cs="Calibri"/>
                  </w:rPr>
                  <m:t xml:space="preserve">   ∀ 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oMath>
            </m:oMathPara>
          </w:p>
        </w:tc>
        <w:tc>
          <w:tcPr>
            <w:tcW w:w="569" w:type="dxa"/>
          </w:tcPr>
          <w:p w14:paraId="42AC3CD9" w14:textId="77777777" w:rsidR="008D4019" w:rsidRPr="00AE533B" w:rsidRDefault="008D4019" w:rsidP="007A6892">
            <w:pPr>
              <w:spacing w:line="360" w:lineRule="auto"/>
              <w:jc w:val="center"/>
              <w:rPr>
                <w:sz w:val="10"/>
                <w:szCs w:val="10"/>
              </w:rPr>
            </w:pPr>
          </w:p>
          <w:p w14:paraId="64A72C2B" w14:textId="022F6440" w:rsidR="008D4019" w:rsidRPr="00AE533B" w:rsidRDefault="008D4019" w:rsidP="007A6892">
            <w:pPr>
              <w:spacing w:line="360" w:lineRule="auto"/>
              <w:jc w:val="center"/>
              <w:rPr>
                <w:sz w:val="10"/>
                <w:szCs w:val="10"/>
              </w:rPr>
            </w:pPr>
            <w:r w:rsidRPr="00AE533B">
              <w:t>(</w:t>
            </w:r>
            <w:r w:rsidR="00B1364B" w:rsidRPr="00AE533B">
              <w:t>8</w:t>
            </w:r>
            <w:r w:rsidRPr="00AE533B">
              <w:t>)</w:t>
            </w:r>
          </w:p>
        </w:tc>
      </w:tr>
      <w:tr w:rsidR="00C95F91" w:rsidRPr="00C95F91" w14:paraId="12A06A43" w14:textId="77777777" w:rsidTr="005B3951">
        <w:tc>
          <w:tcPr>
            <w:tcW w:w="7989" w:type="dxa"/>
          </w:tcPr>
          <w:p w14:paraId="176A4FBD" w14:textId="7E28EE29" w:rsidR="008D4019" w:rsidRPr="00C95F91" w:rsidRDefault="00000000" w:rsidP="007A6892">
            <w:pPr>
              <w:spacing w:line="360" w:lineRule="auto"/>
              <w:jc w:val="center"/>
              <w:rPr>
                <w:rFonts w:ascii="Calibri" w:eastAsia="Yu Mincho" w:hAnsi="Calibri" w:cs="Times New Roman"/>
              </w:rPr>
            </w:pPr>
            <m:oMathPara>
              <m:oMath>
                <m:sSub>
                  <m:sSubPr>
                    <m:ctrlPr>
                      <w:rPr>
                        <w:rFonts w:ascii="Cambria Math" w:eastAsia="Yu Mincho" w:hAnsi="Cambria Math" w:cs="Times New Roman"/>
                        <w:i/>
                      </w:rPr>
                    </m:ctrlPr>
                  </m:sSubPr>
                  <m:e>
                    <m:r>
                      <w:rPr>
                        <w:rFonts w:ascii="Cambria Math" w:eastAsia="Yu Mincho" w:hAnsi="Cambria Math" w:cs="Times New Roman"/>
                      </w:rPr>
                      <m:t>C</m:t>
                    </m:r>
                  </m:e>
                  <m:sub>
                    <m:r>
                      <w:rPr>
                        <w:rFonts w:ascii="Cambria Math" w:eastAsia="Yu Mincho" w:hAnsi="Cambria Math" w:cs="Times New Roman"/>
                      </w:rPr>
                      <m:t>s,</m:t>
                    </m:r>
                    <m:sSup>
                      <m:sSupPr>
                        <m:ctrlPr>
                          <w:rPr>
                            <w:rFonts w:ascii="Cambria Math" w:eastAsia="Yu Mincho" w:hAnsi="Cambria Math" w:cs="Times New Roman"/>
                            <w:i/>
                          </w:rPr>
                        </m:ctrlPr>
                      </m:sSupPr>
                      <m:e>
                        <m:r>
                          <w:rPr>
                            <w:rFonts w:ascii="Cambria Math" w:eastAsia="Yu Mincho" w:hAnsi="Cambria Math" w:cs="Times New Roman"/>
                          </w:rPr>
                          <m:t>t</m:t>
                        </m:r>
                      </m:e>
                      <m:sup>
                        <m:r>
                          <w:rPr>
                            <w:rFonts w:ascii="Cambria Math" w:eastAsia="Yu Mincho" w:hAnsi="Cambria Math" w:cs="Times New Roman"/>
                          </w:rPr>
                          <m:t>p</m:t>
                        </m:r>
                      </m:sup>
                    </m:sSup>
                  </m:sub>
                </m:sSub>
                <m:r>
                  <w:rPr>
                    <w:rFonts w:ascii="Cambria Math" w:eastAsia="Yu Mincho" w:hAnsi="Cambria Math" w:cs="Times New Roman"/>
                  </w:rPr>
                  <m:t>=</m:t>
                </m:r>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0</m:t>
                    </m:r>
                  </m:sub>
                </m:sSub>
                <m:r>
                  <w:rPr>
                    <w:rFonts w:ascii="Cambria Math" w:eastAsia="Yu Mincho" w:hAnsi="Cambria Math" w:cs="Times New Roman"/>
                  </w:rPr>
                  <m:t>+</m:t>
                </m:r>
                <m:nary>
                  <m:naryPr>
                    <m:chr m:val="∑"/>
                    <m:limLoc m:val="undOvr"/>
                    <m:ctrlPr>
                      <w:rPr>
                        <w:rFonts w:ascii="Cambria Math" w:eastAsia="Yu Mincho" w:hAnsi="Cambria Math" w:cs="Times New Roman"/>
                        <w:i/>
                      </w:rPr>
                    </m:ctrlPr>
                  </m:naryPr>
                  <m:sub>
                    <m:r>
                      <w:rPr>
                        <w:rFonts w:ascii="Cambria Math" w:eastAsia="Yu Mincho" w:hAnsi="Cambria Math" w:cs="Times New Roman"/>
                      </w:rPr>
                      <m:t>g=1</m:t>
                    </m:r>
                  </m:sub>
                  <m:sup>
                    <m:r>
                      <w:rPr>
                        <w:rFonts w:ascii="Cambria Math" w:eastAsia="Yu Mincho" w:hAnsi="Cambria Math" w:cs="Times New Roman"/>
                      </w:rPr>
                      <m:t>3</m:t>
                    </m:r>
                  </m:sup>
                  <m:e>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g</m:t>
                        </m:r>
                      </m:sub>
                    </m:sSub>
                    <m:r>
                      <w:rPr>
                        <w:rFonts w:ascii="Cambria Math" w:eastAsia="Yu Mincho" w:hAnsi="Cambria Math" w:cs="Times New Roman"/>
                      </w:rPr>
                      <m:t>·</m:t>
                    </m:r>
                    <m:sSup>
                      <m:sSupPr>
                        <m:ctrlPr>
                          <w:rPr>
                            <w:rFonts w:ascii="Cambria Math" w:eastAsia="Yu Mincho" w:hAnsi="Cambria Math" w:cs="Times New Roman"/>
                            <w:i/>
                          </w:rPr>
                        </m:ctrlPr>
                      </m:sSupPr>
                      <m:e>
                        <m:r>
                          <w:rPr>
                            <w:rFonts w:ascii="Cambria Math" w:eastAsia="Yu Mincho" w:hAnsi="Cambria Math" w:cs="Times New Roman"/>
                          </w:rPr>
                          <m:t>e</m:t>
                        </m:r>
                      </m:e>
                      <m:sup>
                        <m:r>
                          <w:rPr>
                            <w:rFonts w:ascii="Cambria Math" w:eastAsia="Yu Mincho" w:hAnsi="Cambria Math" w:cs="Times New Roman"/>
                          </w:rPr>
                          <m:t>-</m:t>
                        </m:r>
                        <m:f>
                          <m:fPr>
                            <m:ctrlPr>
                              <w:rPr>
                                <w:rFonts w:ascii="Cambria Math" w:eastAsia="Yu Mincho" w:hAnsi="Cambria Math" w:cs="Times New Roman"/>
                                <w:i/>
                              </w:rPr>
                            </m:ctrlPr>
                          </m:fPr>
                          <m:num>
                            <m:sSup>
                              <m:sSupPr>
                                <m:ctrlPr>
                                  <w:rPr>
                                    <w:rFonts w:ascii="Cambria Math" w:eastAsia="Yu Mincho" w:hAnsi="Cambria Math" w:cs="Times New Roman"/>
                                    <w:i/>
                                  </w:rPr>
                                </m:ctrlPr>
                              </m:sSupPr>
                              <m:e>
                                <m:r>
                                  <w:rPr>
                                    <w:rFonts w:ascii="Cambria Math" w:eastAsia="Yu Mincho" w:hAnsi="Cambria Math" w:cs="Times New Roman"/>
                                  </w:rPr>
                                  <m:t>t</m:t>
                                </m:r>
                              </m:e>
                              <m:sup>
                                <m:r>
                                  <w:rPr>
                                    <w:rFonts w:ascii="Cambria Math" w:eastAsia="Yu Mincho" w:hAnsi="Cambria Math" w:cs="Times New Roman"/>
                                  </w:rPr>
                                  <m:t>p</m:t>
                                </m:r>
                              </m:sup>
                            </m:sSup>
                          </m:num>
                          <m:den>
                            <m:r>
                              <w:rPr>
                                <w:rFonts w:ascii="Cambria Math" w:eastAsia="Yu Mincho" w:hAnsi="Cambria Math" w:cs="Times New Roman"/>
                              </w:rPr>
                              <m:t xml:space="preserve"> </m:t>
                            </m:r>
                            <m:sSub>
                              <m:sSubPr>
                                <m:ctrlPr>
                                  <w:rPr>
                                    <w:rFonts w:ascii="Cambria Math" w:eastAsia="Yu Mincho" w:hAnsi="Cambria Math" w:cs="Times New Roman"/>
                                    <w:i/>
                                  </w:rPr>
                                </m:ctrlPr>
                              </m:sSubPr>
                              <m:e>
                                <m:r>
                                  <w:rPr>
                                    <w:rFonts w:ascii="Cambria Math" w:eastAsia="Yu Mincho" w:hAnsi="Cambria Math" w:cs="Times New Roman"/>
                                  </w:rPr>
                                  <m:t>τ</m:t>
                                </m:r>
                              </m:e>
                              <m:sub>
                                <m:r>
                                  <w:rPr>
                                    <w:rFonts w:ascii="Cambria Math" w:eastAsia="Yu Mincho" w:hAnsi="Cambria Math" w:cs="Times New Roman"/>
                                  </w:rPr>
                                  <m:t>g</m:t>
                                </m:r>
                              </m:sub>
                            </m:sSub>
                          </m:den>
                        </m:f>
                      </m:sup>
                    </m:sSup>
                  </m:e>
                </m:nary>
                <m:r>
                  <w:rPr>
                    <w:rFonts w:ascii="Cambria Math" w:eastAsia="Yu Mincho" w:hAnsi="Cambria Math" w:cs="Times New Roman"/>
                  </w:rPr>
                  <m:t xml:space="preserve">  </m:t>
                </m:r>
                <m:r>
                  <w:rPr>
                    <w:rFonts w:ascii="Cambria Math" w:eastAsia="Calibri" w:hAnsi="Cambria Math" w:cs="Calibri"/>
                  </w:rPr>
                  <m:t>∀ 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oMath>
            </m:oMathPara>
          </w:p>
        </w:tc>
        <w:tc>
          <w:tcPr>
            <w:tcW w:w="569" w:type="dxa"/>
          </w:tcPr>
          <w:p w14:paraId="6481B516" w14:textId="77777777" w:rsidR="008D4019" w:rsidRPr="00F4378E" w:rsidRDefault="008D4019" w:rsidP="007A6892">
            <w:pPr>
              <w:spacing w:line="360" w:lineRule="auto"/>
              <w:jc w:val="center"/>
              <w:rPr>
                <w:sz w:val="10"/>
                <w:szCs w:val="10"/>
              </w:rPr>
            </w:pPr>
          </w:p>
          <w:p w14:paraId="5F0D0C5E" w14:textId="7B7D7BF5" w:rsidR="008D4019" w:rsidRPr="00F4378E" w:rsidRDefault="008D4019" w:rsidP="007A6892">
            <w:pPr>
              <w:spacing w:line="360" w:lineRule="auto"/>
              <w:jc w:val="center"/>
              <w:rPr>
                <w:sz w:val="10"/>
                <w:szCs w:val="10"/>
              </w:rPr>
            </w:pPr>
            <w:r w:rsidRPr="00F4378E">
              <w:t>(</w:t>
            </w:r>
            <w:r w:rsidR="00AE533B" w:rsidRPr="00F4378E">
              <w:t>9</w:t>
            </w:r>
            <w:r w:rsidRPr="00F4378E">
              <w:t>)</w:t>
            </w:r>
          </w:p>
        </w:tc>
      </w:tr>
      <w:tr w:rsidR="00C95F91" w:rsidRPr="00C95F91" w14:paraId="7FB90452" w14:textId="77777777" w:rsidTr="005B3951">
        <w:tc>
          <w:tcPr>
            <w:tcW w:w="7989" w:type="dxa"/>
          </w:tcPr>
          <w:p w14:paraId="2F194656" w14:textId="6F7B1D69" w:rsidR="008D4019" w:rsidRPr="00C95F91" w:rsidRDefault="00000000" w:rsidP="007A6892">
            <w:pPr>
              <w:spacing w:line="360" w:lineRule="auto"/>
              <w:jc w:val="center"/>
              <w:rPr>
                <w:rFonts w:ascii="Calibri" w:eastAsia="Yu Mincho" w:hAnsi="Calibri" w:cs="Times New Roman"/>
              </w:rPr>
            </w:pPr>
            <m:oMathPara>
              <m:oMath>
                <m:sSub>
                  <m:sSubPr>
                    <m:ctrlPr>
                      <w:rPr>
                        <w:rFonts w:ascii="Cambria Math" w:eastAsia="Calibri" w:hAnsi="Cambria Math" w:cs="Calibri"/>
                        <w:i/>
                      </w:rPr>
                    </m:ctrlPr>
                  </m:sSubPr>
                  <m:e>
                    <m:r>
                      <w:rPr>
                        <w:rFonts w:ascii="Cambria Math" w:eastAsia="Calibri" w:hAnsi="Cambria Math" w:cs="Calibri"/>
                      </w:rPr>
                      <m:t>C</m:t>
                    </m:r>
                  </m:e>
                  <m:sub>
                    <m:r>
                      <w:rPr>
                        <w:rFonts w:ascii="Cambria Math" w:eastAsia="Calibri" w:hAnsi="Cambria Math" w:cs="Calibri"/>
                      </w:rPr>
                      <m:t>s</m:t>
                    </m:r>
                    <m:r>
                      <w:rPr>
                        <w:rFonts w:ascii="Cambria Math" w:eastAsia="Yu Mincho" w:hAnsi="Cambria Math" w:cs="Times New Roman"/>
                      </w:rPr>
                      <m:t>,</m:t>
                    </m:r>
                    <m:sSup>
                      <m:sSupPr>
                        <m:ctrlPr>
                          <w:rPr>
                            <w:rFonts w:ascii="Cambria Math" w:eastAsia="Yu Mincho" w:hAnsi="Cambria Math" w:cs="Times New Roman"/>
                            <w:i/>
                          </w:rPr>
                        </m:ctrlPr>
                      </m:sSupPr>
                      <m:e>
                        <m:r>
                          <w:rPr>
                            <w:rFonts w:ascii="Cambria Math" w:eastAsia="Yu Mincho" w:hAnsi="Cambria Math" w:cs="Times New Roman"/>
                          </w:rPr>
                          <m:t>t</m:t>
                        </m:r>
                      </m:e>
                      <m:sup>
                        <m:r>
                          <w:rPr>
                            <w:rFonts w:ascii="Cambria Math" w:eastAsia="Yu Mincho" w:hAnsi="Cambria Math" w:cs="Times New Roman"/>
                          </w:rPr>
                          <m:t>p</m:t>
                        </m:r>
                      </m:sup>
                    </m:sSup>
                  </m:sub>
                </m:sSub>
                <m:r>
                  <w:rPr>
                    <w:rFonts w:ascii="Cambria Math" w:eastAsia="Calibri" w:hAnsi="Cambria Math" w:cs="Calibri"/>
                  </w:rPr>
                  <m:t>=</m:t>
                </m:r>
                <m:sSup>
                  <m:sSupPr>
                    <m:ctrlPr>
                      <w:rPr>
                        <w:rFonts w:ascii="Cambria Math" w:eastAsia="Yu Mincho" w:hAnsi="Cambria Math" w:cs="Times New Roman"/>
                        <w:i/>
                      </w:rPr>
                    </m:ctrlPr>
                  </m:sSupPr>
                  <m:e>
                    <m:r>
                      <w:rPr>
                        <w:rFonts w:ascii="Cambria Math" w:eastAsia="Yu Mincho" w:hAnsi="Cambria Math" w:cs="Times New Roman"/>
                      </w:rPr>
                      <m:t>e</m:t>
                    </m:r>
                  </m:e>
                  <m:sup>
                    <m:r>
                      <w:rPr>
                        <w:rFonts w:ascii="Cambria Math" w:eastAsia="Yu Mincho" w:hAnsi="Cambria Math" w:cs="Times New Roman"/>
                      </w:rPr>
                      <m:t>-</m:t>
                    </m:r>
                    <m:f>
                      <m:fPr>
                        <m:ctrlPr>
                          <w:rPr>
                            <w:rFonts w:ascii="Cambria Math" w:eastAsia="Yu Mincho" w:hAnsi="Cambria Math" w:cs="Times New Roman"/>
                            <w:i/>
                          </w:rPr>
                        </m:ctrlPr>
                      </m:fPr>
                      <m:num>
                        <m:sSup>
                          <m:sSupPr>
                            <m:ctrlPr>
                              <w:rPr>
                                <w:rFonts w:ascii="Cambria Math" w:eastAsia="Yu Mincho" w:hAnsi="Cambria Math" w:cs="Times New Roman"/>
                                <w:i/>
                              </w:rPr>
                            </m:ctrlPr>
                          </m:sSupPr>
                          <m:e>
                            <m:r>
                              <w:rPr>
                                <w:rFonts w:ascii="Cambria Math" w:eastAsia="Yu Mincho" w:hAnsi="Cambria Math" w:cs="Times New Roman"/>
                              </w:rPr>
                              <m:t>t</m:t>
                            </m:r>
                          </m:e>
                          <m:sup>
                            <m:r>
                              <w:rPr>
                                <w:rFonts w:ascii="Cambria Math" w:eastAsia="Yu Mincho" w:hAnsi="Cambria Math" w:cs="Times New Roman"/>
                              </w:rPr>
                              <m:t>p</m:t>
                            </m:r>
                          </m:sup>
                        </m:sSup>
                      </m:num>
                      <m:den>
                        <m:sSub>
                          <m:sSubPr>
                            <m:ctrlPr>
                              <w:rPr>
                                <w:rFonts w:ascii="Cambria Math" w:eastAsia="Yu Mincho" w:hAnsi="Cambria Math" w:cs="Times New Roman"/>
                                <w:i/>
                              </w:rPr>
                            </m:ctrlPr>
                          </m:sSubPr>
                          <m:e>
                            <m:r>
                              <w:rPr>
                                <w:rFonts w:ascii="Cambria Math" w:eastAsia="Yu Mincho" w:hAnsi="Cambria Math" w:cs="Times New Roman"/>
                              </w:rPr>
                              <m:t>τ</m:t>
                            </m:r>
                          </m:e>
                          <m:sub>
                            <m:r>
                              <w:rPr>
                                <w:rFonts w:ascii="Cambria Math" w:eastAsia="Yu Mincho" w:hAnsi="Cambria Math" w:cs="Times New Roman"/>
                              </w:rPr>
                              <m:t>s</m:t>
                            </m:r>
                          </m:sub>
                        </m:sSub>
                      </m:den>
                    </m:f>
                  </m:sup>
                </m:sSup>
                <m:r>
                  <w:rPr>
                    <w:rFonts w:ascii="Cambria Math" w:eastAsia="Calibri" w:hAnsi="Cambria Math" w:cs="Calibri"/>
                  </w:rPr>
                  <m:t xml:space="preserve">   ∀ 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 xml:space="preserve">, </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r>
                  <w:rPr>
                    <w:rFonts w:ascii="Cambria Math" w:eastAsia="Calibri" w:hAnsi="Cambria Math" w:cs="Calibri"/>
                  </w:rPr>
                  <m:t>∈</m:t>
                </m:r>
                <m:sSup>
                  <m:sSupPr>
                    <m:ctrlPr>
                      <w:rPr>
                        <w:rFonts w:ascii="Cambria Math" w:eastAsia="Calibri" w:hAnsi="Cambria Math" w:cs="Calibri"/>
                        <w:i/>
                      </w:rPr>
                    </m:ctrlPr>
                  </m:sSupPr>
                  <m:e>
                    <m:r>
                      <w:rPr>
                        <w:rFonts w:ascii="Cambria Math" w:eastAsia="Calibri" w:hAnsi="Cambria Math" w:cs="Calibri"/>
                      </w:rPr>
                      <m:t>T</m:t>
                    </m:r>
                  </m:e>
                  <m:sup>
                    <m:r>
                      <w:rPr>
                        <w:rFonts w:ascii="Cambria Math" w:eastAsia="Calibri" w:hAnsi="Cambria Math" w:cs="Calibri"/>
                      </w:rPr>
                      <m:t>P</m:t>
                    </m:r>
                  </m:sup>
                </m:sSup>
              </m:oMath>
            </m:oMathPara>
          </w:p>
        </w:tc>
        <w:tc>
          <w:tcPr>
            <w:tcW w:w="569" w:type="dxa"/>
          </w:tcPr>
          <w:p w14:paraId="77AC1B58" w14:textId="77777777" w:rsidR="008D4019" w:rsidRPr="00F4378E" w:rsidRDefault="008D4019" w:rsidP="007A6892">
            <w:pPr>
              <w:spacing w:line="360" w:lineRule="auto"/>
              <w:jc w:val="center"/>
              <w:rPr>
                <w:sz w:val="10"/>
                <w:szCs w:val="10"/>
              </w:rPr>
            </w:pPr>
          </w:p>
          <w:p w14:paraId="20A1F176" w14:textId="06CAA68B" w:rsidR="008D4019" w:rsidRPr="00F4378E" w:rsidRDefault="008D4019" w:rsidP="007A6892">
            <w:pPr>
              <w:spacing w:line="360" w:lineRule="auto"/>
              <w:jc w:val="center"/>
              <w:rPr>
                <w:sz w:val="10"/>
                <w:szCs w:val="10"/>
              </w:rPr>
            </w:pPr>
            <w:r w:rsidRPr="00F4378E">
              <w:t>(</w:t>
            </w:r>
            <w:r w:rsidR="003F0D44" w:rsidRPr="00F4378E">
              <w:t>10</w:t>
            </w:r>
            <w:r w:rsidRPr="00F4378E">
              <w:t>)</w:t>
            </w:r>
          </w:p>
        </w:tc>
      </w:tr>
    </w:tbl>
    <w:p w14:paraId="4BD7A533" w14:textId="0DE2B032" w:rsidR="006D1489" w:rsidRDefault="0050602C" w:rsidP="00917F47">
      <w:pPr>
        <w:spacing w:before="240" w:after="0" w:line="360" w:lineRule="auto"/>
        <w:jc w:val="both"/>
      </w:pPr>
      <w:r w:rsidRPr="00CC46CC">
        <w:t>Supplementary Figure 1 illustrates</w:t>
      </w:r>
      <w:r w:rsidR="007940A0" w:rsidRPr="00CC46CC">
        <w:t xml:space="preserve"> how the dynamic </w:t>
      </w:r>
      <w:r w:rsidR="00674C46" w:rsidRPr="00CC46CC">
        <w:t xml:space="preserve">dimension of the </w:t>
      </w:r>
      <w:r w:rsidR="00BB0312" w:rsidRPr="00CC46CC">
        <w:t>greenhouse gas emissions is accounted for</w:t>
      </w:r>
      <w:r w:rsidR="000F6390" w:rsidRPr="00CC46CC">
        <w:t xml:space="preserve"> i</w:t>
      </w:r>
      <w:r w:rsidR="00217C41" w:rsidRPr="00CC46CC">
        <w:t xml:space="preserve">n a hypothetical scenario where 1 </w:t>
      </w:r>
      <w:proofErr w:type="spellStart"/>
      <w:r w:rsidR="00217C41" w:rsidRPr="00CC46CC">
        <w:t>tCDR</w:t>
      </w:r>
      <w:proofErr w:type="spellEnd"/>
      <w:r w:rsidR="00217C41" w:rsidRPr="00CC46CC">
        <w:t xml:space="preserve"> </w:t>
      </w:r>
      <w:r w:rsidR="009B2F30" w:rsidRPr="00CC46CC">
        <w:t>and 0.5 t</w:t>
      </w:r>
      <w:r w:rsidRPr="00CC46CC">
        <w:t>CO</w:t>
      </w:r>
      <w:r w:rsidRPr="00CC46CC">
        <w:rPr>
          <w:vertAlign w:val="subscript"/>
        </w:rPr>
        <w:t>2</w:t>
      </w:r>
      <w:r w:rsidRPr="00CC46CC">
        <w:t>eq</w:t>
      </w:r>
      <w:r w:rsidR="00B54D6A" w:rsidRPr="00CC46CC">
        <w:t xml:space="preserve"> </w:t>
      </w:r>
      <w:r w:rsidR="00240662" w:rsidRPr="00CC46CC">
        <w:t>occur</w:t>
      </w:r>
      <w:r w:rsidR="00B931B4" w:rsidRPr="00CC46CC">
        <w:t xml:space="preserve"> at </w:t>
      </w:r>
      <m:oMath>
        <m:r>
          <w:rPr>
            <w:rFonts w:ascii="Cambria Math" w:hAnsi="Cambria Math"/>
          </w:rPr>
          <m:t>t=0</m:t>
        </m:r>
      </m:oMath>
      <w:r w:rsidR="00B931B4" w:rsidRPr="00CC46CC">
        <w:t xml:space="preserve">, </w:t>
      </w:r>
      <w:r w:rsidR="00C06363" w:rsidRPr="00CC46CC">
        <w:t>and 0.5 tCO</w:t>
      </w:r>
      <w:r w:rsidR="00C06363" w:rsidRPr="00CC46CC">
        <w:rPr>
          <w:vertAlign w:val="subscript"/>
        </w:rPr>
        <w:t>2</w:t>
      </w:r>
      <w:r w:rsidR="00C06363" w:rsidRPr="00CC46CC">
        <w:t>eq</w:t>
      </w:r>
      <w:r w:rsidR="009F6715" w:rsidRPr="00CC46CC">
        <w:t xml:space="preserve"> </w:t>
      </w:r>
      <w:r w:rsidR="00A1667D" w:rsidRPr="00CC46CC">
        <w:t xml:space="preserve">are released </w:t>
      </w:r>
      <w:r w:rsidR="00084AED" w:rsidRPr="00CC46CC">
        <w:t xml:space="preserve">after </w:t>
      </w:r>
      <w:r w:rsidR="007B6EBC" w:rsidRPr="00CC46CC">
        <w:t>four</w:t>
      </w:r>
      <w:r w:rsidR="00084AED" w:rsidRPr="00CC46CC">
        <w:t xml:space="preserve"> years. </w:t>
      </w:r>
      <w:r w:rsidR="00D25073" w:rsidRPr="00CC46CC">
        <w:t>The curves</w:t>
      </w:r>
      <w:r w:rsidR="00000AD8" w:rsidRPr="00CC46CC">
        <w:t xml:space="preserve"> in </w:t>
      </w:r>
      <w:r w:rsidR="00AD1594" w:rsidRPr="00CC46CC">
        <w:t>the figure</w:t>
      </w:r>
      <w:r w:rsidR="00D25073" w:rsidRPr="00CC46CC">
        <w:t xml:space="preserve"> represent the instantaneous </w:t>
      </w:r>
      <w:r w:rsidR="00D25073" w:rsidRPr="00CC46CC">
        <w:lastRenderedPageBreak/>
        <w:t xml:space="preserve">radiative forcing </w:t>
      </w:r>
      <w:r w:rsidR="001D7CA9" w:rsidRPr="00CC46CC">
        <w:t>of the C</w:t>
      </w:r>
      <w:r w:rsidR="00DE3F2F" w:rsidRPr="00CC46CC">
        <w:t>DR and emission pulses</w:t>
      </w:r>
      <w:r w:rsidR="00436842" w:rsidRPr="00CC46CC">
        <w:t xml:space="preserve">, </w:t>
      </w:r>
      <w:r w:rsidR="0099513B" w:rsidRPr="00CC46CC">
        <w:t>i.e.,</w:t>
      </w:r>
      <w:r w:rsidR="0002214C" w:rsidRPr="00CC46CC">
        <w:t xml:space="preserve"> the global warming impacts</w:t>
      </w:r>
      <w:r w:rsidR="0065361C" w:rsidRPr="00CC46CC">
        <w:t xml:space="preserve"> (expressed in </w:t>
      </w:r>
      <w:proofErr w:type="spellStart"/>
      <w:r w:rsidR="0065361C" w:rsidRPr="00CC46CC">
        <w:t>W·year</w:t>
      </w:r>
      <w:proofErr w:type="spellEnd"/>
      <w:r w:rsidR="0065361C" w:rsidRPr="00CC46CC">
        <w:t>/m</w:t>
      </w:r>
      <w:r w:rsidR="0065361C" w:rsidRPr="00CC46CC">
        <w:rPr>
          <w:vertAlign w:val="superscript"/>
        </w:rPr>
        <w:t>2</w:t>
      </w:r>
      <w:r w:rsidR="0065361C" w:rsidRPr="00CC46CC">
        <w:t>) are estimated as</w:t>
      </w:r>
      <w:r w:rsidR="0002214C" w:rsidRPr="00CC46CC">
        <w:t xml:space="preserve"> </w:t>
      </w:r>
      <w:r w:rsidR="00D72B88" w:rsidRPr="00CC46CC">
        <w:t xml:space="preserve">the </w:t>
      </w:r>
      <w:r w:rsidR="00522E9F" w:rsidRPr="00CC46CC">
        <w:t xml:space="preserve">sum of </w:t>
      </w:r>
      <w:r w:rsidR="008306ED" w:rsidRPr="00CC46CC">
        <w:t xml:space="preserve">the </w:t>
      </w:r>
      <w:r w:rsidR="007B2572" w:rsidRPr="00CC46CC">
        <w:t xml:space="preserve">colored </w:t>
      </w:r>
      <w:r w:rsidR="008306ED" w:rsidRPr="00CC46CC">
        <w:t>are</w:t>
      </w:r>
      <w:r w:rsidR="00522E9F" w:rsidRPr="00CC46CC">
        <w:t>as</w:t>
      </w:r>
      <w:r w:rsidR="008306ED" w:rsidRPr="00CC46CC">
        <w:t xml:space="preserve"> between the curves</w:t>
      </w:r>
      <w:r w:rsidR="009B7E3E" w:rsidRPr="00CC46CC">
        <w:t xml:space="preserve"> </w:t>
      </w:r>
      <w:r w:rsidR="001D4CFA" w:rsidRPr="00CC46CC">
        <w:t xml:space="preserve">and </w:t>
      </w:r>
      <w:r w:rsidR="00522E9F" w:rsidRPr="00CC46CC">
        <w:t xml:space="preserve">the </w:t>
      </w:r>
      <w:r w:rsidR="00BF4A27" w:rsidRPr="00CC46CC">
        <w:t>x</w:t>
      </w:r>
      <w:r w:rsidR="00522E9F" w:rsidRPr="00CC46CC">
        <w:t xml:space="preserve"> axis</w:t>
      </w:r>
      <w:r w:rsidR="00130989" w:rsidRPr="00CC46CC">
        <w:t xml:space="preserve">, </w:t>
      </w:r>
      <w:r w:rsidR="004A32FE" w:rsidRPr="00CC46CC">
        <w:t xml:space="preserve">which are negative for CDR and positive for the </w:t>
      </w:r>
      <w:r w:rsidR="00130989" w:rsidRPr="00CC46CC">
        <w:t>CO</w:t>
      </w:r>
      <w:r w:rsidR="00130989" w:rsidRPr="00CC46CC">
        <w:rPr>
          <w:vertAlign w:val="subscript"/>
        </w:rPr>
        <w:t>2</w:t>
      </w:r>
      <w:r w:rsidR="004A32FE" w:rsidRPr="00CC46CC">
        <w:t xml:space="preserve"> emissions</w:t>
      </w:r>
      <w:r w:rsidR="001D4CFA" w:rsidRPr="00CC46CC">
        <w:t>.</w:t>
      </w:r>
      <w:r w:rsidR="006657D8" w:rsidRPr="00CC46CC">
        <w:t xml:space="preserve"> </w:t>
      </w:r>
      <w:r w:rsidR="005800B2" w:rsidRPr="00CC46CC">
        <w:t>As t</w:t>
      </w:r>
      <w:r w:rsidR="00402679" w:rsidRPr="00CC46CC">
        <w:t>he figure shows</w:t>
      </w:r>
      <w:r w:rsidR="005800B2" w:rsidRPr="00CC46CC">
        <w:t>,</w:t>
      </w:r>
      <w:r w:rsidR="0067201D" w:rsidRPr="00CC46CC">
        <w:t xml:space="preserve"> the impacts of the </w:t>
      </w:r>
      <w:r w:rsidR="006A6334" w:rsidRPr="00CC46CC">
        <w:t xml:space="preserve">second pulse </w:t>
      </w:r>
      <w:r w:rsidR="00325A38" w:rsidRPr="00CC46CC">
        <w:t xml:space="preserve">emission </w:t>
      </w:r>
      <w:r w:rsidR="00067BBF" w:rsidRPr="00CC46CC">
        <w:t xml:space="preserve">are only </w:t>
      </w:r>
      <w:r w:rsidR="00991198" w:rsidRPr="00CC46CC">
        <w:t xml:space="preserve">quantified </w:t>
      </w:r>
      <w:r w:rsidR="00302EBE" w:rsidRPr="00CC46CC">
        <w:t>for</w:t>
      </w:r>
      <w:r w:rsidR="00067BBF" w:rsidRPr="00CC46CC">
        <w:t xml:space="preserve"> the last </w:t>
      </w:r>
      <w:r w:rsidR="009934BB" w:rsidRPr="00CC46CC">
        <w:t>16</w:t>
      </w:r>
      <w:r w:rsidR="00067BBF" w:rsidRPr="00CC46CC">
        <w:t xml:space="preserve"> years of the</w:t>
      </w:r>
      <w:r w:rsidR="006A6334" w:rsidRPr="00CC46CC">
        <w:t xml:space="preserve"> considered</w:t>
      </w:r>
      <w:r w:rsidR="00067BBF" w:rsidRPr="00CC46CC">
        <w:t xml:space="preserve"> </w:t>
      </w:r>
      <w:r w:rsidR="008A4EC3" w:rsidRPr="00CC46CC">
        <w:t xml:space="preserve">20-year timeframe </w:t>
      </w:r>
      <w:r w:rsidR="00115719" w:rsidRPr="00CC46CC">
        <w:t>and</w:t>
      </w:r>
      <w:r w:rsidR="004221A7" w:rsidRPr="00CC46CC">
        <w:t xml:space="preserve"> are therefore lower than the </w:t>
      </w:r>
      <w:r w:rsidR="009C5F77" w:rsidRPr="00CC46CC">
        <w:t xml:space="preserve">impacts of </w:t>
      </w:r>
      <w:r w:rsidR="00DA57F0" w:rsidRPr="00CC46CC">
        <w:t>the</w:t>
      </w:r>
      <w:r w:rsidR="009C5F77" w:rsidRPr="00CC46CC">
        <w:t xml:space="preserve"> pulse emission of </w:t>
      </w:r>
      <w:r w:rsidR="00891D08" w:rsidRPr="00CC46CC">
        <w:t xml:space="preserve">the same </w:t>
      </w:r>
      <w:r w:rsidR="00917F47">
        <w:rPr>
          <w:noProof/>
        </w:rPr>
        <w:drawing>
          <wp:anchor distT="0" distB="0" distL="114300" distR="114300" simplePos="0" relativeHeight="251676673" behindDoc="1" locked="0" layoutInCell="1" allowOverlap="1" wp14:anchorId="5B5B74FC" wp14:editId="217F0EFC">
            <wp:simplePos x="0" y="0"/>
            <wp:positionH relativeFrom="margin">
              <wp:align>center</wp:align>
            </wp:positionH>
            <wp:positionV relativeFrom="paragraph">
              <wp:posOffset>1548130</wp:posOffset>
            </wp:positionV>
            <wp:extent cx="3324225" cy="3103530"/>
            <wp:effectExtent l="0" t="0" r="0" b="1905"/>
            <wp:wrapNone/>
            <wp:docPr id="1530764233" name="Imagen 3"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64233" name="Imagen 3" descr="Gráfico, Histograma&#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4225" cy="3103530"/>
                    </a:xfrm>
                    <a:prstGeom prst="rect">
                      <a:avLst/>
                    </a:prstGeom>
                    <a:noFill/>
                    <a:ln>
                      <a:noFill/>
                    </a:ln>
                  </pic:spPr>
                </pic:pic>
              </a:graphicData>
            </a:graphic>
            <wp14:sizeRelH relativeFrom="page">
              <wp14:pctWidth>0</wp14:pctWidth>
            </wp14:sizeRelH>
            <wp14:sizeRelV relativeFrom="page">
              <wp14:pctHeight>0</wp14:pctHeight>
            </wp14:sizeRelV>
          </wp:anchor>
        </w:drawing>
      </w:r>
      <w:r w:rsidR="00891D08" w:rsidRPr="00CC46CC">
        <w:t>magnitude occurring at the beginning of the time horizon.</w:t>
      </w:r>
      <w:r w:rsidR="00891D08">
        <w:t xml:space="preserve"> </w:t>
      </w:r>
    </w:p>
    <w:p w14:paraId="246502C8" w14:textId="3EE578F9" w:rsidR="00127EBF" w:rsidRDefault="00127EBF" w:rsidP="00015C46">
      <w:pPr>
        <w:spacing w:after="0" w:line="240" w:lineRule="auto"/>
        <w:jc w:val="center"/>
        <w:rPr>
          <w:b/>
          <w:bCs/>
        </w:rPr>
      </w:pPr>
    </w:p>
    <w:p w14:paraId="6472A51F" w14:textId="77777777" w:rsidR="00250761" w:rsidRDefault="00250761" w:rsidP="00015C46">
      <w:pPr>
        <w:spacing w:after="0" w:line="240" w:lineRule="auto"/>
        <w:jc w:val="center"/>
        <w:rPr>
          <w:b/>
          <w:bCs/>
          <w:sz w:val="18"/>
          <w:szCs w:val="18"/>
        </w:rPr>
      </w:pPr>
    </w:p>
    <w:p w14:paraId="2BAF06D8" w14:textId="77777777" w:rsidR="00250761" w:rsidRDefault="00250761" w:rsidP="00015C46">
      <w:pPr>
        <w:spacing w:after="0" w:line="240" w:lineRule="auto"/>
        <w:jc w:val="center"/>
        <w:rPr>
          <w:b/>
          <w:bCs/>
          <w:sz w:val="18"/>
          <w:szCs w:val="18"/>
        </w:rPr>
      </w:pPr>
    </w:p>
    <w:p w14:paraId="2C6270E2" w14:textId="77777777" w:rsidR="00250761" w:rsidRDefault="00250761" w:rsidP="00015C46">
      <w:pPr>
        <w:spacing w:after="0" w:line="240" w:lineRule="auto"/>
        <w:jc w:val="center"/>
        <w:rPr>
          <w:b/>
          <w:bCs/>
          <w:sz w:val="18"/>
          <w:szCs w:val="18"/>
        </w:rPr>
      </w:pPr>
    </w:p>
    <w:p w14:paraId="005E9973" w14:textId="77777777" w:rsidR="00250761" w:rsidRDefault="00250761" w:rsidP="00015C46">
      <w:pPr>
        <w:spacing w:after="0" w:line="240" w:lineRule="auto"/>
        <w:jc w:val="center"/>
        <w:rPr>
          <w:b/>
          <w:bCs/>
          <w:sz w:val="18"/>
          <w:szCs w:val="18"/>
        </w:rPr>
      </w:pPr>
    </w:p>
    <w:p w14:paraId="30A56C87" w14:textId="77777777" w:rsidR="00250761" w:rsidRDefault="00250761" w:rsidP="00015C46">
      <w:pPr>
        <w:spacing w:after="0" w:line="240" w:lineRule="auto"/>
        <w:jc w:val="center"/>
        <w:rPr>
          <w:b/>
          <w:bCs/>
          <w:sz w:val="18"/>
          <w:szCs w:val="18"/>
        </w:rPr>
      </w:pPr>
    </w:p>
    <w:p w14:paraId="42A9A3BA" w14:textId="77777777" w:rsidR="00250761" w:rsidRDefault="00250761" w:rsidP="00015C46">
      <w:pPr>
        <w:spacing w:after="0" w:line="240" w:lineRule="auto"/>
        <w:jc w:val="center"/>
        <w:rPr>
          <w:b/>
          <w:bCs/>
          <w:sz w:val="18"/>
          <w:szCs w:val="18"/>
        </w:rPr>
      </w:pPr>
    </w:p>
    <w:p w14:paraId="350B47A5" w14:textId="77777777" w:rsidR="00250761" w:rsidRDefault="00250761" w:rsidP="00015C46">
      <w:pPr>
        <w:spacing w:after="0" w:line="240" w:lineRule="auto"/>
        <w:jc w:val="center"/>
        <w:rPr>
          <w:b/>
          <w:bCs/>
          <w:sz w:val="18"/>
          <w:szCs w:val="18"/>
        </w:rPr>
      </w:pPr>
    </w:p>
    <w:p w14:paraId="7EC931BD" w14:textId="77777777" w:rsidR="00250761" w:rsidRDefault="00250761" w:rsidP="00015C46">
      <w:pPr>
        <w:spacing w:after="0" w:line="240" w:lineRule="auto"/>
        <w:jc w:val="center"/>
        <w:rPr>
          <w:b/>
          <w:bCs/>
          <w:sz w:val="18"/>
          <w:szCs w:val="18"/>
        </w:rPr>
      </w:pPr>
    </w:p>
    <w:p w14:paraId="3F7443A7" w14:textId="77777777" w:rsidR="00250761" w:rsidRDefault="00250761" w:rsidP="00015C46">
      <w:pPr>
        <w:spacing w:after="0" w:line="240" w:lineRule="auto"/>
        <w:jc w:val="center"/>
        <w:rPr>
          <w:b/>
          <w:bCs/>
          <w:sz w:val="18"/>
          <w:szCs w:val="18"/>
        </w:rPr>
      </w:pPr>
    </w:p>
    <w:p w14:paraId="3A69B8D7" w14:textId="77777777" w:rsidR="00250761" w:rsidRDefault="00250761" w:rsidP="00015C46">
      <w:pPr>
        <w:spacing w:after="0" w:line="240" w:lineRule="auto"/>
        <w:jc w:val="center"/>
        <w:rPr>
          <w:b/>
          <w:bCs/>
          <w:sz w:val="18"/>
          <w:szCs w:val="18"/>
        </w:rPr>
      </w:pPr>
    </w:p>
    <w:p w14:paraId="5D48D693" w14:textId="77777777" w:rsidR="00250761" w:rsidRDefault="00250761" w:rsidP="00015C46">
      <w:pPr>
        <w:spacing w:after="0" w:line="240" w:lineRule="auto"/>
        <w:jc w:val="center"/>
        <w:rPr>
          <w:b/>
          <w:bCs/>
          <w:sz w:val="18"/>
          <w:szCs w:val="18"/>
        </w:rPr>
      </w:pPr>
    </w:p>
    <w:p w14:paraId="561E939D" w14:textId="77777777" w:rsidR="00250761" w:rsidRDefault="00250761" w:rsidP="00015C46">
      <w:pPr>
        <w:spacing w:after="0" w:line="240" w:lineRule="auto"/>
        <w:jc w:val="center"/>
        <w:rPr>
          <w:b/>
          <w:bCs/>
          <w:sz w:val="18"/>
          <w:szCs w:val="18"/>
        </w:rPr>
      </w:pPr>
    </w:p>
    <w:p w14:paraId="39F45C25" w14:textId="77777777" w:rsidR="00250761" w:rsidRDefault="00250761" w:rsidP="00015C46">
      <w:pPr>
        <w:spacing w:after="0" w:line="240" w:lineRule="auto"/>
        <w:jc w:val="center"/>
        <w:rPr>
          <w:b/>
          <w:bCs/>
          <w:sz w:val="18"/>
          <w:szCs w:val="18"/>
        </w:rPr>
      </w:pPr>
    </w:p>
    <w:p w14:paraId="36D1DCBF" w14:textId="77777777" w:rsidR="00250761" w:rsidRDefault="00250761" w:rsidP="00015C46">
      <w:pPr>
        <w:spacing w:after="0" w:line="240" w:lineRule="auto"/>
        <w:jc w:val="center"/>
        <w:rPr>
          <w:b/>
          <w:bCs/>
          <w:sz w:val="18"/>
          <w:szCs w:val="18"/>
        </w:rPr>
      </w:pPr>
    </w:p>
    <w:p w14:paraId="3C9C52C8" w14:textId="77777777" w:rsidR="00250761" w:rsidRDefault="00250761" w:rsidP="00015C46">
      <w:pPr>
        <w:spacing w:after="0" w:line="240" w:lineRule="auto"/>
        <w:jc w:val="center"/>
        <w:rPr>
          <w:b/>
          <w:bCs/>
          <w:sz w:val="18"/>
          <w:szCs w:val="18"/>
        </w:rPr>
      </w:pPr>
    </w:p>
    <w:p w14:paraId="00CD5513" w14:textId="77777777" w:rsidR="00250761" w:rsidRDefault="00250761" w:rsidP="00015C46">
      <w:pPr>
        <w:spacing w:after="0" w:line="240" w:lineRule="auto"/>
        <w:jc w:val="center"/>
        <w:rPr>
          <w:b/>
          <w:bCs/>
          <w:sz w:val="18"/>
          <w:szCs w:val="18"/>
        </w:rPr>
      </w:pPr>
    </w:p>
    <w:p w14:paraId="60938A27" w14:textId="77777777" w:rsidR="00250761" w:rsidRDefault="00250761" w:rsidP="00015C46">
      <w:pPr>
        <w:spacing w:after="0" w:line="240" w:lineRule="auto"/>
        <w:jc w:val="center"/>
        <w:rPr>
          <w:b/>
          <w:bCs/>
          <w:sz w:val="18"/>
          <w:szCs w:val="18"/>
        </w:rPr>
      </w:pPr>
    </w:p>
    <w:p w14:paraId="72610FD4" w14:textId="77777777" w:rsidR="00250761" w:rsidRDefault="00250761" w:rsidP="00015C46">
      <w:pPr>
        <w:spacing w:after="0" w:line="240" w:lineRule="auto"/>
        <w:jc w:val="center"/>
        <w:rPr>
          <w:b/>
          <w:bCs/>
          <w:sz w:val="18"/>
          <w:szCs w:val="18"/>
        </w:rPr>
      </w:pPr>
    </w:p>
    <w:p w14:paraId="46CA6EEC" w14:textId="77777777" w:rsidR="00250761" w:rsidRDefault="00250761" w:rsidP="00015C46">
      <w:pPr>
        <w:spacing w:after="0" w:line="240" w:lineRule="auto"/>
        <w:jc w:val="center"/>
        <w:rPr>
          <w:b/>
          <w:bCs/>
          <w:sz w:val="18"/>
          <w:szCs w:val="18"/>
        </w:rPr>
      </w:pPr>
    </w:p>
    <w:p w14:paraId="3C78E346" w14:textId="77777777" w:rsidR="00250761" w:rsidRDefault="00250761" w:rsidP="00015C46">
      <w:pPr>
        <w:spacing w:after="0" w:line="240" w:lineRule="auto"/>
        <w:jc w:val="center"/>
        <w:rPr>
          <w:b/>
          <w:bCs/>
          <w:sz w:val="18"/>
          <w:szCs w:val="18"/>
        </w:rPr>
      </w:pPr>
    </w:p>
    <w:p w14:paraId="02924C82" w14:textId="77777777" w:rsidR="00250761" w:rsidRDefault="00250761" w:rsidP="00015C46">
      <w:pPr>
        <w:spacing w:after="0" w:line="240" w:lineRule="auto"/>
        <w:jc w:val="center"/>
        <w:rPr>
          <w:b/>
          <w:bCs/>
          <w:sz w:val="18"/>
          <w:szCs w:val="18"/>
        </w:rPr>
      </w:pPr>
    </w:p>
    <w:p w14:paraId="54B54715" w14:textId="24196EA2" w:rsidR="00127EBF" w:rsidRPr="00302C44" w:rsidRDefault="00127EBF" w:rsidP="00302C44">
      <w:pPr>
        <w:spacing w:after="0" w:line="240" w:lineRule="auto"/>
        <w:jc w:val="center"/>
        <w:rPr>
          <w:sz w:val="18"/>
          <w:szCs w:val="18"/>
        </w:rPr>
      </w:pPr>
      <w:r w:rsidRPr="00BB02E3">
        <w:rPr>
          <w:b/>
          <w:bCs/>
          <w:sz w:val="18"/>
          <w:szCs w:val="18"/>
        </w:rPr>
        <w:t>Supplementary Fig. 1</w:t>
      </w:r>
      <w:r w:rsidRPr="00BB02E3">
        <w:rPr>
          <w:sz w:val="18"/>
          <w:szCs w:val="18"/>
        </w:rPr>
        <w:t>.</w:t>
      </w:r>
      <w:r w:rsidR="00A66063" w:rsidRPr="00BB02E3">
        <w:rPr>
          <w:sz w:val="18"/>
          <w:szCs w:val="18"/>
        </w:rPr>
        <w:t xml:space="preserve"> </w:t>
      </w:r>
      <w:r w:rsidR="00A66063" w:rsidRPr="00BB02E3">
        <w:rPr>
          <w:b/>
          <w:bCs/>
          <w:sz w:val="18"/>
          <w:szCs w:val="18"/>
        </w:rPr>
        <w:t xml:space="preserve">Instantaneous radiative forcing </w:t>
      </w:r>
      <w:r w:rsidR="005279E9" w:rsidRPr="00BB02E3">
        <w:rPr>
          <w:b/>
          <w:bCs/>
          <w:sz w:val="18"/>
          <w:szCs w:val="18"/>
        </w:rPr>
        <w:t xml:space="preserve">due Carbon Dioxide Removal (CDR) </w:t>
      </w:r>
      <w:r w:rsidR="00E658F8" w:rsidRPr="00BB02E3">
        <w:rPr>
          <w:b/>
          <w:bCs/>
          <w:sz w:val="18"/>
          <w:szCs w:val="18"/>
        </w:rPr>
        <w:t>and greenhouse gas pulse emissions.</w:t>
      </w:r>
      <w:r w:rsidR="00E658F8" w:rsidRPr="00BB02E3">
        <w:rPr>
          <w:sz w:val="18"/>
          <w:szCs w:val="18"/>
        </w:rPr>
        <w:t xml:space="preserve"> </w:t>
      </w:r>
      <w:r w:rsidR="00977050" w:rsidRPr="00BB02E3">
        <w:rPr>
          <w:sz w:val="18"/>
          <w:szCs w:val="18"/>
        </w:rPr>
        <w:t xml:space="preserve">The areas under the curves represent </w:t>
      </w:r>
      <w:r w:rsidR="00597058" w:rsidRPr="00BB02E3">
        <w:rPr>
          <w:sz w:val="18"/>
          <w:szCs w:val="18"/>
        </w:rPr>
        <w:t>the global warming impacts (</w:t>
      </w:r>
      <w:r w:rsidR="008B744B" w:rsidRPr="00BB02E3">
        <w:rPr>
          <w:sz w:val="18"/>
          <w:szCs w:val="18"/>
        </w:rPr>
        <w:t xml:space="preserve">in </w:t>
      </w:r>
      <w:proofErr w:type="spellStart"/>
      <w:r w:rsidR="00B3265A" w:rsidRPr="00BB02E3">
        <w:rPr>
          <w:sz w:val="18"/>
          <w:szCs w:val="18"/>
        </w:rPr>
        <w:t>W·year</w:t>
      </w:r>
      <w:proofErr w:type="spellEnd"/>
      <w:r w:rsidR="00B3265A" w:rsidRPr="00BB02E3">
        <w:rPr>
          <w:sz w:val="18"/>
          <w:szCs w:val="18"/>
        </w:rPr>
        <w:t>/m</w:t>
      </w:r>
      <w:r w:rsidR="00B3265A" w:rsidRPr="00BB02E3">
        <w:rPr>
          <w:sz w:val="18"/>
          <w:szCs w:val="18"/>
          <w:vertAlign w:val="superscript"/>
        </w:rPr>
        <w:t>2</w:t>
      </w:r>
      <w:r w:rsidR="00597058" w:rsidRPr="00BB02E3">
        <w:rPr>
          <w:sz w:val="18"/>
          <w:szCs w:val="18"/>
        </w:rPr>
        <w:t xml:space="preserve">) over a </w:t>
      </w:r>
      <w:r w:rsidR="00EF4A94" w:rsidRPr="00BB02E3">
        <w:rPr>
          <w:sz w:val="18"/>
          <w:szCs w:val="18"/>
        </w:rPr>
        <w:t>20-year time horizon (TH).</w:t>
      </w:r>
    </w:p>
    <w:p w14:paraId="63537259" w14:textId="77777777" w:rsidR="005A7ECF" w:rsidRPr="00127EBF" w:rsidRDefault="005A7ECF" w:rsidP="008D4019">
      <w:pPr>
        <w:spacing w:line="360" w:lineRule="auto"/>
      </w:pPr>
    </w:p>
    <w:p w14:paraId="7D0EF406" w14:textId="77777777" w:rsidR="005A7ECF" w:rsidRPr="00127EBF" w:rsidRDefault="005A7ECF" w:rsidP="008D4019">
      <w:pPr>
        <w:spacing w:line="360" w:lineRule="auto"/>
      </w:pPr>
    </w:p>
    <w:p w14:paraId="50CC20E9" w14:textId="6EF06CE0" w:rsidR="008D4019" w:rsidRPr="008A4EC3" w:rsidRDefault="007B7988" w:rsidP="00F54978">
      <w:pPr>
        <w:pStyle w:val="Ttulo2"/>
        <w:spacing w:after="240"/>
        <w:rPr>
          <w:rFonts w:asciiTheme="minorHAnsi" w:eastAsiaTheme="minorEastAsia" w:hAnsiTheme="minorHAnsi" w:cstheme="minorBidi"/>
          <w:b/>
          <w:bCs/>
          <w:color w:val="auto"/>
          <w:sz w:val="22"/>
          <w:szCs w:val="22"/>
        </w:rPr>
      </w:pPr>
      <w:bookmarkStart w:id="3" w:name="_Toc194330848"/>
      <w:r w:rsidRPr="008A4EC3">
        <w:rPr>
          <w:rFonts w:asciiTheme="minorHAnsi" w:eastAsiaTheme="minorEastAsia" w:hAnsiTheme="minorHAnsi" w:cstheme="minorBidi"/>
          <w:b/>
          <w:bCs/>
          <w:color w:val="auto"/>
          <w:sz w:val="22"/>
          <w:szCs w:val="22"/>
        </w:rPr>
        <w:t>2</w:t>
      </w:r>
      <w:r w:rsidR="00EA3DF4" w:rsidRPr="008A4EC3">
        <w:rPr>
          <w:rFonts w:asciiTheme="minorHAnsi" w:eastAsiaTheme="minorEastAsia" w:hAnsiTheme="minorHAnsi" w:cstheme="minorBidi"/>
          <w:b/>
          <w:bCs/>
          <w:color w:val="auto"/>
          <w:sz w:val="22"/>
          <w:szCs w:val="22"/>
        </w:rPr>
        <w:t xml:space="preserve">.2 </w:t>
      </w:r>
      <w:r w:rsidR="008D4019" w:rsidRPr="008A4EC3">
        <w:rPr>
          <w:rFonts w:asciiTheme="minorHAnsi" w:eastAsiaTheme="minorEastAsia" w:hAnsiTheme="minorHAnsi" w:cstheme="minorBidi"/>
          <w:b/>
          <w:bCs/>
          <w:color w:val="auto"/>
          <w:sz w:val="22"/>
          <w:szCs w:val="22"/>
        </w:rPr>
        <w:t>Health and ecosystem impacts</w:t>
      </w:r>
      <w:bookmarkEnd w:id="3"/>
    </w:p>
    <w:p w14:paraId="42176083" w14:textId="7D948AD4" w:rsidR="008D4019" w:rsidRDefault="008D4019" w:rsidP="008D4019">
      <w:pPr>
        <w:spacing w:line="360" w:lineRule="auto"/>
        <w:jc w:val="both"/>
      </w:pPr>
      <w:r>
        <w:t xml:space="preserve">We estimated the impacts of our scenarios on human health and ecosystems with the </w:t>
      </w:r>
      <w:proofErr w:type="spellStart"/>
      <w:r>
        <w:t>ReCiPe</w:t>
      </w:r>
      <w:proofErr w:type="spellEnd"/>
      <w:r>
        <w:t xml:space="preserve"> 2016</w:t>
      </w:r>
      <w:r>
        <w:rPr>
          <w:rFonts w:cstheme="minorHAnsi"/>
          <w:i/>
          <w:iCs/>
        </w:rPr>
        <w:fldChar w:fldCharType="begin" w:fldLock="1"/>
      </w:r>
      <w:r w:rsidR="0043212B">
        <w:rPr>
          <w:rFonts w:cstheme="minorHAnsi"/>
          <w:i/>
          <w:iCs/>
        </w:rPr>
        <w:instrText xml:space="preserve"> ADDIN ZOTERO_ITEM CSL_CITATION {"citationID":"GvBuKbWQ","properties":{"formattedCitation":"\\super 4\\nosupersub{}","plainCitation":"4","noteIndex":0},"citationItems":[{"id":1709,"uris":["http://www.mendeley.com/documents/?uuid=2ef55e9a-0e4e-4a9b-b9ce-fdabe56d8ce4","http://zotero.org/users/14213812/items/KZWSRSGF"],"itemData":{"id":1709,"type":"report","publisher":"National Institute for Public Health and the Environment","title":"ReCiPe 2016 v1.1. A harmonized life cycle impact assessment method at midpoint and endpoint level. Report I: Characterization.","author":[{"family":"Huijbregts","given":"M.A.J."},{"family":"Steinmann","given":"Z.J.N."},{"family":"Elshout","given":"P.M.F."},{"family":"Stam","given":"G."},{"family":"Verones","given":"F."},{"family":"Vieira","given":"M.D.M."},{"family":"Hollander","given":"A."},{"family":"Zijp","given":"M."},{"family":"Zelm","given":"R.","non-dropping-particle":"van"}],"issued":{"date-parts":[["2017"]]}}}],"schema":"https://github.com/citation-style-language/schema/raw/master/csl-citation.json"} </w:instrText>
      </w:r>
      <w:r>
        <w:rPr>
          <w:rFonts w:cstheme="minorHAnsi"/>
          <w:i/>
          <w:iCs/>
        </w:rPr>
        <w:fldChar w:fldCharType="separate"/>
      </w:r>
      <w:r w:rsidR="0043212B" w:rsidRPr="0043212B">
        <w:rPr>
          <w:rFonts w:ascii="Calibri" w:hAnsi="Calibri" w:cs="Calibri"/>
          <w:vertAlign w:val="superscript"/>
        </w:rPr>
        <w:t>4</w:t>
      </w:r>
      <w:r>
        <w:rPr>
          <w:rFonts w:cstheme="minorHAnsi"/>
          <w:i/>
          <w:iCs/>
        </w:rPr>
        <w:fldChar w:fldCharType="end"/>
      </w:r>
      <w:r>
        <w:t xml:space="preserve"> impact assessment method, which </w:t>
      </w:r>
      <w:r w:rsidRPr="002B0BDF">
        <w:t xml:space="preserve">establishes a </w:t>
      </w:r>
      <w:r>
        <w:t xml:space="preserve">linear relationship between the damage to these </w:t>
      </w:r>
      <w:r w:rsidR="008667FB">
        <w:t xml:space="preserve">endpoint </w:t>
      </w:r>
      <w:r>
        <w:t>areas of protection and the elementary flows (natural resources and emissions) in the life cycle inventories.</w:t>
      </w:r>
    </w:p>
    <w:p w14:paraId="15DE6193" w14:textId="748EE796" w:rsidR="008D4019" w:rsidRPr="00CF1102" w:rsidRDefault="008D4019" w:rsidP="008D4019">
      <w:pPr>
        <w:spacing w:before="240" w:line="360" w:lineRule="auto"/>
        <w:jc w:val="both"/>
      </w:pPr>
      <w:r>
        <w:t>We</w:t>
      </w:r>
      <w:r w:rsidRPr="00F953CD">
        <w:t xml:space="preserve"> quantif</w:t>
      </w:r>
      <w:r>
        <w:t>ied</w:t>
      </w:r>
      <w:r w:rsidRPr="00F953CD">
        <w:t xml:space="preserve"> the impacts at the midpoint level</w:t>
      </w:r>
      <w:r>
        <w:t xml:space="preserve">–i.e., those related to </w:t>
      </w:r>
      <w:r w:rsidRPr="00A26B71">
        <w:t xml:space="preserve">environmental mechanisms such as particulate matter formation or land use–by multiplying the amount of elementary flow </w:t>
      </w:r>
      <w:r w:rsidRPr="00A26B71">
        <w:rPr>
          <w:i/>
          <w:iCs/>
        </w:rPr>
        <w:t xml:space="preserve">s </w:t>
      </w:r>
      <w:r w:rsidR="00CA753C">
        <w:t>exchanged with the environment by</w:t>
      </w:r>
      <w:r w:rsidRPr="00A26B71">
        <w:t xml:space="preserve"> NETP</w:t>
      </w:r>
      <w:r w:rsidRPr="00A26B71">
        <w:rPr>
          <w:i/>
          <w:iCs/>
        </w:rPr>
        <w:t xml:space="preserve"> </w:t>
      </w:r>
      <w:proofErr w:type="spellStart"/>
      <w:r w:rsidRPr="00A26B71">
        <w:rPr>
          <w:i/>
          <w:iCs/>
        </w:rPr>
        <w:t>i</w:t>
      </w:r>
      <w:proofErr w:type="spellEnd"/>
      <w:r w:rsidRPr="00A26B71">
        <w:rPr>
          <w:i/>
          <w:iCs/>
        </w:rPr>
        <w:t xml:space="preserve"> t </w:t>
      </w:r>
      <w:r w:rsidRPr="00A26B71">
        <w:t>years after deployment in year</w:t>
      </w:r>
      <w:r w:rsidRPr="00A26B71">
        <w:rPr>
          <w:i/>
          <w:iCs/>
        </w:rPr>
        <w:t xml:space="preserve"> y</w:t>
      </w:r>
      <w:r w:rsidRPr="00A26B71">
        <w:t xml:space="preserve"> to meet </w:t>
      </w:r>
      <w:r w:rsidRPr="00A26B71">
        <w:rPr>
          <w:i/>
          <w:iCs/>
        </w:rPr>
        <w:t>y</w:t>
      </w:r>
      <w:r w:rsidRPr="00A26B71">
        <w:t>’s CDR target (</w:t>
      </w:r>
      <m:oMath>
        <m:sSub>
          <m:sSubPr>
            <m:ctrlPr>
              <w:rPr>
                <w:rFonts w:ascii="Cambria Math" w:hAnsi="Cambria Math"/>
                <w:i/>
              </w:rPr>
            </m:ctrlPr>
          </m:sSubPr>
          <m:e>
            <m:r>
              <w:rPr>
                <w:rFonts w:ascii="Cambria Math" w:hAnsi="Cambria Math"/>
              </w:rPr>
              <m:t>Q</m:t>
            </m:r>
          </m:e>
          <m:sub>
            <m:r>
              <w:rPr>
                <w:rFonts w:ascii="Cambria Math" w:hAnsi="Cambria Math"/>
              </w:rPr>
              <m:t>i,s,t,y</m:t>
            </m:r>
          </m:sub>
        </m:sSub>
      </m:oMath>
      <w:r w:rsidRPr="00E86DBD">
        <w:t xml:space="preserve">) </w:t>
      </w:r>
      <w:r w:rsidRPr="00A26B71">
        <w:t>by the elementary</w:t>
      </w:r>
      <w:r w:rsidRPr="00CF1102">
        <w:t xml:space="preserve"> flow’s characterization factor for midpoint impact category </w:t>
      </w:r>
      <w:r w:rsidRPr="00CF1102">
        <w:rPr>
          <w:i/>
          <w:iCs/>
        </w:rPr>
        <w:t xml:space="preserve">m </w:t>
      </w:r>
      <w:r w:rsidRPr="00CF1102">
        <w:t>and year</w:t>
      </w:r>
      <w:r w:rsidRPr="00CF1102">
        <w:rPr>
          <w:i/>
          <w:iCs/>
        </w:rPr>
        <w:t xml:space="preserve"> t </w:t>
      </w:r>
      <w:r w:rsidRPr="00CF1102">
        <w:t>within the considered time horizon (</w:t>
      </w:r>
      <m:oMath>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m,s,t</m:t>
            </m:r>
          </m:sub>
          <m:sup>
            <m:r>
              <w:rPr>
                <w:rFonts w:ascii="Cambria Math" w:hAnsi="Cambria Math"/>
              </w:rPr>
              <m:t>MID</m:t>
            </m:r>
          </m:sup>
        </m:sSubSup>
      </m:oMath>
      <w:r w:rsidRPr="00CF1102">
        <w:t xml:space="preserve">). </w:t>
      </w:r>
    </w:p>
    <w:p w14:paraId="0F521208" w14:textId="03B74365" w:rsidR="008D4019" w:rsidRPr="002212F0" w:rsidRDefault="008D4019" w:rsidP="001B6494">
      <w:pPr>
        <w:spacing w:before="240" w:after="0" w:line="360" w:lineRule="auto"/>
        <w:jc w:val="both"/>
      </w:pPr>
      <w:r w:rsidRPr="00CF1102">
        <w:lastRenderedPageBreak/>
        <w:t xml:space="preserve">We subsequently applied a </w:t>
      </w:r>
      <w:r w:rsidRPr="005337D5">
        <w:t xml:space="preserve">factor </w:t>
      </w:r>
      <m:oMath>
        <m:sSub>
          <m:sSubPr>
            <m:ctrlPr>
              <w:rPr>
                <w:rFonts w:ascii="Cambria Math" w:hAnsi="Cambria Math"/>
                <w:i/>
              </w:rPr>
            </m:ctrlPr>
          </m:sSubPr>
          <m:e>
            <m:r>
              <w:rPr>
                <w:rFonts w:ascii="Cambria Math" w:hAnsi="Cambria Math"/>
              </w:rPr>
              <m:t>F</m:t>
            </m:r>
          </m:e>
          <m:sub>
            <m:r>
              <w:rPr>
                <w:rFonts w:ascii="Cambria Math" w:hAnsi="Cambria Math"/>
              </w:rPr>
              <m:t>m,e,s</m:t>
            </m:r>
          </m:sub>
        </m:sSub>
      </m:oMath>
      <w:r w:rsidRPr="005337D5">
        <w:t xml:space="preserve"> to transform these midpoint impacts into impacts on the endpoint area of protection </w:t>
      </w:r>
      <w:r w:rsidRPr="005337D5">
        <w:rPr>
          <w:i/>
          <w:iCs/>
        </w:rPr>
        <w:t>e</w:t>
      </w:r>
      <w:r w:rsidRPr="00CF1102">
        <w:rPr>
          <w:i/>
          <w:iCs/>
        </w:rPr>
        <w:t xml:space="preserve"> </w:t>
      </w:r>
      <w:r w:rsidRPr="00CF1102">
        <w:t xml:space="preserve">(damage to human health or </w:t>
      </w:r>
      <w:r w:rsidRPr="002212F0">
        <w:t xml:space="preserve">ecosystems). As Equation </w:t>
      </w:r>
      <w:r w:rsidR="002212F0" w:rsidRPr="002212F0">
        <w:t>(11)</w:t>
      </w:r>
      <w:r w:rsidRPr="002212F0">
        <w:t xml:space="preserve"> indicates, we calculate the endpoint impacts of the CDR deployed in year </w:t>
      </w:r>
      <w:r w:rsidRPr="002212F0">
        <w:rPr>
          <w:i/>
          <w:iCs/>
        </w:rPr>
        <w:t>y</w:t>
      </w:r>
      <w:r w:rsidRPr="002212F0">
        <w:t xml:space="preserve"> with NETP</w:t>
      </w:r>
      <w:r w:rsidRPr="002212F0">
        <w:rPr>
          <w:i/>
          <w:iCs/>
        </w:rPr>
        <w:t xml:space="preserve"> </w:t>
      </w:r>
      <w:proofErr w:type="spellStart"/>
      <w:r w:rsidRPr="002212F0">
        <w:rPr>
          <w:i/>
          <w:iCs/>
        </w:rPr>
        <w:t>i</w:t>
      </w:r>
      <w:proofErr w:type="spellEnd"/>
      <w:r w:rsidRPr="002212F0">
        <w:t>,</w:t>
      </w:r>
      <w:r w:rsidR="001B6494" w:rsidRPr="002212F0">
        <w:t xml:space="preserve"> </w:t>
      </w:r>
      <w:r w:rsidR="001B6494" w:rsidRPr="002212F0">
        <w:rPr>
          <w:rFonts w:ascii="Cambria Math" w:hAnsi="Cambria Math"/>
          <w:i/>
        </w:rPr>
        <w:br/>
      </w:r>
      <m:oMath>
        <m:sSubSup>
          <m:sSubSupPr>
            <m:ctrlPr>
              <w:rPr>
                <w:rFonts w:ascii="Cambria Math" w:hAnsi="Cambria Math"/>
                <w:i/>
              </w:rPr>
            </m:ctrlPr>
          </m:sSubSupPr>
          <m:e>
            <m:r>
              <w:rPr>
                <w:rFonts w:ascii="Cambria Math" w:hAnsi="Cambria Math"/>
              </w:rPr>
              <m:t>I</m:t>
            </m:r>
          </m:e>
          <m:sub>
            <m:r>
              <w:rPr>
                <w:rFonts w:ascii="Cambria Math" w:hAnsi="Cambria Math"/>
              </w:rPr>
              <m:t>i,e,y</m:t>
            </m:r>
          </m:sub>
          <m:sup>
            <m:r>
              <w:rPr>
                <w:rFonts w:ascii="Cambria Math" w:hAnsi="Cambria Math"/>
              </w:rPr>
              <m:t>END</m:t>
            </m:r>
          </m:sup>
        </m:sSubSup>
      </m:oMath>
      <w:r w:rsidR="001B6494" w:rsidRPr="002212F0">
        <w:rPr>
          <w:rFonts w:ascii="Cambria Math" w:hAnsi="Cambria Math"/>
          <w:iCs/>
        </w:rPr>
        <w:t>,</w:t>
      </w:r>
      <w:r w:rsidRPr="002212F0">
        <w:t xml:space="preserve"> as the sum of the endpoint impacts linked to each midpoint impact category and </w:t>
      </w:r>
      <w:r w:rsidRPr="00C1307E">
        <w:t>elementary flow throughout the considered time horizon</w:t>
      </w:r>
      <w:r w:rsidR="00EF4A94" w:rsidRPr="00C1307E">
        <w:t xml:space="preserve">–20 years in accordance with the individualist perspective of the </w:t>
      </w:r>
      <w:proofErr w:type="spellStart"/>
      <w:r w:rsidR="00EF4A94" w:rsidRPr="00C1307E">
        <w:t>ReCiPe</w:t>
      </w:r>
      <w:proofErr w:type="spellEnd"/>
      <w:r w:rsidR="00EF4A94" w:rsidRPr="00C1307E">
        <w:t xml:space="preserve"> method, which considers </w:t>
      </w:r>
      <w:r w:rsidR="00EF4A94">
        <w:t>value choices based on undisputed</w:t>
      </w:r>
      <w:r w:rsidR="00EF4A94" w:rsidRPr="00C1307E">
        <w:t xml:space="preserve"> short-term impact mechanisms and optimistic technological developments to adapt to the environmental impacts.</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2"/>
        <w:gridCol w:w="766"/>
      </w:tblGrid>
      <w:tr w:rsidR="00087617" w:rsidRPr="00CF1102" w14:paraId="4263C9AC" w14:textId="77777777" w:rsidTr="007C53FF">
        <w:tc>
          <w:tcPr>
            <w:tcW w:w="7792" w:type="dxa"/>
          </w:tcPr>
          <w:p w14:paraId="645068B7" w14:textId="72D15EE9" w:rsidR="00087617" w:rsidRPr="00CC5E7F" w:rsidRDefault="00000000" w:rsidP="005D37FF">
            <w:pPr>
              <w:spacing w:line="360" w:lineRule="auto"/>
            </w:pPr>
            <m:oMathPara>
              <m:oMathParaPr>
                <m:jc m:val="center"/>
              </m:oMathParaPr>
              <m:oMath>
                <m:sSubSup>
                  <m:sSubSupPr>
                    <m:ctrlPr>
                      <w:rPr>
                        <w:rFonts w:ascii="Cambria Math" w:hAnsi="Cambria Math"/>
                        <w:i/>
                      </w:rPr>
                    </m:ctrlPr>
                  </m:sSubSupPr>
                  <m:e>
                    <m:r>
                      <w:rPr>
                        <w:rFonts w:ascii="Cambria Math" w:hAnsi="Cambria Math"/>
                      </w:rPr>
                      <m:t>I</m:t>
                    </m:r>
                  </m:e>
                  <m:sub>
                    <m:r>
                      <w:rPr>
                        <w:rFonts w:ascii="Cambria Math" w:hAnsi="Cambria Math"/>
                      </w:rPr>
                      <m:t>i,e,y</m:t>
                    </m:r>
                  </m:sub>
                  <m:sup>
                    <m:r>
                      <w:rPr>
                        <w:rFonts w:ascii="Cambria Math" w:hAnsi="Cambria Math"/>
                      </w:rPr>
                      <m:t>END</m:t>
                    </m:r>
                  </m:sup>
                </m:sSubSup>
                <m:r>
                  <w:rPr>
                    <w:rFonts w:ascii="Cambria Math" w:hAnsi="Cambria Math"/>
                  </w:rPr>
                  <m:t>=</m:t>
                </m:r>
                <m:nary>
                  <m:naryPr>
                    <m:chr m:val="∑"/>
                    <m:limLoc m:val="undOvr"/>
                    <m:supHide m:val="1"/>
                    <m:ctrlPr>
                      <w:rPr>
                        <w:rFonts w:ascii="Cambria Math" w:hAnsi="Cambria Math"/>
                        <w:i/>
                      </w:rPr>
                    </m:ctrlPr>
                  </m:naryPr>
                  <m:sub>
                    <m:r>
                      <w:rPr>
                        <w:rFonts w:ascii="Cambria Math" w:hAnsi="Cambria Math"/>
                      </w:rPr>
                      <m:t>s⋲S</m:t>
                    </m:r>
                  </m:sub>
                  <m:sup/>
                  <m:e>
                    <m:nary>
                      <m:naryPr>
                        <m:chr m:val="∑"/>
                        <m:limLoc m:val="undOvr"/>
                        <m:supHide m:val="1"/>
                        <m:ctrlPr>
                          <w:rPr>
                            <w:rFonts w:ascii="Cambria Math" w:hAnsi="Cambria Math"/>
                            <w:i/>
                          </w:rPr>
                        </m:ctrlPr>
                      </m:naryPr>
                      <m:sub>
                        <m:r>
                          <w:rPr>
                            <w:rFonts w:ascii="Cambria Math" w:hAnsi="Cambria Math"/>
                          </w:rPr>
                          <m:t>m⋲M</m:t>
                        </m:r>
                      </m:sub>
                      <m:sup/>
                      <m:e>
                        <m:nary>
                          <m:naryPr>
                            <m:chr m:val="∑"/>
                            <m:limLoc m:val="undOvr"/>
                            <m:ctrlPr>
                              <w:rPr>
                                <w:rFonts w:ascii="Cambria Math" w:hAnsi="Cambria Math"/>
                                <w:i/>
                              </w:rPr>
                            </m:ctrlPr>
                          </m:naryPr>
                          <m:sub>
                            <m:r>
                              <w:rPr>
                                <w:rFonts w:ascii="Cambria Math" w:hAnsi="Cambria Math"/>
                              </w:rPr>
                              <m:t>t=0</m:t>
                            </m:r>
                          </m:sub>
                          <m:sup>
                            <m:r>
                              <w:rPr>
                                <w:rFonts w:ascii="Cambria Math" w:hAnsi="Cambria Math"/>
                              </w:rPr>
                              <m:t>t=TH</m:t>
                            </m:r>
                          </m:sup>
                          <m:e>
                            <m:sSub>
                              <m:sSubPr>
                                <m:ctrlPr>
                                  <w:rPr>
                                    <w:rFonts w:ascii="Cambria Math" w:hAnsi="Cambria Math"/>
                                    <w:i/>
                                  </w:rPr>
                                </m:ctrlPr>
                              </m:sSubPr>
                              <m:e>
                                <m:r>
                                  <w:rPr>
                                    <w:rFonts w:ascii="Cambria Math" w:hAnsi="Cambria Math"/>
                                  </w:rPr>
                                  <m:t>Q</m:t>
                                </m:r>
                              </m:e>
                              <m:sub>
                                <m:r>
                                  <w:rPr>
                                    <w:rFonts w:ascii="Cambria Math" w:hAnsi="Cambria Math"/>
                                  </w:rPr>
                                  <m:t>i,s,t,y</m:t>
                                </m:r>
                              </m:sub>
                            </m:sSub>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m,s,t</m:t>
                                </m:r>
                              </m:sub>
                              <m:sup>
                                <m:r>
                                  <w:rPr>
                                    <w:rFonts w:ascii="Cambria Math" w:hAnsi="Cambria Math"/>
                                  </w:rPr>
                                  <m:t>MID</m:t>
                                </m:r>
                              </m:sup>
                            </m:sSub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m,e,s</m:t>
                                </m:r>
                              </m:sub>
                            </m:sSub>
                          </m:e>
                        </m:nary>
                      </m:e>
                    </m:nary>
                  </m:e>
                </m:nary>
                <m:r>
                  <w:rPr>
                    <w:rFonts w:ascii="Cambria Math" w:eastAsia="Calibri" w:hAnsi="Cambria Math" w:cs="Calibri"/>
                  </w:rPr>
                  <m:t xml:space="preserve">  ∀ i∈I, e∈E, y∈Y</m:t>
                </m:r>
                <m:r>
                  <w:rPr>
                    <w:rFonts w:ascii="Cambria Math" w:hAnsi="Cambria Math"/>
                  </w:rPr>
                  <m:t xml:space="preserve"> </m:t>
                </m:r>
              </m:oMath>
            </m:oMathPara>
          </w:p>
        </w:tc>
        <w:tc>
          <w:tcPr>
            <w:tcW w:w="766" w:type="dxa"/>
          </w:tcPr>
          <w:p w14:paraId="7BCE2C4A" w14:textId="77777777" w:rsidR="00087617" w:rsidRPr="002212F0" w:rsidRDefault="00087617" w:rsidP="005D37FF">
            <w:pPr>
              <w:jc w:val="center"/>
              <w:rPr>
                <w:sz w:val="10"/>
                <w:szCs w:val="10"/>
              </w:rPr>
            </w:pPr>
          </w:p>
          <w:p w14:paraId="201692F8" w14:textId="77777777" w:rsidR="007C53FF" w:rsidRPr="002212F0" w:rsidRDefault="007C53FF" w:rsidP="005D37FF">
            <w:pPr>
              <w:jc w:val="center"/>
              <w:rPr>
                <w:sz w:val="10"/>
                <w:szCs w:val="10"/>
              </w:rPr>
            </w:pPr>
          </w:p>
          <w:p w14:paraId="2F85FDBB" w14:textId="55274CB2" w:rsidR="00087617" w:rsidRPr="00CF1102" w:rsidRDefault="00087617" w:rsidP="005D37FF">
            <w:pPr>
              <w:spacing w:line="360" w:lineRule="auto"/>
              <w:jc w:val="center"/>
            </w:pPr>
            <w:r w:rsidRPr="002212F0">
              <w:t>(</w:t>
            </w:r>
            <w:r w:rsidR="002212F0" w:rsidRPr="002212F0">
              <w:t>11</w:t>
            </w:r>
            <w:r w:rsidRPr="002212F0">
              <w:t>)</w:t>
            </w:r>
          </w:p>
        </w:tc>
      </w:tr>
    </w:tbl>
    <w:p w14:paraId="0B969AAE" w14:textId="738FFA2B" w:rsidR="0010032D" w:rsidRDefault="00233EAC" w:rsidP="00143641">
      <w:pPr>
        <w:spacing w:before="240" w:after="0" w:line="360" w:lineRule="auto"/>
        <w:jc w:val="both"/>
      </w:pPr>
      <w:r w:rsidRPr="00A26B71">
        <w:t xml:space="preserve">The elementary flows </w:t>
      </w:r>
      <m:oMath>
        <m:sSub>
          <m:sSubPr>
            <m:ctrlPr>
              <w:rPr>
                <w:rFonts w:ascii="Cambria Math" w:hAnsi="Cambria Math"/>
                <w:i/>
              </w:rPr>
            </m:ctrlPr>
          </m:sSubPr>
          <m:e>
            <m:r>
              <w:rPr>
                <w:rFonts w:ascii="Cambria Math" w:hAnsi="Cambria Math"/>
              </w:rPr>
              <m:t>Q</m:t>
            </m:r>
          </m:e>
          <m:sub>
            <m:r>
              <w:rPr>
                <w:rFonts w:ascii="Cambria Math" w:hAnsi="Cambria Math"/>
              </w:rPr>
              <m:t>i,s,t,y</m:t>
            </m:r>
          </m:sub>
        </m:sSub>
      </m:oMath>
      <w:r w:rsidR="00AE46B6" w:rsidRPr="00A26B71">
        <w:t xml:space="preserve"> </w:t>
      </w:r>
      <w:r w:rsidRPr="00A26B71">
        <w:t xml:space="preserve">include those </w:t>
      </w:r>
      <w:r w:rsidRPr="00762231">
        <w:t>associated with the foreground and background activities</w:t>
      </w:r>
      <w:r w:rsidR="00E651CB" w:rsidRPr="00762231">
        <w:t xml:space="preserve"> and are calculated </w:t>
      </w:r>
      <w:r w:rsidR="009D5D8A" w:rsidRPr="00762231">
        <w:t>a</w:t>
      </w:r>
      <w:r w:rsidR="00063CF0" w:rsidRPr="00762231">
        <w:t xml:space="preserve">s the sum of </w:t>
      </w:r>
      <m:oMath>
        <m:r>
          <w:rPr>
            <w:rFonts w:ascii="Cambria Math" w:eastAsia="Calibri" w:hAnsi="Cambria Math" w:cs="Calibri"/>
          </w:rPr>
          <m:t>CD</m:t>
        </m:r>
        <m:sSub>
          <m:sSubPr>
            <m:ctrlPr>
              <w:rPr>
                <w:rFonts w:ascii="Cambria Math" w:eastAsia="Calibri" w:hAnsi="Cambria Math" w:cs="Calibri"/>
                <w:i/>
              </w:rPr>
            </m:ctrlPr>
          </m:sSubPr>
          <m:e>
            <m:r>
              <w:rPr>
                <w:rFonts w:ascii="Cambria Math" w:eastAsia="Calibri" w:hAnsi="Cambria Math" w:cs="Calibri"/>
              </w:rPr>
              <m:t>R</m:t>
            </m:r>
          </m:e>
          <m:sub>
            <m:r>
              <w:rPr>
                <w:rFonts w:ascii="Cambria Math" w:eastAsia="Calibri" w:hAnsi="Cambria Math" w:cs="Calibri"/>
              </w:rPr>
              <m:t>i,s,t,y</m:t>
            </m:r>
          </m:sub>
        </m:sSub>
      </m:oMath>
      <w:r w:rsidR="00063CF0" w:rsidRPr="00762231">
        <w:rPr>
          <w:rFonts w:ascii="Calibri" w:eastAsia="Calibri" w:hAnsi="Calibri" w:cs="Calibri"/>
        </w:rPr>
        <w:t>,</w:t>
      </w:r>
      <w:r w:rsidR="0010032D" w:rsidRPr="00762231">
        <w:rPr>
          <w:rFonts w:ascii="Calibri" w:eastAsia="Calibri" w:hAnsi="Calibri" w:cs="Calibri"/>
        </w:rPr>
        <w:t xml:space="preserve"> </w:t>
      </w:r>
      <m:oMath>
        <m:r>
          <w:rPr>
            <w:rFonts w:ascii="Cambria Math" w:eastAsia="Calibri" w:hAnsi="Cambria Math" w:cs="Calibri"/>
          </w:rPr>
          <m:t>GH</m:t>
        </m:r>
        <m:sSub>
          <m:sSubPr>
            <m:ctrlPr>
              <w:rPr>
                <w:rFonts w:ascii="Cambria Math" w:eastAsia="Calibri" w:hAnsi="Cambria Math" w:cs="Calibri"/>
                <w:i/>
              </w:rPr>
            </m:ctrlPr>
          </m:sSubPr>
          <m:e>
            <m:r>
              <w:rPr>
                <w:rFonts w:ascii="Cambria Math" w:eastAsia="Calibri" w:hAnsi="Cambria Math" w:cs="Calibri"/>
              </w:rPr>
              <m:t>G</m:t>
            </m:r>
          </m:e>
          <m:sub>
            <m:r>
              <w:rPr>
                <w:rFonts w:ascii="Cambria Math" w:eastAsia="Calibri" w:hAnsi="Cambria Math" w:cs="Calibri"/>
              </w:rPr>
              <m:t>i,s,t,y</m:t>
            </m:r>
          </m:sub>
        </m:sSub>
      </m:oMath>
      <w:r w:rsidR="00724F7A" w:rsidRPr="00762231">
        <w:rPr>
          <w:rFonts w:ascii="Calibri" w:eastAsia="Calibri" w:hAnsi="Calibri" w:cs="Calibri"/>
        </w:rPr>
        <w:t xml:space="preserve">, </w:t>
      </w:r>
      <w:r w:rsidR="00FD30B1">
        <w:rPr>
          <w:rFonts w:ascii="Calibri" w:eastAsia="Calibri" w:hAnsi="Calibri" w:cs="Calibri"/>
        </w:rPr>
        <w:t xml:space="preserve">amount of </w:t>
      </w:r>
      <w:r w:rsidR="00724F7A" w:rsidRPr="006830F8">
        <w:rPr>
          <w:rFonts w:ascii="Calibri" w:eastAsia="Calibri" w:hAnsi="Calibri" w:cs="Calibri"/>
        </w:rPr>
        <w:t>pollutants different from greenhouse gases (</w:t>
      </w:r>
      <m:oMath>
        <m:sSub>
          <m:sSubPr>
            <m:ctrlPr>
              <w:rPr>
                <w:rFonts w:ascii="Cambria Math" w:eastAsia="Yu Mincho" w:hAnsi="Cambria Math" w:cs="Times New Roman"/>
                <w:i/>
              </w:rPr>
            </m:ctrlPr>
          </m:sSubPr>
          <m:e>
            <m:r>
              <w:rPr>
                <w:rFonts w:ascii="Cambria Math" w:eastAsia="Yu Mincho" w:hAnsi="Cambria Math" w:cs="Times New Roman"/>
              </w:rPr>
              <m:t>P</m:t>
            </m:r>
          </m:e>
          <m:sub>
            <m:r>
              <w:rPr>
                <w:rFonts w:ascii="Cambria Math" w:eastAsia="Yu Mincho" w:hAnsi="Cambria Math" w:cs="Times New Roman"/>
              </w:rPr>
              <m:t>i,s,t,y</m:t>
            </m:r>
          </m:sub>
        </m:sSub>
      </m:oMath>
      <w:r w:rsidR="00AE46B6" w:rsidRPr="006830F8">
        <w:rPr>
          <w:rFonts w:ascii="Calibri" w:eastAsia="Calibri" w:hAnsi="Calibri" w:cs="Calibri"/>
        </w:rPr>
        <w:t xml:space="preserve">) and </w:t>
      </w:r>
      <w:r w:rsidR="00CA741F" w:rsidRPr="006830F8">
        <w:rPr>
          <w:rFonts w:ascii="Calibri" w:eastAsia="Calibri" w:hAnsi="Calibri" w:cs="Calibri"/>
        </w:rPr>
        <w:t xml:space="preserve">amount of </w:t>
      </w:r>
      <w:r w:rsidR="00AE46B6" w:rsidRPr="006830F8">
        <w:rPr>
          <w:rFonts w:ascii="Calibri" w:eastAsia="Calibri" w:hAnsi="Calibri" w:cs="Calibri"/>
        </w:rPr>
        <w:t>natural resources (</w:t>
      </w:r>
      <m:oMath>
        <m:r>
          <w:rPr>
            <w:rFonts w:ascii="Cambria Math" w:eastAsia="Yu Mincho" w:hAnsi="Cambria Math" w:cs="Times New Roman"/>
          </w:rPr>
          <m:t>N</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oMath>
      <w:r w:rsidR="00AE46B6" w:rsidRPr="006830F8">
        <w:rPr>
          <w:rFonts w:ascii="Calibri" w:eastAsia="Calibri" w:hAnsi="Calibri" w:cs="Calibri"/>
        </w:rPr>
        <w:t>)</w:t>
      </w:r>
      <w:r w:rsidR="005F095C" w:rsidRPr="00A26B71">
        <w:rPr>
          <w:rFonts w:ascii="Calibri" w:eastAsia="Calibri" w:hAnsi="Calibri" w:cs="Calibri"/>
        </w:rPr>
        <w:t xml:space="preserve"> </w:t>
      </w:r>
      <w:r w:rsidR="005E787A" w:rsidRPr="00A26B71">
        <w:rPr>
          <w:rFonts w:ascii="Calibri" w:eastAsia="Calibri" w:hAnsi="Calibri" w:cs="Calibri"/>
        </w:rPr>
        <w:t>exchanged with the environment throughout the NETPs</w:t>
      </w:r>
      <w:r w:rsidR="00F13F7D" w:rsidRPr="00A26B71">
        <w:rPr>
          <w:rFonts w:ascii="Calibri" w:eastAsia="Calibri" w:hAnsi="Calibri" w:cs="Calibri"/>
        </w:rPr>
        <w:t>’</w:t>
      </w:r>
      <w:r w:rsidR="005E787A" w:rsidRPr="00A26B71">
        <w:rPr>
          <w:rFonts w:ascii="Calibri" w:eastAsia="Calibri" w:hAnsi="Calibri" w:cs="Calibri"/>
        </w:rPr>
        <w:t xml:space="preserve"> life cycle</w:t>
      </w:r>
      <w:r w:rsidR="00CA14AC" w:rsidRPr="00A9514E">
        <w:rPr>
          <w:rFonts w:ascii="Calibri" w:eastAsia="Calibri" w:hAnsi="Calibri" w:cs="Calibri"/>
        </w:rPr>
        <w:t xml:space="preserve">, plus the elementary flows </w:t>
      </w:r>
      <w:r w:rsidR="00A75097" w:rsidRPr="00A9514E">
        <w:rPr>
          <w:rFonts w:ascii="Calibri" w:eastAsia="Calibri" w:hAnsi="Calibri" w:cs="Calibri"/>
        </w:rPr>
        <w:t>prevented from being emitted or extracted due to the substitution effect of the secondary</w:t>
      </w:r>
      <w:r w:rsidR="0017737E" w:rsidRPr="00A9514E">
        <w:rPr>
          <w:rFonts w:ascii="Calibri" w:eastAsia="Calibri" w:hAnsi="Calibri" w:cs="Calibri"/>
        </w:rPr>
        <w:t xml:space="preserve"> products or</w:t>
      </w:r>
      <w:r w:rsidR="00A75097" w:rsidRPr="00A9514E">
        <w:rPr>
          <w:rFonts w:ascii="Calibri" w:eastAsia="Calibri" w:hAnsi="Calibri" w:cs="Calibri"/>
        </w:rPr>
        <w:t xml:space="preserve"> services provided by NETPs (</w:t>
      </w:r>
      <m:oMath>
        <m:r>
          <w:rPr>
            <w:rFonts w:ascii="Cambria Math" w:eastAsia="Yu Mincho" w:hAnsi="Cambria Math" w:cs="Times New Roman"/>
          </w:rPr>
          <m:t>PE</m:t>
        </m:r>
        <m:sSub>
          <m:sSubPr>
            <m:ctrlPr>
              <w:rPr>
                <w:rFonts w:ascii="Cambria Math" w:eastAsia="Yu Mincho" w:hAnsi="Cambria Math" w:cs="Times New Roman"/>
                <w:i/>
              </w:rPr>
            </m:ctrlPr>
          </m:sSubPr>
          <m:e>
            <m:r>
              <w:rPr>
                <w:rFonts w:ascii="Cambria Math" w:eastAsia="Yu Mincho" w:hAnsi="Cambria Math" w:cs="Times New Roman"/>
              </w:rPr>
              <m:t>F</m:t>
            </m:r>
          </m:e>
          <m:sub>
            <m:r>
              <w:rPr>
                <w:rFonts w:ascii="Cambria Math" w:eastAsia="Yu Mincho" w:hAnsi="Cambria Math" w:cs="Times New Roman"/>
              </w:rPr>
              <m:t>i,s,t,y</m:t>
            </m:r>
          </m:sub>
        </m:sSub>
      </m:oMath>
      <w:r w:rsidR="00C12D4C" w:rsidRPr="00A9514E">
        <w:rPr>
          <w:rFonts w:ascii="Calibri" w:eastAsia="Calibri" w:hAnsi="Calibri" w:cs="Calibri"/>
        </w:rPr>
        <w:t xml:space="preserve">), as </w:t>
      </w:r>
      <w:r w:rsidR="00C12D4C" w:rsidRPr="00172767">
        <w:rPr>
          <w:rFonts w:ascii="Calibri" w:eastAsia="Calibri" w:hAnsi="Calibri" w:cs="Calibri"/>
        </w:rPr>
        <w:t xml:space="preserve">Equation </w:t>
      </w:r>
      <w:r w:rsidR="0023526E" w:rsidRPr="00172767">
        <w:rPr>
          <w:rFonts w:ascii="Calibri" w:eastAsia="Calibri" w:hAnsi="Calibri" w:cs="Calibri"/>
        </w:rPr>
        <w:t>(12)</w:t>
      </w:r>
      <w:r w:rsidR="00C12D4C" w:rsidRPr="00A26B71">
        <w:rPr>
          <w:rFonts w:ascii="Calibri" w:eastAsia="Calibri" w:hAnsi="Calibri" w:cs="Calibri"/>
        </w:rPr>
        <w:t xml:space="preserve"> shows. </w:t>
      </w:r>
      <w:r w:rsidR="00B01446" w:rsidRPr="00A26B71">
        <w:rPr>
          <w:rFonts w:ascii="Calibri" w:eastAsia="Calibri" w:hAnsi="Calibri" w:cs="Calibri"/>
        </w:rPr>
        <w:t xml:space="preserve">Note that </w:t>
      </w:r>
      <w:r w:rsidR="005B63C1" w:rsidRPr="00A26B71">
        <w:rPr>
          <w:rFonts w:ascii="Calibri" w:eastAsia="Calibri" w:hAnsi="Calibri" w:cs="Calibri"/>
        </w:rPr>
        <w:t xml:space="preserve">the </w:t>
      </w:r>
      <w:r w:rsidR="00093FC0" w:rsidRPr="00A26B71">
        <w:rPr>
          <w:rFonts w:ascii="Calibri" w:eastAsia="Calibri" w:hAnsi="Calibri" w:cs="Calibri"/>
        </w:rPr>
        <w:t xml:space="preserve">values of the </w:t>
      </w:r>
      <w:r w:rsidR="00C84C07" w:rsidRPr="00A26B71">
        <w:rPr>
          <w:rFonts w:ascii="Calibri" w:eastAsia="Calibri" w:hAnsi="Calibri" w:cs="Calibri"/>
        </w:rPr>
        <w:t>elementary flows</w:t>
      </w:r>
      <w:r w:rsidR="005B63C1" w:rsidRPr="00A26B71">
        <w:rPr>
          <w:rFonts w:ascii="Calibri" w:eastAsia="Calibri" w:hAnsi="Calibri" w:cs="Calibri"/>
        </w:rPr>
        <w:t xml:space="preserve"> removed or pre</w:t>
      </w:r>
      <w:r w:rsidR="005B63C1" w:rsidRPr="00762231">
        <w:rPr>
          <w:rFonts w:ascii="Calibri" w:eastAsia="Calibri" w:hAnsi="Calibri" w:cs="Calibri"/>
        </w:rPr>
        <w:t>vented (</w:t>
      </w:r>
      <m:oMath>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oMath>
      <w:r w:rsidR="00093FC0" w:rsidRPr="00762231">
        <w:rPr>
          <w:rFonts w:ascii="Calibri" w:eastAsia="Calibri" w:hAnsi="Calibri" w:cs="Calibri"/>
        </w:rPr>
        <w:t xml:space="preserve"> and </w:t>
      </w:r>
      <m:oMath>
        <m:r>
          <w:rPr>
            <w:rFonts w:ascii="Cambria Math" w:eastAsia="Yu Mincho" w:hAnsi="Cambria Math" w:cs="Times New Roman"/>
          </w:rPr>
          <m:t>PE</m:t>
        </m:r>
        <m:sSub>
          <m:sSubPr>
            <m:ctrlPr>
              <w:rPr>
                <w:rFonts w:ascii="Cambria Math" w:eastAsia="Yu Mincho" w:hAnsi="Cambria Math" w:cs="Times New Roman"/>
                <w:i/>
                <w:kern w:val="2"/>
                <w14:ligatures w14:val="standardContextual"/>
              </w:rPr>
            </m:ctrlPr>
          </m:sSubPr>
          <m:e>
            <m:r>
              <w:rPr>
                <w:rFonts w:ascii="Cambria Math" w:eastAsia="Yu Mincho" w:hAnsi="Cambria Math" w:cs="Times New Roman"/>
              </w:rPr>
              <m:t>F</m:t>
            </m:r>
            <m:ctrlPr>
              <w:rPr>
                <w:rFonts w:ascii="Cambria Math" w:eastAsia="Yu Mincho" w:hAnsi="Cambria Math" w:cs="Times New Roman"/>
                <w:i/>
              </w:rPr>
            </m:ctrlPr>
          </m:e>
          <m:sub>
            <m:r>
              <w:rPr>
                <w:rFonts w:ascii="Cambria Math" w:eastAsia="Yu Mincho" w:hAnsi="Cambria Math" w:cs="Times New Roman"/>
              </w:rPr>
              <m:t>i,s,t,y</m:t>
            </m:r>
          </m:sub>
        </m:sSub>
      </m:oMath>
      <w:r w:rsidR="005B63C1" w:rsidRPr="00A26B71">
        <w:rPr>
          <w:rFonts w:ascii="Calibri" w:eastAsia="Calibri" w:hAnsi="Calibri" w:cs="Calibri"/>
        </w:rPr>
        <w:t>)</w:t>
      </w:r>
      <w:r w:rsidR="00C84C07" w:rsidRPr="00A26B71">
        <w:rPr>
          <w:rFonts w:ascii="Calibri" w:eastAsia="Calibri" w:hAnsi="Calibri" w:cs="Calibri"/>
        </w:rPr>
        <w:t xml:space="preserve"> </w:t>
      </w:r>
      <w:r w:rsidR="00093FC0" w:rsidRPr="00A26B71">
        <w:rPr>
          <w:rFonts w:ascii="Calibri" w:eastAsia="Calibri" w:hAnsi="Calibri" w:cs="Calibri"/>
        </w:rPr>
        <w:t>are</w:t>
      </w:r>
      <w:r w:rsidR="00C84C07" w:rsidRPr="00A26B71">
        <w:rPr>
          <w:rFonts w:ascii="Calibri" w:eastAsia="Calibri" w:hAnsi="Calibri" w:cs="Calibri"/>
        </w:rPr>
        <w:t xml:space="preserve"> </w:t>
      </w:r>
      <w:r w:rsidR="00093FC0" w:rsidRPr="00A26B71">
        <w:rPr>
          <w:rFonts w:ascii="Calibri" w:eastAsia="Calibri" w:hAnsi="Calibri" w:cs="Calibri"/>
        </w:rPr>
        <w:t>≤0.</w:t>
      </w:r>
    </w:p>
    <w:p w14:paraId="199D6D1E" w14:textId="71FCD38C" w:rsidR="006D2BB2" w:rsidRDefault="00285090" w:rsidP="00143641">
      <w:pPr>
        <w:spacing w:before="240" w:after="0" w:line="360" w:lineRule="auto"/>
        <w:jc w:val="both"/>
      </w:pPr>
      <w:r>
        <w:t>C</w:t>
      </w:r>
      <w:r w:rsidR="006F03E7">
        <w:t xml:space="preserve">onsistent with </w:t>
      </w:r>
      <w:r w:rsidR="00C92C5C">
        <w:t>our</w:t>
      </w:r>
      <w:r w:rsidR="006F03E7">
        <w:t xml:space="preserve"> goal of quantify</w:t>
      </w:r>
      <w:r w:rsidR="00C44F02">
        <w:t>ing the</w:t>
      </w:r>
      <w:r w:rsidR="006F03E7">
        <w:t xml:space="preserve"> </w:t>
      </w:r>
      <w:r w:rsidR="00565E76">
        <w:t xml:space="preserve">impacts </w:t>
      </w:r>
      <w:r w:rsidR="00D61E14">
        <w:t xml:space="preserve">of </w:t>
      </w:r>
      <w:r w:rsidR="00242980">
        <w:t xml:space="preserve">the </w:t>
      </w:r>
      <w:r w:rsidR="00D61E14">
        <w:t xml:space="preserve">CDR occurring in year </w:t>
      </w:r>
      <w:r w:rsidR="00D61E14" w:rsidRPr="006B7918">
        <w:rPr>
          <w:i/>
          <w:iCs/>
        </w:rPr>
        <w:t>y</w:t>
      </w:r>
      <w:r w:rsidR="00D61E14">
        <w:t xml:space="preserve">, </w:t>
      </w:r>
      <w:r w:rsidR="005B72D5">
        <w:t xml:space="preserve">we only consider the CDR happening </w:t>
      </w:r>
      <w:r w:rsidR="004043CC">
        <w:t xml:space="preserve">that </w:t>
      </w:r>
      <w:r w:rsidR="004043CC" w:rsidRPr="00C40B80">
        <w:t>year</w:t>
      </w:r>
      <w:r w:rsidR="00E05FCE" w:rsidRPr="00C40B80">
        <w:t xml:space="preserve"> </w:t>
      </w:r>
      <w:r w:rsidR="000B065D" w:rsidRPr="00C40B80">
        <w:t>(</w:t>
      </w:r>
      <m:oMath>
        <m:r>
          <w:rPr>
            <w:rFonts w:ascii="Cambria Math" w:hAnsi="Cambria Math"/>
          </w:rPr>
          <m:t>t=0</m:t>
        </m:r>
      </m:oMath>
      <w:r w:rsidR="00E05FCE" w:rsidRPr="00C40B80">
        <w:t xml:space="preserve">, </w:t>
      </w:r>
      <w:r w:rsidR="000B065D" w:rsidRPr="00C40B80">
        <w:t xml:space="preserve">Equation </w:t>
      </w:r>
      <w:r w:rsidR="00796B36" w:rsidRPr="00C40B80">
        <w:t>(13)</w:t>
      </w:r>
      <w:r w:rsidR="000B065D" w:rsidRPr="00C40B80">
        <w:t>),</w:t>
      </w:r>
      <w:r w:rsidR="000B065D">
        <w:t xml:space="preserve"> although </w:t>
      </w:r>
      <w:r w:rsidR="005079CB">
        <w:t xml:space="preserve">some of </w:t>
      </w:r>
      <w:r w:rsidR="0010368C">
        <w:t xml:space="preserve">the greenhouse gas </w:t>
      </w:r>
      <w:r w:rsidR="0010368C" w:rsidRPr="00CC5E7F">
        <w:t>emissions linked to that year’s CDR can happen in</w:t>
      </w:r>
      <w:r w:rsidR="007F77DB" w:rsidRPr="00CC5E7F">
        <w:t xml:space="preserve"> the following years (Equation </w:t>
      </w:r>
      <w:r w:rsidR="004F2468" w:rsidRPr="00CC5E7F">
        <w:t>(4)</w:t>
      </w:r>
      <w:r w:rsidR="00903460" w:rsidRPr="00CC5E7F">
        <w:t xml:space="preserve"> and Inequality </w:t>
      </w:r>
      <w:r w:rsidR="004F2468" w:rsidRPr="00CC5E7F">
        <w:t>(5)</w:t>
      </w:r>
      <w:r w:rsidR="007F77DB" w:rsidRPr="00CC5E7F">
        <w:t>)</w:t>
      </w:r>
      <w:r w:rsidR="006E32EE" w:rsidRPr="00CC5E7F">
        <w:t xml:space="preserve">. </w:t>
      </w:r>
      <w:r w:rsidR="00662C9B" w:rsidRPr="00CC5E7F">
        <w:t xml:space="preserve">Similarly, </w:t>
      </w:r>
      <w:r w:rsidR="008E2ADF" w:rsidRPr="00CC5E7F">
        <w:t>non-</w:t>
      </w:r>
      <w:r w:rsidR="008E2ADF">
        <w:t xml:space="preserve">greenhouse gas pollutants </w:t>
      </w:r>
      <w:r w:rsidR="0004454B">
        <w:t xml:space="preserve">only occur </w:t>
      </w:r>
      <w:r w:rsidR="008E2ADF">
        <w:t xml:space="preserve">after </w:t>
      </w:r>
      <w:r w:rsidR="00D04CB8">
        <w:t>the year of deployment in the enhanced weathering and forestation scenarios</w:t>
      </w:r>
      <w:r w:rsidR="00831A3F">
        <w:t xml:space="preserve"> </w:t>
      </w:r>
      <w:r w:rsidR="00831A3F" w:rsidRPr="005A3839">
        <w:t xml:space="preserve">(Inequality </w:t>
      </w:r>
      <w:r w:rsidR="00897704" w:rsidRPr="005A3839">
        <w:t>(14)</w:t>
      </w:r>
      <w:r w:rsidR="00831A3F" w:rsidRPr="005A3839">
        <w:t>)</w:t>
      </w:r>
      <w:r w:rsidR="00D04CB8" w:rsidRPr="005A3839">
        <w:t xml:space="preserve">, </w:t>
      </w:r>
      <w:r w:rsidR="00297CD2" w:rsidRPr="005A3839">
        <w:t>which</w:t>
      </w:r>
      <w:r w:rsidR="00297CD2">
        <w:t xml:space="preserve"> </w:t>
      </w:r>
      <w:r w:rsidR="00421FCD">
        <w:t>release pollutants</w:t>
      </w:r>
      <w:r w:rsidR="00297CD2">
        <w:t xml:space="preserve"> related to t</w:t>
      </w:r>
      <w:r w:rsidR="006A6335">
        <w:t xml:space="preserve">he rock dissolution (rock emissions, </w:t>
      </w:r>
      <m:oMath>
        <m:r>
          <w:rPr>
            <w:rFonts w:ascii="Cambria Math" w:hAnsi="Cambria Math"/>
          </w:rPr>
          <m:t>RE</m:t>
        </m:r>
      </m:oMath>
      <w:r w:rsidR="006A6335">
        <w:t xml:space="preserve">) and </w:t>
      </w:r>
      <w:r w:rsidR="00421FCD">
        <w:t xml:space="preserve">fires (fire emissions, </w:t>
      </w:r>
      <m:oMath>
        <m:r>
          <w:rPr>
            <w:rFonts w:ascii="Cambria Math" w:hAnsi="Cambria Math"/>
          </w:rPr>
          <m:t>FE</m:t>
        </m:r>
      </m:oMath>
      <w:r w:rsidR="00421FCD">
        <w:t>)</w:t>
      </w:r>
      <w:r w:rsidR="0004454B">
        <w:t>, respectively</w:t>
      </w:r>
      <w:r w:rsidR="00421FCD">
        <w:t xml:space="preserve">. </w:t>
      </w:r>
      <w:r w:rsidR="00414F5E">
        <w:t>In our inventories, t</w:t>
      </w:r>
      <w:r w:rsidR="009575D6">
        <w:t xml:space="preserve">he extraction of </w:t>
      </w:r>
      <w:r w:rsidR="006F5F34">
        <w:t xml:space="preserve">natural resources </w:t>
      </w:r>
      <w:r w:rsidR="00F5263B">
        <w:t>is</w:t>
      </w:r>
      <w:r w:rsidR="006F5F34">
        <w:t xml:space="preserve"> linked to </w:t>
      </w:r>
      <w:r w:rsidR="00414F5E">
        <w:t xml:space="preserve">the infrastructure and operating activities happening the year of deployment </w:t>
      </w:r>
      <w:r w:rsidR="008F72E6" w:rsidRPr="002D4030">
        <w:t xml:space="preserve">(Equation </w:t>
      </w:r>
      <w:r w:rsidR="004836C1" w:rsidRPr="002D4030">
        <w:t>(15)</w:t>
      </w:r>
      <w:r w:rsidR="008F72E6" w:rsidRPr="002D4030">
        <w:t xml:space="preserve">), while the </w:t>
      </w:r>
      <w:r w:rsidR="00B01D0C" w:rsidRPr="002D4030">
        <w:t xml:space="preserve">secondary </w:t>
      </w:r>
      <w:r w:rsidR="005F097B" w:rsidRPr="002D4030">
        <w:t xml:space="preserve">products and services </w:t>
      </w:r>
      <w:r w:rsidR="00B01D0C" w:rsidRPr="002D4030">
        <w:t xml:space="preserve">delivered by NETPs are </w:t>
      </w:r>
      <w:r w:rsidR="00DD41F7" w:rsidRPr="002D4030">
        <w:t xml:space="preserve">also </w:t>
      </w:r>
      <w:r w:rsidR="00B01D0C" w:rsidRPr="002D4030">
        <w:t xml:space="preserve">assumed to replace the incumbent </w:t>
      </w:r>
      <w:r w:rsidR="00875B95" w:rsidRPr="002D4030">
        <w:t xml:space="preserve">ones </w:t>
      </w:r>
      <w:r w:rsidR="00566C15" w:rsidRPr="002D4030">
        <w:t xml:space="preserve">the year of </w:t>
      </w:r>
      <w:r w:rsidR="00875B95" w:rsidRPr="002D4030">
        <w:t>CDR</w:t>
      </w:r>
      <w:r w:rsidR="00155BF1" w:rsidRPr="002D4030">
        <w:t xml:space="preserve"> (Equation </w:t>
      </w:r>
      <w:r w:rsidR="002D4030" w:rsidRPr="002D4030">
        <w:t>(16)</w:t>
      </w:r>
      <w:r w:rsidR="00155BF1" w:rsidRPr="002D4030">
        <w:t>)</w:t>
      </w:r>
      <w:r w:rsidR="00566C15" w:rsidRPr="002D4030">
        <w:t>.</w:t>
      </w:r>
      <w:r w:rsidR="00566C15">
        <w:t xml:space="preserve"> </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2"/>
        <w:gridCol w:w="766"/>
      </w:tblGrid>
      <w:tr w:rsidR="00132947" w14:paraId="40417E70" w14:textId="77777777" w:rsidTr="007F2850">
        <w:tc>
          <w:tcPr>
            <w:tcW w:w="7792" w:type="dxa"/>
          </w:tcPr>
          <w:p w14:paraId="2CFE0165" w14:textId="50DCB486" w:rsidR="00132947" w:rsidRPr="00210956" w:rsidRDefault="00000000" w:rsidP="00E65C4A">
            <w:pPr>
              <w:tabs>
                <w:tab w:val="left" w:pos="1880"/>
              </w:tabs>
              <w:spacing w:line="360" w:lineRule="auto"/>
              <w:jc w:val="center"/>
            </w:pPr>
            <m:oMathPara>
              <m:oMath>
                <m:sSub>
                  <m:sSubPr>
                    <m:ctrlPr>
                      <w:rPr>
                        <w:rFonts w:ascii="Cambria Math" w:eastAsia="Yu Mincho" w:hAnsi="Cambria Math" w:cs="Times New Roman"/>
                        <w:i/>
                      </w:rPr>
                    </m:ctrlPr>
                  </m:sSubPr>
                  <m:e>
                    <m:r>
                      <w:rPr>
                        <w:rFonts w:ascii="Cambria Math" w:eastAsia="Yu Mincho" w:hAnsi="Cambria Math" w:cs="Times New Roman"/>
                      </w:rPr>
                      <m:t>Q</m:t>
                    </m:r>
                  </m:e>
                  <m:sub>
                    <m:r>
                      <w:rPr>
                        <w:rFonts w:ascii="Cambria Math" w:eastAsia="Yu Mincho" w:hAnsi="Cambria Math" w:cs="Times New Roman"/>
                      </w:rPr>
                      <m:t>i,s,t,y</m:t>
                    </m:r>
                  </m:sub>
                </m:sSub>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r>
                  <w:rPr>
                    <w:rFonts w:ascii="Cambria Math" w:eastAsia="Yu Mincho" w:hAnsi="Cambria Math" w:cs="Times New Roman"/>
                  </w:rPr>
                  <m:t>+GH</m:t>
                </m:r>
                <m:sSub>
                  <m:sSubPr>
                    <m:ctrlPr>
                      <w:rPr>
                        <w:rFonts w:ascii="Cambria Math" w:eastAsia="Yu Mincho" w:hAnsi="Cambria Math" w:cs="Times New Roman"/>
                        <w:i/>
                      </w:rPr>
                    </m:ctrlPr>
                  </m:sSubPr>
                  <m:e>
                    <m:r>
                      <w:rPr>
                        <w:rFonts w:ascii="Cambria Math" w:eastAsia="Yu Mincho" w:hAnsi="Cambria Math" w:cs="Times New Roman"/>
                      </w:rPr>
                      <m:t>G</m:t>
                    </m:r>
                  </m:e>
                  <m:sub>
                    <m:r>
                      <w:rPr>
                        <w:rFonts w:ascii="Cambria Math" w:eastAsia="Yu Mincho" w:hAnsi="Cambria Math" w:cs="Times New Roman"/>
                      </w:rPr>
                      <m:t>i,s,t,y</m:t>
                    </m:r>
                  </m:sub>
                </m:sSub>
                <m:r>
                  <w:rPr>
                    <w:rFonts w:ascii="Cambria Math" w:eastAsia="Yu Mincho" w:hAnsi="Cambria Math" w:cs="Times New Roman"/>
                  </w:rPr>
                  <m:t>+</m:t>
                </m:r>
                <m:sSub>
                  <m:sSubPr>
                    <m:ctrlPr>
                      <w:rPr>
                        <w:rFonts w:ascii="Cambria Math" w:eastAsia="Yu Mincho" w:hAnsi="Cambria Math" w:cs="Times New Roman"/>
                        <w:i/>
                      </w:rPr>
                    </m:ctrlPr>
                  </m:sSubPr>
                  <m:e>
                    <m:r>
                      <w:rPr>
                        <w:rFonts w:ascii="Cambria Math" w:eastAsia="Yu Mincho" w:hAnsi="Cambria Math" w:cs="Times New Roman"/>
                      </w:rPr>
                      <m:t>P</m:t>
                    </m:r>
                  </m:e>
                  <m:sub>
                    <m:r>
                      <w:rPr>
                        <w:rFonts w:ascii="Cambria Math" w:eastAsia="Yu Mincho" w:hAnsi="Cambria Math" w:cs="Times New Roman"/>
                      </w:rPr>
                      <m:t>i,s,t,y</m:t>
                    </m:r>
                  </m:sub>
                </m:sSub>
                <m:r>
                  <w:rPr>
                    <w:rFonts w:ascii="Cambria Math" w:eastAsia="Yu Mincho" w:hAnsi="Cambria Math" w:cs="Times New Roman"/>
                  </w:rPr>
                  <m:t>+N</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r>
                  <w:rPr>
                    <w:rFonts w:ascii="Cambria Math" w:eastAsia="Yu Mincho" w:hAnsi="Cambria Math" w:cs="Times New Roman"/>
                  </w:rPr>
                  <m:t>+PE</m:t>
                </m:r>
                <m:sSub>
                  <m:sSubPr>
                    <m:ctrlPr>
                      <w:rPr>
                        <w:rFonts w:ascii="Cambria Math" w:eastAsia="Yu Mincho" w:hAnsi="Cambria Math" w:cs="Times New Roman"/>
                        <w:i/>
                      </w:rPr>
                    </m:ctrlPr>
                  </m:sSubPr>
                  <m:e>
                    <m:r>
                      <w:rPr>
                        <w:rFonts w:ascii="Cambria Math" w:eastAsia="Yu Mincho" w:hAnsi="Cambria Math" w:cs="Times New Roman"/>
                      </w:rPr>
                      <m:t>F</m:t>
                    </m:r>
                  </m:e>
                  <m:sub>
                    <m:r>
                      <w:rPr>
                        <w:rFonts w:ascii="Cambria Math" w:eastAsia="Yu Mincho" w:hAnsi="Cambria Math" w:cs="Times New Roman"/>
                      </w:rPr>
                      <m:t>i,s,t,y</m:t>
                    </m:r>
                  </m:sub>
                </m:sSub>
              </m:oMath>
            </m:oMathPara>
          </w:p>
          <w:p w14:paraId="278838CA" w14:textId="5ED19B21" w:rsidR="00132947" w:rsidRDefault="00132947" w:rsidP="00E65C4A">
            <w:pPr>
              <w:tabs>
                <w:tab w:val="left" w:pos="1880"/>
              </w:tabs>
              <w:spacing w:line="360" w:lineRule="auto"/>
              <w:jc w:val="center"/>
              <w:rPr>
                <w:rFonts w:ascii="Calibri" w:eastAsia="Yu Mincho" w:hAnsi="Calibri" w:cs="Times New Roman"/>
              </w:rPr>
            </w:pPr>
            <m:oMathPara>
              <m:oMath>
                <m:r>
                  <w:rPr>
                    <w:rFonts w:ascii="Cambria Math" w:eastAsia="Calibri" w:hAnsi="Cambria Math" w:cs="Calibri"/>
                  </w:rPr>
                  <m:t>∀ i∈I,s∈S, t∈T, y∈Y</m:t>
                </m:r>
                <m:r>
                  <w:rPr>
                    <w:rFonts w:ascii="Cambria Math" w:hAnsi="Cambria Math"/>
                  </w:rPr>
                  <m:t xml:space="preserve"> </m:t>
                </m:r>
              </m:oMath>
            </m:oMathPara>
          </w:p>
        </w:tc>
        <w:tc>
          <w:tcPr>
            <w:tcW w:w="766" w:type="dxa"/>
          </w:tcPr>
          <w:p w14:paraId="2FF76098" w14:textId="1238DC92" w:rsidR="00132947" w:rsidRPr="00796B36" w:rsidRDefault="00132947" w:rsidP="00EA647C">
            <w:pPr>
              <w:jc w:val="center"/>
              <w:rPr>
                <w:sz w:val="18"/>
                <w:szCs w:val="18"/>
              </w:rPr>
            </w:pPr>
            <w:r w:rsidRPr="00796B36">
              <w:t>(1</w:t>
            </w:r>
            <w:r w:rsidR="00796B36" w:rsidRPr="00796B36">
              <w:t>2</w:t>
            </w:r>
            <w:r w:rsidRPr="00796B36">
              <w:t>)</w:t>
            </w:r>
          </w:p>
        </w:tc>
      </w:tr>
      <w:tr w:rsidR="003839CA" w:rsidRPr="003839CA" w14:paraId="643681CB" w14:textId="77777777" w:rsidTr="007F2850">
        <w:tc>
          <w:tcPr>
            <w:tcW w:w="7792" w:type="dxa"/>
          </w:tcPr>
          <w:p w14:paraId="2B9C52A6" w14:textId="46AD3C9D" w:rsidR="00132947" w:rsidRDefault="00132947" w:rsidP="00E65C4A">
            <w:pPr>
              <w:spacing w:line="360" w:lineRule="auto"/>
              <w:rPr>
                <w:rFonts w:ascii="Calibri" w:eastAsia="Yu Mincho" w:hAnsi="Calibri" w:cs="Times New Roman"/>
              </w:rPr>
            </w:pPr>
            <m:oMathPara>
              <m:oMath>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r>
                  <w:rPr>
                    <w:rFonts w:ascii="Cambria Math" w:eastAsia="Yu Mincho" w:hAnsi="Cambria Math" w:cs="Times New Roman"/>
                  </w:rPr>
                  <m:t xml:space="preserve">=0   </m:t>
                </m:r>
                <m:r>
                  <w:rPr>
                    <w:rFonts w:ascii="Cambria Math" w:eastAsia="Calibri" w:hAnsi="Cambria Math" w:cs="Calibri"/>
                  </w:rPr>
                  <m:t>∀  t&gt;0, i∈I,s=C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 y∈Y</m:t>
                </m:r>
              </m:oMath>
            </m:oMathPara>
          </w:p>
        </w:tc>
        <w:tc>
          <w:tcPr>
            <w:tcW w:w="766" w:type="dxa"/>
          </w:tcPr>
          <w:p w14:paraId="271B7A7B" w14:textId="6A29F6C8" w:rsidR="00132947" w:rsidRPr="00796B36" w:rsidRDefault="00132947" w:rsidP="00EA647C">
            <w:pPr>
              <w:jc w:val="center"/>
              <w:rPr>
                <w:sz w:val="10"/>
                <w:szCs w:val="10"/>
              </w:rPr>
            </w:pPr>
            <w:r w:rsidRPr="00796B36">
              <w:t>(</w:t>
            </w:r>
            <w:r w:rsidR="00796B36" w:rsidRPr="00796B36">
              <w:t>13</w:t>
            </w:r>
            <w:r w:rsidRPr="00796B36">
              <w:t>)</w:t>
            </w:r>
          </w:p>
        </w:tc>
      </w:tr>
      <w:tr w:rsidR="00852F2A" w:rsidRPr="00852F2A" w14:paraId="58098D4E" w14:textId="77777777" w:rsidTr="007F2850">
        <w:tc>
          <w:tcPr>
            <w:tcW w:w="7792" w:type="dxa"/>
          </w:tcPr>
          <w:p w14:paraId="79A2C014" w14:textId="77777777" w:rsidR="006159C6" w:rsidRPr="006159C6" w:rsidRDefault="00000000" w:rsidP="00E65C4A">
            <w:pPr>
              <w:spacing w:line="360" w:lineRule="auto"/>
            </w:pPr>
            <m:oMathPara>
              <m:oMath>
                <m:sSub>
                  <m:sSubPr>
                    <m:ctrlPr>
                      <w:rPr>
                        <w:rFonts w:ascii="Cambria Math" w:eastAsia="Yu Mincho" w:hAnsi="Cambria Math" w:cs="Times New Roman"/>
                        <w:i/>
                      </w:rPr>
                    </m:ctrlPr>
                  </m:sSubPr>
                  <m:e>
                    <m:r>
                      <w:rPr>
                        <w:rFonts w:ascii="Cambria Math" w:eastAsia="Yu Mincho" w:hAnsi="Cambria Math" w:cs="Times New Roman"/>
                      </w:rPr>
                      <m:t>P</m:t>
                    </m:r>
                  </m:e>
                  <m:sub>
                    <m:r>
                      <w:rPr>
                        <w:rFonts w:ascii="Cambria Math" w:eastAsia="Yu Mincho" w:hAnsi="Cambria Math" w:cs="Times New Roman"/>
                      </w:rPr>
                      <m:t>i,s,t,y</m:t>
                    </m:r>
                  </m:sub>
                </m:sSub>
                <m:r>
                  <w:rPr>
                    <w:rFonts w:ascii="Cambria Math" w:eastAsia="Yu Mincho" w:hAnsi="Cambria Math" w:cs="Times New Roman"/>
                  </w:rPr>
                  <m:t xml:space="preserve">&gt;0   </m:t>
                </m:r>
                <m:r>
                  <w:rPr>
                    <w:rFonts w:ascii="Cambria Math" w:eastAsia="Calibri" w:hAnsi="Cambria Math" w:cs="Calibri"/>
                  </w:rPr>
                  <m:t>∀  t&gt;0, y∈Y</m:t>
                </m:r>
              </m:oMath>
            </m:oMathPara>
          </w:p>
          <w:p w14:paraId="1A1E4308" w14:textId="324ED9FD" w:rsidR="00132947" w:rsidRDefault="003D0C54" w:rsidP="00E65C4A">
            <w:pPr>
              <w:spacing w:line="360" w:lineRule="auto"/>
              <w:rPr>
                <w:rFonts w:ascii="Calibri" w:eastAsia="Yu Mincho" w:hAnsi="Calibri" w:cs="Times New Roman"/>
              </w:rPr>
            </w:pPr>
            <m:oMathPara>
              <m:oMath>
                <m:r>
                  <w:rPr>
                    <w:rFonts w:ascii="Cambria Math" w:eastAsia="Calibri" w:hAnsi="Cambria Math" w:cs="Calibri"/>
                  </w:rPr>
                  <m:t>∀</m:t>
                </m:r>
                <m:r>
                  <w:rPr>
                    <w:rFonts w:ascii="Cambria Math" w:hAnsi="Cambria Math"/>
                  </w:rPr>
                  <m:t xml:space="preserve"> i,s | (</m:t>
                </m:r>
                <m:d>
                  <m:dPr>
                    <m:ctrlPr>
                      <w:rPr>
                        <w:rFonts w:ascii="Cambria Math" w:hAnsi="Cambria Math"/>
                        <w:i/>
                      </w:rPr>
                    </m:ctrlPr>
                  </m:dPr>
                  <m:e>
                    <m:r>
                      <w:rPr>
                        <w:rFonts w:ascii="Cambria Math" w:hAnsi="Cambria Math"/>
                      </w:rPr>
                      <m:t>i∈EW</m:t>
                    </m:r>
                  </m:e>
                </m:d>
                <m:r>
                  <w:rPr>
                    <w:rFonts w:ascii="Cambria Math" w:hAnsi="Cambria Math"/>
                  </w:rPr>
                  <m:t xml:space="preserve"> ⋀ (s</m:t>
                </m:r>
                <m:r>
                  <w:rPr>
                    <w:rFonts w:ascii="Cambria Math" w:eastAsia="Calibri" w:hAnsi="Cambria Math" w:cs="Calibri"/>
                  </w:rPr>
                  <m:t>∈RE</m:t>
                </m:r>
                <m:r>
                  <w:rPr>
                    <w:rFonts w:ascii="Cambria Math" w:hAnsi="Cambria Math"/>
                  </w:rPr>
                  <m:t>)) ⋁ (</m:t>
                </m:r>
                <m:d>
                  <m:dPr>
                    <m:ctrlPr>
                      <w:rPr>
                        <w:rFonts w:ascii="Cambria Math" w:hAnsi="Cambria Math"/>
                        <w:i/>
                      </w:rPr>
                    </m:ctrlPr>
                  </m:dPr>
                  <m:e>
                    <m:r>
                      <w:rPr>
                        <w:rFonts w:ascii="Cambria Math" w:hAnsi="Cambria Math"/>
                      </w:rPr>
                      <m:t>i∈FOREST)</m:t>
                    </m:r>
                  </m:e>
                </m:d>
                <m:r>
                  <w:rPr>
                    <w:rFonts w:ascii="Cambria Math" w:hAnsi="Cambria Math"/>
                  </w:rPr>
                  <m:t xml:space="preserve"> ⋀ </m:t>
                </m:r>
                <m:d>
                  <m:dPr>
                    <m:ctrlPr>
                      <w:rPr>
                        <w:rFonts w:ascii="Cambria Math" w:hAnsi="Cambria Math"/>
                        <w:i/>
                      </w:rPr>
                    </m:ctrlPr>
                  </m:dPr>
                  <m:e>
                    <m:r>
                      <w:rPr>
                        <w:rFonts w:ascii="Cambria Math" w:hAnsi="Cambria Math"/>
                      </w:rPr>
                      <m:t>s</m:t>
                    </m:r>
                    <m:r>
                      <w:rPr>
                        <w:rFonts w:ascii="Cambria Math" w:eastAsia="Calibri" w:hAnsi="Cambria Math" w:cs="Calibri"/>
                      </w:rPr>
                      <m:t>∈FE</m:t>
                    </m:r>
                  </m:e>
                </m:d>
                <m:r>
                  <w:rPr>
                    <w:rFonts w:ascii="Cambria Math" w:hAnsi="Cambria Math"/>
                  </w:rPr>
                  <m:t xml:space="preserve">) </m:t>
                </m:r>
              </m:oMath>
            </m:oMathPara>
          </w:p>
        </w:tc>
        <w:tc>
          <w:tcPr>
            <w:tcW w:w="766" w:type="dxa"/>
          </w:tcPr>
          <w:p w14:paraId="15FE4E2B" w14:textId="31DF0E78" w:rsidR="00132947" w:rsidRPr="00D1105E" w:rsidRDefault="00132947" w:rsidP="00EA647C">
            <w:pPr>
              <w:jc w:val="center"/>
              <w:rPr>
                <w:highlight w:val="yellow"/>
              </w:rPr>
            </w:pPr>
            <w:r w:rsidRPr="005A3839">
              <w:t>(</w:t>
            </w:r>
            <w:r w:rsidR="00897704" w:rsidRPr="005A3839">
              <w:t>14</w:t>
            </w:r>
            <w:r w:rsidRPr="005A3839">
              <w:t>)</w:t>
            </w:r>
          </w:p>
        </w:tc>
      </w:tr>
      <w:tr w:rsidR="00132947" w14:paraId="39934C5D" w14:textId="77777777" w:rsidTr="007F2850">
        <w:tc>
          <w:tcPr>
            <w:tcW w:w="7792" w:type="dxa"/>
          </w:tcPr>
          <w:p w14:paraId="017EC055" w14:textId="77777777" w:rsidR="00132947" w:rsidRDefault="00000000" w:rsidP="00E65C4A">
            <w:pPr>
              <w:spacing w:line="360" w:lineRule="auto"/>
              <w:rPr>
                <w:rFonts w:ascii="Calibri" w:eastAsia="Yu Mincho" w:hAnsi="Calibri" w:cs="Times New Roman"/>
              </w:rPr>
            </w:pPr>
            <m:oMathPara>
              <m:oMath>
                <m:sSub>
                  <m:sSubPr>
                    <m:ctrlPr>
                      <w:rPr>
                        <w:rFonts w:ascii="Cambria Math" w:eastAsia="Yu Mincho" w:hAnsi="Cambria Math" w:cs="Times New Roman"/>
                        <w:i/>
                      </w:rPr>
                    </m:ctrlPr>
                  </m:sSubPr>
                  <m:e>
                    <m:r>
                      <w:rPr>
                        <w:rFonts w:ascii="Cambria Math" w:eastAsia="Yu Mincho" w:hAnsi="Cambria Math" w:cs="Times New Roman"/>
                      </w:rPr>
                      <m:t>NR</m:t>
                    </m:r>
                  </m:e>
                  <m:sub>
                    <m:r>
                      <w:rPr>
                        <w:rFonts w:ascii="Cambria Math" w:eastAsia="Yu Mincho" w:hAnsi="Cambria Math" w:cs="Times New Roman"/>
                      </w:rPr>
                      <m:t>i,s,t,y</m:t>
                    </m:r>
                  </m:sub>
                </m:sSub>
                <m:r>
                  <w:rPr>
                    <w:rFonts w:ascii="Cambria Math" w:eastAsia="Yu Mincho" w:hAnsi="Cambria Math" w:cs="Times New Roman"/>
                  </w:rPr>
                  <m:t xml:space="preserve">=0   </m:t>
                </m:r>
                <m:r>
                  <w:rPr>
                    <w:rFonts w:ascii="Cambria Math" w:eastAsia="Calibri" w:hAnsi="Cambria Math" w:cs="Calibri"/>
                  </w:rPr>
                  <m:t>∀  t&gt;0, i∈I, s∈S, y∈Y</m:t>
                </m:r>
              </m:oMath>
            </m:oMathPara>
          </w:p>
        </w:tc>
        <w:tc>
          <w:tcPr>
            <w:tcW w:w="766" w:type="dxa"/>
          </w:tcPr>
          <w:p w14:paraId="76A52BEE" w14:textId="4F243822" w:rsidR="00132947" w:rsidRPr="002D4030" w:rsidRDefault="00132947" w:rsidP="00EA647C">
            <w:pPr>
              <w:jc w:val="center"/>
            </w:pPr>
            <w:r w:rsidRPr="002D4030">
              <w:t>(</w:t>
            </w:r>
            <w:r w:rsidR="00165408" w:rsidRPr="002D4030">
              <w:t>15</w:t>
            </w:r>
            <w:r w:rsidRPr="002D4030">
              <w:t>)</w:t>
            </w:r>
          </w:p>
        </w:tc>
      </w:tr>
      <w:tr w:rsidR="00A231A9" w14:paraId="5A82A1CF" w14:textId="77777777" w:rsidTr="007F2850">
        <w:tc>
          <w:tcPr>
            <w:tcW w:w="7792" w:type="dxa"/>
          </w:tcPr>
          <w:p w14:paraId="46681CB1" w14:textId="537710E1" w:rsidR="00A231A9" w:rsidRDefault="00A231A9" w:rsidP="00E65C4A">
            <w:pPr>
              <w:spacing w:line="360" w:lineRule="auto"/>
              <w:rPr>
                <w:rFonts w:ascii="Calibri" w:eastAsia="Yu Mincho" w:hAnsi="Calibri" w:cs="Times New Roman"/>
              </w:rPr>
            </w:pPr>
            <m:oMathPara>
              <m:oMath>
                <m:r>
                  <w:rPr>
                    <w:rFonts w:ascii="Cambria Math" w:eastAsia="Yu Mincho" w:hAnsi="Cambria Math" w:cs="Times New Roman"/>
                  </w:rPr>
                  <w:lastRenderedPageBreak/>
                  <m:t>PE</m:t>
                </m:r>
                <m:sSub>
                  <m:sSubPr>
                    <m:ctrlPr>
                      <w:rPr>
                        <w:rFonts w:ascii="Cambria Math" w:eastAsia="Yu Mincho" w:hAnsi="Cambria Math" w:cs="Times New Roman"/>
                        <w:i/>
                      </w:rPr>
                    </m:ctrlPr>
                  </m:sSubPr>
                  <m:e>
                    <m:r>
                      <w:rPr>
                        <w:rFonts w:ascii="Cambria Math" w:eastAsia="Yu Mincho" w:hAnsi="Cambria Math" w:cs="Times New Roman"/>
                      </w:rPr>
                      <m:t>F</m:t>
                    </m:r>
                  </m:e>
                  <m:sub>
                    <m:r>
                      <w:rPr>
                        <w:rFonts w:ascii="Cambria Math" w:eastAsia="Yu Mincho" w:hAnsi="Cambria Math" w:cs="Times New Roman"/>
                      </w:rPr>
                      <m:t>i,s,t,y</m:t>
                    </m:r>
                  </m:sub>
                </m:sSub>
                <m:r>
                  <w:rPr>
                    <w:rFonts w:ascii="Cambria Math" w:eastAsia="Yu Mincho" w:hAnsi="Cambria Math" w:cs="Times New Roman"/>
                  </w:rPr>
                  <m:t xml:space="preserve">=0   </m:t>
                </m:r>
                <m:r>
                  <w:rPr>
                    <w:rFonts w:ascii="Cambria Math" w:eastAsia="Calibri" w:hAnsi="Cambria Math" w:cs="Calibri"/>
                  </w:rPr>
                  <m:t>∀  t&gt;0, i∈I, s∈S, y∈Y</m:t>
                </m:r>
              </m:oMath>
            </m:oMathPara>
          </w:p>
        </w:tc>
        <w:tc>
          <w:tcPr>
            <w:tcW w:w="766" w:type="dxa"/>
          </w:tcPr>
          <w:p w14:paraId="232195F5" w14:textId="3B8A597A" w:rsidR="00A231A9" w:rsidRPr="002D4030" w:rsidRDefault="00B01446" w:rsidP="00EA647C">
            <w:pPr>
              <w:jc w:val="center"/>
            </w:pPr>
            <w:r w:rsidRPr="002D4030">
              <w:t>(1</w:t>
            </w:r>
            <w:r w:rsidR="002D4030" w:rsidRPr="002D4030">
              <w:t>6</w:t>
            </w:r>
            <w:r w:rsidRPr="002D4030">
              <w:t>)</w:t>
            </w:r>
          </w:p>
        </w:tc>
      </w:tr>
    </w:tbl>
    <w:p w14:paraId="5A8A7746" w14:textId="4976DE91" w:rsidR="008D4019" w:rsidRPr="008A4EC3" w:rsidRDefault="00BB2B2F" w:rsidP="00143641">
      <w:pPr>
        <w:spacing w:before="240" w:after="0" w:line="360" w:lineRule="auto"/>
        <w:jc w:val="both"/>
      </w:pPr>
      <w:r>
        <w:t>A</w:t>
      </w:r>
      <w:r w:rsidR="008D4019">
        <w:t>ll the characterization factors are constant over time except those associated with CO</w:t>
      </w:r>
      <w:r w:rsidR="008D4019" w:rsidRPr="00286401">
        <w:rPr>
          <w:vertAlign w:val="subscript"/>
        </w:rPr>
        <w:t>2</w:t>
      </w:r>
      <w:r w:rsidR="008D4019">
        <w:t>, CH</w:t>
      </w:r>
      <w:r w:rsidR="008D4019" w:rsidRPr="00286401">
        <w:rPr>
          <w:vertAlign w:val="subscript"/>
        </w:rPr>
        <w:t>4</w:t>
      </w:r>
      <w:r w:rsidR="008D4019">
        <w:t>, and N</w:t>
      </w:r>
      <w:r w:rsidR="008D4019" w:rsidRPr="00286401">
        <w:rPr>
          <w:vertAlign w:val="subscript"/>
        </w:rPr>
        <w:t>2</w:t>
      </w:r>
      <w:r w:rsidR="008D4019">
        <w:t xml:space="preserve">O emissions, which can occur after the year of CDR deployment in the terrestrial NETPs </w:t>
      </w:r>
      <w:r w:rsidR="008D4019" w:rsidRPr="00AE3D2F">
        <w:t xml:space="preserve">scenarios. </w:t>
      </w:r>
      <w:r w:rsidR="007F339D" w:rsidRPr="005D0E95">
        <w:t>When</w:t>
      </w:r>
      <w:r w:rsidR="008D4019" w:rsidRPr="005D0E95">
        <w:t xml:space="preserve"> the health and ecosystem damage linked to global warming</w:t>
      </w:r>
      <w:r w:rsidR="00A631F9" w:rsidRPr="005D0E95">
        <w:t xml:space="preserve"> (</w:t>
      </w:r>
      <m:oMath>
        <m:r>
          <w:rPr>
            <w:rFonts w:ascii="Cambria Math" w:hAnsi="Cambria Math"/>
          </w:rPr>
          <m:t>m=GW</m:t>
        </m:r>
      </m:oMath>
      <w:r w:rsidR="00A631F9" w:rsidRPr="005D0E95">
        <w:t>)</w:t>
      </w:r>
      <w:r w:rsidR="007F339D" w:rsidRPr="005D0E95">
        <w:t xml:space="preserve"> </w:t>
      </w:r>
      <w:r w:rsidR="00DE7957" w:rsidRPr="005D0E95">
        <w:t>is estimated</w:t>
      </w:r>
      <w:r w:rsidR="008D4019" w:rsidRPr="005D0E95">
        <w:t xml:space="preserve">, the characterization factor </w:t>
      </w:r>
      <m:oMath>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m,s,t</m:t>
            </m:r>
          </m:sub>
          <m:sup>
            <m:r>
              <w:rPr>
                <w:rFonts w:ascii="Cambria Math" w:hAnsi="Cambria Math"/>
              </w:rPr>
              <m:t>MID</m:t>
            </m:r>
          </m:sup>
        </m:sSubSup>
      </m:oMath>
      <w:r w:rsidR="008D4019" w:rsidRPr="005D0E95">
        <w:t xml:space="preserve"> in Equation </w:t>
      </w:r>
      <w:r w:rsidR="00430854" w:rsidRPr="005D0E95">
        <w:t>(11)</w:t>
      </w:r>
      <w:r w:rsidR="008D4019" w:rsidRPr="005D0E95">
        <w:t xml:space="preserve"> </w:t>
      </w:r>
      <w:r w:rsidR="007F339D" w:rsidRPr="005D0E95">
        <w:t>equals</w:t>
      </w:r>
      <w:r w:rsidR="008D4019" w:rsidRPr="005D0E95">
        <w:t xml:space="preserve"> the </w:t>
      </w:r>
      <m:oMath>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oMath>
      <w:r w:rsidR="008D4019" w:rsidRPr="005D0E95">
        <w:t xml:space="preserve"> defined in Equation </w:t>
      </w:r>
      <w:r w:rsidR="00D24EFB" w:rsidRPr="005D0E95">
        <w:t>(6)</w:t>
      </w:r>
      <w:r w:rsidR="002951B7" w:rsidRPr="005D0E95">
        <w:t>.</w:t>
      </w:r>
      <w:r w:rsidR="008D4019">
        <w:t xml:space="preserve"> </w:t>
      </w:r>
      <w:r w:rsidR="002951B7" w:rsidRPr="008A4EC3">
        <w:t>T</w:t>
      </w:r>
      <w:r w:rsidR="008D4019" w:rsidRPr="008A4EC3">
        <w:t>he endpoint impacts due to the Stratospheric Ozone Depletion (SOD) caused by N</w:t>
      </w:r>
      <w:r w:rsidR="008D4019" w:rsidRPr="008A4EC3">
        <w:rPr>
          <w:vertAlign w:val="subscript"/>
        </w:rPr>
        <w:t>2</w:t>
      </w:r>
      <w:r w:rsidR="008D4019" w:rsidRPr="008A4EC3">
        <w:t xml:space="preserve">O emissions are estimated with the characterization factor defined in Equation </w:t>
      </w:r>
      <w:r w:rsidR="00EA1E13" w:rsidRPr="008A4EC3">
        <w:t>(17)</w:t>
      </w:r>
      <w:r w:rsidR="008D4019" w:rsidRPr="008A4EC3">
        <w:t>, computed with the inverse of the N</w:t>
      </w:r>
      <w:r w:rsidR="008D4019" w:rsidRPr="008A4EC3">
        <w:rPr>
          <w:vertAlign w:val="subscript"/>
        </w:rPr>
        <w:t>2</w:t>
      </w:r>
      <w:r w:rsidR="008D4019" w:rsidRPr="008A4EC3">
        <w:t>O and CFC-11 atmospheric lifetimes (</w:t>
      </w:r>
      <m:oMath>
        <m:sSub>
          <m:sSubPr>
            <m:ctrlPr>
              <w:rPr>
                <w:rFonts w:ascii="Cambria Math" w:hAnsi="Cambria Math"/>
                <w:i/>
              </w:rPr>
            </m:ctrlPr>
          </m:sSubPr>
          <m:e>
            <m:r>
              <w:rPr>
                <w:rFonts w:ascii="Cambria Math" w:hAnsi="Cambria Math"/>
              </w:rPr>
              <m:t>k</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oMath>
      <w:r w:rsidR="008D4019" w:rsidRPr="008A4EC3">
        <w:t xml:space="preserve"> and </w:t>
      </w:r>
      <m:oMath>
        <m:sSub>
          <m:sSubPr>
            <m:ctrlPr>
              <w:rPr>
                <w:rFonts w:ascii="Cambria Math" w:hAnsi="Cambria Math"/>
                <w:i/>
              </w:rPr>
            </m:ctrlPr>
          </m:sSubPr>
          <m:e>
            <m:r>
              <w:rPr>
                <w:rFonts w:ascii="Cambria Math" w:hAnsi="Cambria Math"/>
              </w:rPr>
              <m:t>k</m:t>
            </m:r>
          </m:e>
          <m:sub>
            <m:r>
              <w:rPr>
                <w:rFonts w:ascii="Cambria Math" w:hAnsi="Cambria Math"/>
              </w:rPr>
              <m:t>CFC11</m:t>
            </m:r>
          </m:sub>
        </m:sSub>
      </m:oMath>
      <w:r w:rsidR="008D4019" w:rsidRPr="008A4EC3">
        <w:t>) and the N</w:t>
      </w:r>
      <w:r w:rsidR="008D4019" w:rsidRPr="008A4EC3">
        <w:rPr>
          <w:vertAlign w:val="subscript"/>
        </w:rPr>
        <w:t>2</w:t>
      </w:r>
      <w:r w:rsidR="008D4019" w:rsidRPr="008A4EC3">
        <w:t>O ozone depletion potential for an infinite time horizon (</w:t>
      </w:r>
      <m:oMath>
        <m:r>
          <w:rPr>
            <w:rFonts w:ascii="Cambria Math" w:hAnsi="Cambria Math"/>
          </w:rPr>
          <m:t>ODP</m:t>
        </m:r>
        <m:sSub>
          <m:sSubPr>
            <m:ctrlPr>
              <w:rPr>
                <w:rFonts w:ascii="Cambria Math" w:hAnsi="Cambria Math"/>
                <w:i/>
              </w:rPr>
            </m:ctrlPr>
          </m:sSubPr>
          <m:e>
            <m:r>
              <w:rPr>
                <w:rFonts w:ascii="Cambria Math" w:hAnsi="Cambria Math"/>
              </w:rPr>
              <m:t>∞</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oMath>
      <w:r w:rsidR="008D4019" w:rsidRPr="008A4EC3">
        <w:t xml:space="preserve">), taken from </w:t>
      </w:r>
      <w:r w:rsidR="008D4019" w:rsidRPr="008A4EC3">
        <w:fldChar w:fldCharType="begin" w:fldLock="1"/>
      </w:r>
      <w:r w:rsidR="0043212B" w:rsidRPr="008A4EC3">
        <w:instrText xml:space="preserve"> ADDIN ZOTERO_ITEM CSL_CITATION {"citationID":"zw8MuOO2","properties":{"formattedCitation":"\\super 4\\nosupersub{}","plainCitation":"4","noteIndex":0},"citationItems":[{"id":1709,"uris":["http://www.mendeley.com/documents/?uuid=2ef55e9a-0e4e-4a9b-b9ce-fdabe56d8ce4","http://zotero.org/users/14213812/items/KZWSRSGF"],"itemData":{"id":1709,"type":"report","publisher":"National Institute for Public Health and the Environment","title":"ReCiPe 2016 v1.1. A harmonized life cycle impact assessment method at midpoint and endpoint level. Report I: Characterization.","author":[{"family":"Huijbregts","given":"M.A.J."},{"family":"Steinmann","given":"Z.J.N."},{"family":"Elshout","given":"P.M.F."},{"family":"Stam","given":"G."},{"family":"Verones","given":"F."},{"family":"Vieira","given":"M.D.M."},{"family":"Hollander","given":"A."},{"family":"Zijp","given":"M."},{"family":"Zelm","given":"R.","non-dropping-particle":"van"}],"issued":{"date-parts":[["2017"]]}}}],"schema":"https://github.com/citation-style-language/schema/raw/master/csl-citation.json"} </w:instrText>
      </w:r>
      <w:r w:rsidR="008D4019" w:rsidRPr="008A4EC3">
        <w:fldChar w:fldCharType="separate"/>
      </w:r>
      <w:r w:rsidR="0043212B" w:rsidRPr="008A4EC3">
        <w:rPr>
          <w:rFonts w:ascii="Calibri" w:hAnsi="Calibri" w:cs="Calibri"/>
          <w:vertAlign w:val="superscript"/>
        </w:rPr>
        <w:t>4</w:t>
      </w:r>
      <w:r w:rsidR="008D4019" w:rsidRPr="008A4EC3">
        <w:fldChar w:fldCharType="end"/>
      </w:r>
      <w:r w:rsidR="008D4019" w:rsidRPr="008A4EC3">
        <w:rPr>
          <w:rFonts w:cstheme="minorHAnsi"/>
        </w:rPr>
        <w:t>.</w:t>
      </w:r>
      <w:r w:rsidR="00865A00" w:rsidRPr="008A4EC3">
        <w:rPr>
          <w:rFonts w:cstheme="minorHAnsi"/>
        </w:rPr>
        <w:t xml:space="preserve"> The SOD characterization factor</w:t>
      </w:r>
      <w:r w:rsidR="007373FC" w:rsidRPr="008A4EC3">
        <w:rPr>
          <w:rFonts w:cstheme="minorHAnsi"/>
        </w:rPr>
        <w:t xml:space="preserve"> of N</w:t>
      </w:r>
      <w:r w:rsidR="007373FC" w:rsidRPr="008A4EC3">
        <w:rPr>
          <w:rFonts w:cstheme="minorHAnsi"/>
          <w:vertAlign w:val="subscript"/>
        </w:rPr>
        <w:t>2</w:t>
      </w:r>
      <w:r w:rsidR="007373FC" w:rsidRPr="008A4EC3">
        <w:rPr>
          <w:rFonts w:cstheme="minorHAnsi"/>
        </w:rPr>
        <w:t>O</w:t>
      </w:r>
      <w:r w:rsidR="00865A00" w:rsidRPr="008A4EC3">
        <w:rPr>
          <w:rFonts w:cstheme="minorHAnsi"/>
        </w:rPr>
        <w:t xml:space="preserve"> is </w:t>
      </w:r>
      <w:r w:rsidR="0063539F" w:rsidRPr="008A4EC3">
        <w:rPr>
          <w:rFonts w:cstheme="minorHAnsi"/>
        </w:rPr>
        <w:t xml:space="preserve">calculated for a </w:t>
      </w:r>
      <w:r w:rsidR="0089210E" w:rsidRPr="008A4EC3">
        <w:rPr>
          <w:rFonts w:cstheme="minorHAnsi"/>
        </w:rPr>
        <w:t>reduced</w:t>
      </w:r>
      <w:r w:rsidR="0063539F" w:rsidRPr="008A4EC3">
        <w:rPr>
          <w:rFonts w:cstheme="minorHAnsi"/>
        </w:rPr>
        <w:t xml:space="preserve"> time horizon</w:t>
      </w:r>
      <w:r w:rsidR="0089210E" w:rsidRPr="008A4EC3">
        <w:rPr>
          <w:rFonts w:cstheme="minorHAnsi"/>
        </w:rPr>
        <w:t xml:space="preserve"> </w:t>
      </w:r>
      <m:oMath>
        <m:r>
          <w:rPr>
            <w:rFonts w:ascii="Cambria Math" w:hAnsi="Cambria Math" w:cstheme="minorHAnsi"/>
          </w:rPr>
          <m:t>T</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oMath>
      <w:r w:rsidR="00F0582D" w:rsidRPr="008A4EC3">
        <w:rPr>
          <w:rFonts w:cstheme="minorHAnsi"/>
        </w:rPr>
        <w:t xml:space="preserve"> (</w:t>
      </w:r>
      <w:r w:rsidR="00906C10" w:rsidRPr="008A4EC3">
        <w:rPr>
          <w:rFonts w:cstheme="minorHAnsi"/>
        </w:rPr>
        <w:t xml:space="preserve">Equation </w:t>
      </w:r>
      <w:r w:rsidR="00EA1E13" w:rsidRPr="008A4EC3">
        <w:rPr>
          <w:rFonts w:cstheme="minorHAnsi"/>
        </w:rPr>
        <w:t>(18)</w:t>
      </w:r>
      <w:r w:rsidR="0089210E" w:rsidRPr="008A4EC3">
        <w:rPr>
          <w:rFonts w:cstheme="minorHAnsi"/>
        </w:rPr>
        <w:t>)</w:t>
      </w:r>
      <w:r w:rsidR="0063539F" w:rsidRPr="008A4EC3">
        <w:rPr>
          <w:rFonts w:cstheme="minorHAnsi"/>
        </w:rPr>
        <w:t xml:space="preserve">, </w:t>
      </w:r>
      <w:r w:rsidR="00DD00D2" w:rsidRPr="008A4EC3">
        <w:rPr>
          <w:rFonts w:cstheme="minorHAnsi"/>
        </w:rPr>
        <w:t xml:space="preserve">spanning from the </w:t>
      </w:r>
      <w:r w:rsidR="00CD510F" w:rsidRPr="008A4EC3">
        <w:rPr>
          <w:rFonts w:cstheme="minorHAnsi"/>
        </w:rPr>
        <w:t xml:space="preserve">year </w:t>
      </w:r>
      <w:r w:rsidR="00CD510F" w:rsidRPr="008A4EC3">
        <w:rPr>
          <w:rFonts w:cstheme="minorHAnsi"/>
          <w:i/>
          <w:iCs/>
        </w:rPr>
        <w:t>t</w:t>
      </w:r>
      <w:r w:rsidR="00CD510F" w:rsidRPr="008A4EC3">
        <w:rPr>
          <w:rFonts w:cstheme="minorHAnsi"/>
        </w:rPr>
        <w:t xml:space="preserve"> when it was emitted to the end of the </w:t>
      </w:r>
      <w:r w:rsidR="00EF4A94" w:rsidRPr="008A4EC3">
        <w:rPr>
          <w:rFonts w:cstheme="minorHAnsi"/>
        </w:rPr>
        <w:t xml:space="preserve">20-year period </w:t>
      </w:r>
      <w:r w:rsidR="006E73B7" w:rsidRPr="008A4EC3">
        <w:rPr>
          <w:rFonts w:cstheme="minorHAnsi"/>
        </w:rPr>
        <w:t>starting the year of deployment</w:t>
      </w:r>
      <w:r w:rsidR="00E17C16" w:rsidRPr="008A4EC3">
        <w:rPr>
          <w:rFonts w:cstheme="minorHAnsi"/>
        </w:rPr>
        <w:t xml:space="preserve">. </w:t>
      </w:r>
      <w:r w:rsidR="00906C10" w:rsidRPr="008A4EC3">
        <w:rPr>
          <w:rFonts w:cstheme="minorHAnsi"/>
        </w:rPr>
        <w:t xml:space="preserve"> </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2"/>
        <w:gridCol w:w="766"/>
      </w:tblGrid>
      <w:tr w:rsidR="00DA375A" w:rsidRPr="008A4EC3" w14:paraId="5F62B775" w14:textId="77777777" w:rsidTr="00F771B4">
        <w:tc>
          <w:tcPr>
            <w:tcW w:w="7792" w:type="dxa"/>
          </w:tcPr>
          <w:p w14:paraId="236A0320" w14:textId="5CFACE54" w:rsidR="008D4019" w:rsidRPr="008A4EC3" w:rsidRDefault="008D4019" w:rsidP="007A6892">
            <w:pPr>
              <w:spacing w:line="360" w:lineRule="auto"/>
              <w:rPr>
                <w:rFonts w:ascii="Calibri" w:eastAsia="Yu Mincho" w:hAnsi="Calibri" w:cs="Times New Roman"/>
              </w:rPr>
            </w:pPr>
            <m:oMathPara>
              <m:oMathParaPr>
                <m:jc m:val="center"/>
              </m:oMathParaPr>
              <m:oMath>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m,s,t</m:t>
                    </m:r>
                  </m:sub>
                  <m:sup>
                    <m:r>
                      <w:rPr>
                        <w:rFonts w:ascii="Cambria Math" w:hAnsi="Cambria Math"/>
                      </w:rPr>
                      <m:t>MID</m:t>
                    </m:r>
                  </m:sup>
                </m:sSubSup>
                <m:r>
                  <w:rPr>
                    <w:rFonts w:ascii="Cambria Math" w:hAnsi="Cambria Math"/>
                  </w:rPr>
                  <m:t>=ODP</m:t>
                </m:r>
                <m:sSub>
                  <m:sSubPr>
                    <m:ctrlPr>
                      <w:rPr>
                        <w:rFonts w:ascii="Cambria Math" w:hAnsi="Cambria Math"/>
                        <w:i/>
                      </w:rPr>
                    </m:ctrlPr>
                  </m:sSubPr>
                  <m:e>
                    <m:r>
                      <w:rPr>
                        <w:rFonts w:ascii="Cambria Math" w:hAnsi="Cambria Math"/>
                      </w:rPr>
                      <m:t>∞</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r>
                  <w:rPr>
                    <w:rFonts w:ascii="Cambria Math" w:hAnsi="Cambria Math"/>
                  </w:rPr>
                  <m:t>·</m:t>
                </m:r>
                <m:f>
                  <m:fPr>
                    <m:ctrlPr>
                      <w:rPr>
                        <w:rFonts w:ascii="Cambria Math" w:hAnsi="Cambria Math"/>
                        <w:i/>
                      </w:rPr>
                    </m:ctrlPr>
                  </m:fPr>
                  <m:num>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m:t>
                        </m:r>
                        <m:d>
                          <m:dPr>
                            <m:ctrlPr>
                              <w:rPr>
                                <w:rFonts w:ascii="Cambria Math" w:hAnsi="Cambria Math"/>
                                <w:i/>
                              </w:rPr>
                            </m:ctrlPr>
                          </m:dPr>
                          <m:e>
                            <m:r>
                              <w:rPr>
                                <w:rFonts w:ascii="Cambria Math" w:hAnsi="Cambria Math"/>
                              </w:rPr>
                              <m:t>TH'+3</m:t>
                            </m:r>
                          </m:e>
                        </m:d>
                        <m:r>
                          <w:rPr>
                            <w:rFonts w:ascii="Cambria Math" w:hAnsi="Cambria Math"/>
                          </w:rPr>
                          <m:t>·</m:t>
                        </m:r>
                        <m:sSub>
                          <m:sSubPr>
                            <m:ctrlPr>
                              <w:rPr>
                                <w:rFonts w:ascii="Cambria Math" w:hAnsi="Cambria Math"/>
                                <w:i/>
                              </w:rPr>
                            </m:ctrlPr>
                          </m:sSubPr>
                          <m:e>
                            <m:r>
                              <w:rPr>
                                <w:rFonts w:ascii="Cambria Math" w:hAnsi="Cambria Math"/>
                              </w:rPr>
                              <m:t>k</m:t>
                            </m:r>
                          </m:e>
                          <m:sub>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O</m:t>
                            </m:r>
                          </m:sub>
                        </m:sSub>
                      </m:sup>
                    </m:sSup>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m:t>
                        </m:r>
                        <m:d>
                          <m:dPr>
                            <m:ctrlPr>
                              <w:rPr>
                                <w:rFonts w:ascii="Cambria Math" w:hAnsi="Cambria Math"/>
                                <w:i/>
                              </w:rPr>
                            </m:ctrlPr>
                          </m:dPr>
                          <m:e>
                            <m:r>
                              <w:rPr>
                                <w:rFonts w:ascii="Cambria Math" w:hAnsi="Cambria Math"/>
                              </w:rPr>
                              <m:t>TH'+3</m:t>
                            </m:r>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CFC11</m:t>
                            </m:r>
                          </m:sub>
                        </m:sSub>
                      </m:sup>
                    </m:sSup>
                  </m:den>
                </m:f>
                <m:r>
                  <w:rPr>
                    <w:rFonts w:ascii="Cambria Math" w:eastAsia="Calibri" w:hAnsi="Cambria Math" w:cs="Calibri"/>
                  </w:rPr>
                  <m:t xml:space="preserve">   ∀ m=SOD, s=</m:t>
                </m:r>
                <m:sSub>
                  <m:sSubPr>
                    <m:ctrlPr>
                      <w:rPr>
                        <w:rFonts w:ascii="Cambria Math" w:eastAsia="Calibri" w:hAnsi="Cambria Math" w:cs="Calibri"/>
                        <w:i/>
                      </w:rPr>
                    </m:ctrlPr>
                  </m:sSubPr>
                  <m:e>
                    <m:r>
                      <w:rPr>
                        <w:rFonts w:ascii="Cambria Math" w:eastAsia="Calibri" w:hAnsi="Cambria Math" w:cs="Calibri"/>
                      </w:rPr>
                      <m:t>N</m:t>
                    </m:r>
                  </m:e>
                  <m:sub>
                    <m:r>
                      <w:rPr>
                        <w:rFonts w:ascii="Cambria Math" w:eastAsia="Calibri" w:hAnsi="Cambria Math" w:cs="Calibri"/>
                      </w:rPr>
                      <m:t>2</m:t>
                    </m:r>
                  </m:sub>
                </m:sSub>
                <m:r>
                  <w:rPr>
                    <w:rFonts w:ascii="Cambria Math" w:eastAsia="Calibri" w:hAnsi="Cambria Math" w:cs="Calibri"/>
                  </w:rPr>
                  <m:t>O, t∈T</m:t>
                </m:r>
              </m:oMath>
            </m:oMathPara>
          </w:p>
        </w:tc>
        <w:tc>
          <w:tcPr>
            <w:tcW w:w="766" w:type="dxa"/>
          </w:tcPr>
          <w:p w14:paraId="3506B007" w14:textId="77777777" w:rsidR="008D4019" w:rsidRPr="008A4EC3" w:rsidRDefault="008D4019" w:rsidP="00385E5F">
            <w:pPr>
              <w:spacing w:line="360" w:lineRule="auto"/>
              <w:jc w:val="center"/>
              <w:rPr>
                <w:sz w:val="10"/>
                <w:szCs w:val="10"/>
              </w:rPr>
            </w:pPr>
          </w:p>
          <w:p w14:paraId="5C9BC85E" w14:textId="1AA9F149" w:rsidR="008D4019" w:rsidRPr="008A4EC3" w:rsidRDefault="008D4019" w:rsidP="00385E5F">
            <w:pPr>
              <w:jc w:val="center"/>
              <w:rPr>
                <w:sz w:val="10"/>
                <w:szCs w:val="10"/>
              </w:rPr>
            </w:pPr>
            <w:r w:rsidRPr="008A4EC3">
              <w:t>(</w:t>
            </w:r>
            <w:r w:rsidR="00D735F6" w:rsidRPr="008A4EC3">
              <w:t>17</w:t>
            </w:r>
            <w:r w:rsidRPr="008A4EC3">
              <w:t>)</w:t>
            </w:r>
          </w:p>
        </w:tc>
      </w:tr>
      <w:tr w:rsidR="008054F2" w:rsidRPr="00DA375A" w14:paraId="08700B8E" w14:textId="77777777" w:rsidTr="00F771B4">
        <w:tc>
          <w:tcPr>
            <w:tcW w:w="7792" w:type="dxa"/>
          </w:tcPr>
          <w:p w14:paraId="05C9A3E7" w14:textId="5A777C3B" w:rsidR="008054F2" w:rsidRPr="008A4EC3" w:rsidRDefault="008054F2" w:rsidP="007A6892">
            <w:pPr>
              <w:spacing w:line="360" w:lineRule="auto"/>
              <w:rPr>
                <w:rFonts w:ascii="Calibri" w:eastAsia="Yu Mincho" w:hAnsi="Calibri" w:cs="Times New Roman"/>
              </w:rPr>
            </w:pPr>
            <m:oMathPara>
              <m:oMath>
                <m:r>
                  <w:rPr>
                    <w:rFonts w:ascii="Cambria Math" w:eastAsia="Yu Mincho" w:hAnsi="Cambria Math" w:cs="Times New Roman"/>
                  </w:rPr>
                  <m:t>T</m:t>
                </m:r>
                <m:sSup>
                  <m:sSupPr>
                    <m:ctrlPr>
                      <w:rPr>
                        <w:rFonts w:ascii="Cambria Math" w:eastAsia="Yu Mincho" w:hAnsi="Cambria Math" w:cs="Times New Roman"/>
                        <w:i/>
                      </w:rPr>
                    </m:ctrlPr>
                  </m:sSupPr>
                  <m:e>
                    <m:r>
                      <w:rPr>
                        <w:rFonts w:ascii="Cambria Math" w:eastAsia="Yu Mincho" w:hAnsi="Cambria Math" w:cs="Times New Roman"/>
                      </w:rPr>
                      <m:t>H</m:t>
                    </m:r>
                  </m:e>
                  <m:sup>
                    <m:r>
                      <w:rPr>
                        <w:rFonts w:ascii="Cambria Math" w:eastAsia="Yu Mincho" w:hAnsi="Cambria Math" w:cs="Times New Roman"/>
                      </w:rPr>
                      <m:t>'</m:t>
                    </m:r>
                  </m:sup>
                </m:sSup>
                <m:r>
                  <w:rPr>
                    <w:rFonts w:ascii="Cambria Math" w:eastAsia="Yu Mincho" w:hAnsi="Cambria Math" w:cs="Times New Roman"/>
                  </w:rPr>
                  <m:t xml:space="preserve">=TH-t   </m:t>
                </m:r>
                <m:r>
                  <w:rPr>
                    <w:rFonts w:ascii="Cambria Math" w:eastAsia="Calibri" w:hAnsi="Cambria Math" w:cs="Calibri"/>
                  </w:rPr>
                  <m:t>∀ t∈T</m:t>
                </m:r>
              </m:oMath>
            </m:oMathPara>
          </w:p>
        </w:tc>
        <w:tc>
          <w:tcPr>
            <w:tcW w:w="766" w:type="dxa"/>
          </w:tcPr>
          <w:p w14:paraId="23A19223" w14:textId="232B8C94" w:rsidR="008054F2" w:rsidRPr="00BD3DFA" w:rsidRDefault="001F5A9A" w:rsidP="00385E5F">
            <w:pPr>
              <w:spacing w:line="360" w:lineRule="auto"/>
              <w:jc w:val="center"/>
              <w:rPr>
                <w:sz w:val="10"/>
                <w:szCs w:val="10"/>
              </w:rPr>
            </w:pPr>
            <w:r w:rsidRPr="008A4EC3">
              <w:t>(</w:t>
            </w:r>
            <w:r w:rsidR="00D735F6" w:rsidRPr="008A4EC3">
              <w:t>18</w:t>
            </w:r>
            <w:r w:rsidRPr="008A4EC3">
              <w:t>)</w:t>
            </w:r>
          </w:p>
        </w:tc>
      </w:tr>
    </w:tbl>
    <w:p w14:paraId="6924E043" w14:textId="77777777" w:rsidR="008D4019" w:rsidRDefault="008D4019" w:rsidP="008D4019">
      <w:pPr>
        <w:spacing w:before="240" w:line="360" w:lineRule="auto"/>
        <w:jc w:val="both"/>
        <w:rPr>
          <w:rFonts w:cstheme="minorHAnsi"/>
        </w:rPr>
      </w:pPr>
      <w:r>
        <w:t>The health impacts are expressed in</w:t>
      </w:r>
      <w:r w:rsidRPr="00026C0B">
        <w:t xml:space="preserve"> </w:t>
      </w:r>
      <w:r>
        <w:t xml:space="preserve">Disability-Adjusted Life Years (DALYs), which represent the years of life lost due to disability or premature death. </w:t>
      </w:r>
      <w:r w:rsidRPr="00B81291">
        <w:rPr>
          <w:rFonts w:cstheme="minorHAnsi"/>
        </w:rPr>
        <w:t>The damage to ecosystem quality is quantified as the local species loss aggregated over space and time, i.e., it does not indicate the risk of global species extinction.</w:t>
      </w:r>
      <w:r>
        <w:rPr>
          <w:rFonts w:cstheme="minorHAnsi"/>
        </w:rPr>
        <w:t xml:space="preserve"> </w:t>
      </w:r>
    </w:p>
    <w:p w14:paraId="46BC6599" w14:textId="77777777" w:rsidR="008D4019" w:rsidRDefault="008D4019" w:rsidP="008D4019">
      <w:pPr>
        <w:spacing w:before="240" w:line="360" w:lineRule="auto"/>
        <w:jc w:val="both"/>
        <w:rPr>
          <w:rFonts w:cstheme="minorHAnsi"/>
        </w:rPr>
      </w:pPr>
    </w:p>
    <w:p w14:paraId="40FA863A" w14:textId="57B03BCA" w:rsidR="008D4019" w:rsidRPr="00EA7671" w:rsidRDefault="007B7988" w:rsidP="00F843D3">
      <w:pPr>
        <w:pStyle w:val="Ttulo2"/>
        <w:tabs>
          <w:tab w:val="center" w:pos="4252"/>
        </w:tabs>
        <w:spacing w:after="240"/>
        <w:rPr>
          <w:rFonts w:asciiTheme="minorHAnsi" w:eastAsiaTheme="minorEastAsia" w:hAnsiTheme="minorHAnsi" w:cstheme="minorBidi"/>
          <w:b/>
          <w:bCs/>
          <w:color w:val="auto"/>
          <w:sz w:val="22"/>
          <w:szCs w:val="22"/>
        </w:rPr>
      </w:pPr>
      <w:bookmarkStart w:id="4" w:name="_Toc194330849"/>
      <w:r w:rsidRPr="00EA7671">
        <w:rPr>
          <w:rFonts w:asciiTheme="minorHAnsi" w:eastAsiaTheme="minorEastAsia" w:hAnsiTheme="minorHAnsi" w:cstheme="minorBidi"/>
          <w:b/>
          <w:bCs/>
          <w:color w:val="auto"/>
          <w:sz w:val="22"/>
          <w:szCs w:val="22"/>
        </w:rPr>
        <w:t>2</w:t>
      </w:r>
      <w:r w:rsidR="00EA3DF4" w:rsidRPr="00EA7671">
        <w:rPr>
          <w:rFonts w:asciiTheme="minorHAnsi" w:eastAsiaTheme="minorEastAsia" w:hAnsiTheme="minorHAnsi" w:cstheme="minorBidi"/>
          <w:b/>
          <w:bCs/>
          <w:color w:val="auto"/>
          <w:sz w:val="22"/>
          <w:szCs w:val="22"/>
        </w:rPr>
        <w:t xml:space="preserve">.3 </w:t>
      </w:r>
      <w:r w:rsidR="008D4019" w:rsidRPr="00EA7671">
        <w:rPr>
          <w:rFonts w:asciiTheme="minorHAnsi" w:eastAsiaTheme="minorEastAsia" w:hAnsiTheme="minorHAnsi" w:cstheme="minorBidi"/>
          <w:b/>
          <w:bCs/>
          <w:color w:val="auto"/>
          <w:sz w:val="22"/>
          <w:szCs w:val="22"/>
        </w:rPr>
        <w:t>Impacts on the Earth system</w:t>
      </w:r>
      <w:bookmarkEnd w:id="4"/>
    </w:p>
    <w:p w14:paraId="65FC3AEE" w14:textId="3F3E5CFB" w:rsidR="008D4019" w:rsidRDefault="008D4019" w:rsidP="008D4019">
      <w:pPr>
        <w:spacing w:line="360" w:lineRule="auto"/>
        <w:jc w:val="both"/>
      </w:pPr>
      <w:r>
        <w:t>We quantified the environmental impacts of our scenarios on the Earth system relative to the maximum level of anthropogenic perturbation that would allow humanity to operate within the Safe Operating Space (</w:t>
      </w:r>
      <w:r w:rsidRPr="00C35973">
        <w:t>SOS</w:t>
      </w:r>
      <w:r>
        <w:t>) defined by the planetary boundaries framework</w:t>
      </w:r>
      <w:r w:rsidRPr="001B355F">
        <w:fldChar w:fldCharType="begin" w:fldLock="1"/>
      </w:r>
      <w:r w:rsidR="00FA7E4F">
        <w:instrText xml:space="preserve"> ADDIN ZOTERO_ITEM CSL_CITATION {"citationID":"qMGY5lE1","properties":{"formattedCitation":"\\super 5,6\\nosupersub{}","plainCitation":"5,6","noteIndex":0},"citationItems":[{"id":1673,"uris":["http://www.mendeley.com/documents/?uuid=f3abf16a-cd64-4dc3-ab00-9da499c9e73c","http://zotero.org/users/14213812/items/Q5IMCENF"],"itemData":{"id":1673,"type":"article-journal","abstract":"The planetary boundaries framework defines a safe operating space for humanity based on the intrinsic biophysical processes that regulate the stability of the Earth system. Here, we revise and update the planetary boundary framework, with a focus on the underpinning biophysical science, based on targeted input from expert research communities and on more general scientific advances over the past 5 years. Several of the boundaries now have a two-tier approach, reflecting the importance of cross-scale interactions and the regional-level heterogeneity of the processes that underpin the boundaries. Two core boundaries-climate change and biosphere integrity-have been identified, each of which has the potential on its own to drive the Earth system into a new state should they be substantially and persistently transgressed.","container-title":"Science","DOI":"10.1126/science.1259855","ISSN":"10959203","issue":"6223","note":"PMID: 25592418","page":"1259855","title":"Planetary boundaries: Guiding human development on a changing planet","volume":"347","author":[{"family":"Steffen","given":"Will"},{"family":"Richardson","given":"Katherine"},{"family":"Rockström","given":"Johan"},{"family":"Cornell","given":"Sarah E."},{"family":"Fetzer","given":"Ingo"},{"family":"Bennett","given":"Elena M."},{"family":"Biggs","given":"Reinette"},{"family":"Carpenter","given":"Stephen R."},{"family":"De Vries","given":"Wim"},{"family":"De Wit","given":"Cynthia A."},{"family":"Folke","given":"Carl"},{"family":"Gerten","given":"Dieter"},{"family":"Heinke","given":"Jens"},{"family":"Mace","given":"Georgina M."},{"family":"Persson","given":"Linn M."},{"family":"Ramanathan","given":"Veerabhadran"},{"family":"Reyers","given":"Belinda"},{"family":"Sörlin","given":"Sverker"}],"issued":{"date-parts":[["2015"]]}}},{"id":2832,"uris":["http://www.mendeley.com/documents/?uuid=41f81616-724b-41d4-bef1-6a1ee4c320e3","http://zotero.org/users/14213812/items/8YMS5NLP"],"itemData":{"id":2832,"type":"article-journal","abstract":"This planetary boundaries framework update finds that six of the nine boundaries are transgressed, suggesting that Earth is now well outside of the safe operating space for humanity. Ocean acidification is close to being breached, while aerosol loading regionally exceeds the boundary. Stratospheric ozone levels have slightly recovered. The transgression level has increased for all boundaries earlier identified as overstepped. As primary production drives Earth system biosphere functions, human appropriation of net primary production is proposed as a control variable for functional biosphere integrity. This boundary is also transgressed. Earth system modeling of different levels of the transgression of the climate and land system change boundaries illustrates that these anthropogenic impacts on Earth system must be considered in a systemic context.","container-title":"Science Advances","DOI":"10.1126/sciadv.adh2458","ISSN":"23752548","note":"PMID: 37703365","page":"eadh2458","title":"Earth beyond six of nine planetary boundaries","volume":"9","author":[{"family":"Richardson","given":"Katherine"},{"family":"Steffen","given":"Will"},{"family":"Lucht","given":"Wolfgang"},{"family":"Bendtsen","given":"Jørgen"},{"family":"Cornell","given":"Sarah E."},{"family":"Donges","given":"Jonathan F."},{"family":"Drüke","given":"Markus"},{"family":"Fetzer","given":"Ingo"},{"family":"Bala","given":"Govindasamy"},{"family":"Bloh","given":"Werner","non-dropping-particle":"von"},{"family":"Feulner","given":"Georg"},{"family":"Fiedler","given":"Stephanie"},{"family":"Gerten","given":"Dieter"},{"family":"Gleeson","given":"Tom"},{"family":"Hofmann","given":"Matthias"},{"family":"Huiskamp","given":"Willem"},{"family":"Kummu","given":"Matti"},{"family":"Mohan","given":"Chinchu"},{"family":"Nogués-Bravo","given":"David"},{"family":"Petri","given":"Stefan"},{"family":"Porkka","given":"Miina"},{"family":"Rahmstorf","given":"Stefan"},{"family":"Schaphoff","given":"Sibyll"},{"family":"Thonicke","given":"Kirsten"},{"family":"Tobian","given":"Arne"},{"family":"Virkki","given":"Vili"},{"family":"Wang-Erlandsson","given":"Lan"},{"family":"Weber","given":"Lisa"},{"family":"Rockström","given":"Johan"}],"issued":{"date-parts":[["2023"]]}}}],"schema":"https://github.com/citation-style-language/schema/raw/master/csl-citation.json"} </w:instrText>
      </w:r>
      <w:r w:rsidRPr="001B355F">
        <w:fldChar w:fldCharType="separate"/>
      </w:r>
      <w:r w:rsidR="00FA7E4F" w:rsidRPr="00FA7E4F">
        <w:rPr>
          <w:rFonts w:ascii="Calibri" w:hAnsi="Calibri" w:cs="Calibri"/>
          <w:vertAlign w:val="superscript"/>
        </w:rPr>
        <w:t>5,6</w:t>
      </w:r>
      <w:r w:rsidRPr="001B355F">
        <w:fldChar w:fldCharType="end"/>
      </w:r>
      <w:r>
        <w:t xml:space="preserve">. Specifically, </w:t>
      </w:r>
      <w:r w:rsidRPr="008A5827">
        <w:t xml:space="preserve">we investigated the impacts on </w:t>
      </w:r>
      <w:r w:rsidR="00C245C5" w:rsidRPr="008A5827">
        <w:t xml:space="preserve">six </w:t>
      </w:r>
      <w:r w:rsidRPr="008A5827">
        <w:t>of the nine Earth-system processes identified as critical for the stability and resilience of the Earth system, excluding ocean acidification</w:t>
      </w:r>
      <w:r w:rsidR="00C245C5" w:rsidRPr="008A5827">
        <w:t>, atmospheric aerosol loading</w:t>
      </w:r>
      <w:r w:rsidRPr="008A5827">
        <w:t xml:space="preserve"> and novel entities.</w:t>
      </w:r>
      <w:r>
        <w:t xml:space="preserve"> </w:t>
      </w:r>
    </w:p>
    <w:p w14:paraId="186DB0D4" w14:textId="28862102" w:rsidR="008D4019" w:rsidRPr="004B4653" w:rsidRDefault="008D4019" w:rsidP="008D4019">
      <w:pPr>
        <w:spacing w:line="360" w:lineRule="auto"/>
        <w:jc w:val="both"/>
        <w:rPr>
          <w:highlight w:val="yellow"/>
        </w:rPr>
      </w:pPr>
      <w:r>
        <w:t>CDR addresses the root cause of ocean acidification, i.e., high CO</w:t>
      </w:r>
      <w:r w:rsidRPr="00147B01">
        <w:rPr>
          <w:vertAlign w:val="subscript"/>
        </w:rPr>
        <w:t>2</w:t>
      </w:r>
      <w:r>
        <w:t xml:space="preserve"> atmospheric concentrations, and is therefore expected to have a positive effect on this Earth-system process</w:t>
      </w:r>
      <w:r>
        <w:fldChar w:fldCharType="begin" w:fldLock="1"/>
      </w:r>
      <w:r w:rsidR="00FA7E4F">
        <w:instrText xml:space="preserve"> ADDIN ZOTERO_ITEM CSL_CITATION {"citationID":"Dh8YTsTv","properties":{"formattedCitation":"\\super 7\\nosupersub{}","plainCitation":"7","noteIndex":0},"citationItems":[{"id":1622,"uris":["http://www.mendeley.com/documents/?uuid=308a0259-3e36-46d2-a162-6e7cbf94d05e","http://zotero.org/users/14213812/items/N8N775G7"],"itemData":{"id":1622,"type":"article-journal","abstract":"Carbon dioxide removal (CDR) from the atmosphere has been proposed as a measure for mitigating global warming and ocean acidification. To assess the extent to which CDR might eliminate the long-term consequences of anthropogenic CO2 emissions in the marine environment, we simulate the effect of two massive CDR interventions with CO2 extraction rates of 5 GtC yr-1 and 25 GtC yr-1, respectively, while CO2 emissions follow the extended RCP8.5 pathway. We falsify two hypotheses: the first being that CDR can restore pre-industrial conditions in the ocean by reducing the atmospheric CO2 concentration back to its pre-industrial level, and the second being that high CO2 emissions rates (RCP8.5) followed by CDR have long-term oceanic consequences that are similar to those of low emissions rates (RCP2.6). Focusing on pH, temperature and dissolved oxygen, we find that even after several centuries of CDR deployment, past CO2 emissions would leave a substantial legacy in the marine environment.","container-title":"Nature Climate Change","DOI":"10.1038/nclimate2729","ISSN":"17586798","issue":"12","page":"1107-1113","title":"Long-term response of oceans to CO2 removal from the atmosphere","volume":"5","author":[{"family":"Mathesius","given":"Sabine"},{"family":"Hofmann","given":"Matthias"},{"family":"Caldeira","given":"Ken"},{"family":"Schellnhuber","given":"Hans Joachim"}],"issued":{"date-parts":[["2015"]]}}}],"schema":"https://github.com/citation-style-language/schema/raw/master/csl-citation.json"} </w:instrText>
      </w:r>
      <w:r>
        <w:fldChar w:fldCharType="separate"/>
      </w:r>
      <w:r w:rsidR="00FA7E4F" w:rsidRPr="00FA7E4F">
        <w:rPr>
          <w:rFonts w:ascii="Calibri" w:hAnsi="Calibri" w:cs="Calibri"/>
          <w:vertAlign w:val="superscript"/>
        </w:rPr>
        <w:t>7</w:t>
      </w:r>
      <w:r>
        <w:fldChar w:fldCharType="end"/>
      </w:r>
      <w:r>
        <w:t>. Moreover, geochemical NETPs adding alkalinity to the seawater would further mitigate ocean acidification</w:t>
      </w:r>
      <w:r>
        <w:fldChar w:fldCharType="begin" w:fldLock="1"/>
      </w:r>
      <w:r w:rsidR="00FA7E4F">
        <w:instrText xml:space="preserve"> ADDIN ZOTERO_ITEM CSL_CITATION {"citationID":"6wqROEkq","properties":{"formattedCitation":"\\super 8,9\\nosupersub{}","plainCitation":"8,9","noteIndex":0},"citationItems":[{"id":1301,"uris":["http://www.mendeley.com/documents/?uuid=17756fbf-6097-4d98-a132-581025badc82","http://zotero.org/users/14213812/items/7YXBW3IU"],"itemData":{"id":1301,"type":"article-journal","abstract":"Atmospheric carbon dioxide (CO2) levels continue to rise, increasing the risk of severe impacts on the Earth system, and on the ecosystem services that it provides. Artificial ocean alkalinization (AOA) is capable of reducing atmospheric CO2 concentrations and surface warming and addressing ocean acidification. Here, we simulate global and regional responses to alkalinity (ALK) addition (0.25gPmolALKgyrg;'1) over the period 2020-2100 using the CSIRO-Mk3L-COAL Earth System Model, under high (Representative Concentration Pathway 8.5; RCP8.5) and low (RCP2.6) emissions. While regionally there are large changes in alkalinity associated with locations of AOA, globally we see only a very weak dependence on where and when AOA is applied. On a global scale, while we see that under RCP2.6 the carbon uptake associated with AOA is only g;1/4 60g% of the total, under RCP8.5 the relative changes in temperature are larger, as are the changes in pH (140g%) and aragonite saturation state (170g%). The simulations reveal AOA is more effective under lower emissions, therefore the higher the emissions the more AOA is required to achieve the same reduction in global warming and ocean acidification. Finally, our simulated AOA for 2020-2100 in the RCP2.6 scenario is capable of offsetting warming and ameliorating ocean acidification increases at the global scale, but with highly variable regional responses.","container-title":"Earth System Dynamics","DOI":"10.5194/esd-9-339-2018","ISSN":"21904987","issue":"2","page":"339-357","title":"Assessing carbon dioxide removal through global and regional ocean alkalinization under high and low emission pathways","volume":"9","author":[{"family":"Lenton","given":"Andrew"},{"family":"Matear","given":"Richard J."},{"family":"Keller","given":"David P."},{"family":"Scott","given":"Vivian"},{"family":"Vaughan","given":"Naomi E."}],"issued":{"date-parts":[["2018"]]}}},{"id":1305,"uris":["http://www.mendeley.com/documents/?uuid=221e3b64-2db0-43cf-98ec-7bfc29584402","http://zotero.org/users/14213812/items/LA5PMMWP"],"itemData":{"id":1305,"type":"article-journal","abstract":"The negative emissions technology, artificial ocean alkalinization (AOA), aims to store atmospheric carbon dioxide (CO2) in the ocean by increasing total alkalinity (TA). Calcium carbonate saturation state (ΩCaCO3) and pH would also increase meaning that AOA could alleviate sensitive regions and ecosystems from ocean acidification. However, AOA could raise pH and ΩCaCO3 well above modern-day levels, and very little is known about the environmental and biological impact of this. After treating a red calcifying algae (Corallina spp.) to elevated TA seawater, carbonate production increased by 60% over a control. This has implication for carbon cycling in the past, but also constrains the environmental impact and efficiency of AOA. Carbonate production could reduce the efficiency of CO2 removal. Increasing TA, however, did not significantly influence Corallina spp. primary productivity, respiration, or photophysiology. These results show that AOA may not be intrinsically detrimental for Corallina spp. and that AOA has the potential to lessen the impacts of ocean acidification. However, the experiment tested a single species within a controlled environment to constrain a specific unknown, the rate change of calcification, and additional work is required to understand the impact of AOA on other organisms, whole ecosystems, and the global carbon cycle.","container-title":"Mitigation and Adaptation Strategies for Global Change","DOI":"10.1007/s11027-018-9830-z","ISSN":"15731596","issue":"7","note":"publisher: Mitigation and Adaptation Strategies for Global Change","page":"1191-1211","title":"The potential environmental response to increasing ocean alkalinity for negative emissions","volume":"24","author":[{"family":"Gore","given":"Sarah"},{"family":"Renforth","given":"Phil"},{"family":"Perkins","given":"Rupert"}],"issued":{"date-parts":[["2019"]]}}}],"schema":"https://github.com/citation-style-language/schema/raw/master/csl-citation.json"} </w:instrText>
      </w:r>
      <w:r>
        <w:fldChar w:fldCharType="separate"/>
      </w:r>
      <w:r w:rsidR="00FA7E4F" w:rsidRPr="00FA7E4F">
        <w:rPr>
          <w:rFonts w:ascii="Calibri" w:hAnsi="Calibri" w:cs="Calibri"/>
          <w:vertAlign w:val="superscript"/>
        </w:rPr>
        <w:t>8,9</w:t>
      </w:r>
      <w:r>
        <w:fldChar w:fldCharType="end"/>
      </w:r>
      <w:r>
        <w:t xml:space="preserve">, but we could not calculate the extent of the prevented consequences because current impact assessment methods do not account for this effect. Similarly, </w:t>
      </w:r>
      <w:r w:rsidRPr="00BB0AFE">
        <w:t xml:space="preserve">existing methods </w:t>
      </w:r>
      <w:r w:rsidRPr="00BB0AFE">
        <w:lastRenderedPageBreak/>
        <w:t>do not</w:t>
      </w:r>
      <w:r w:rsidR="00CD4CAD" w:rsidRPr="00BB0AFE">
        <w:t xml:space="preserve"> express impacts in terms of the</w:t>
      </w:r>
      <w:r w:rsidR="004B4653" w:rsidRPr="00BB0AFE">
        <w:t xml:space="preserve"> control variables of the</w:t>
      </w:r>
      <w:r w:rsidR="00CD7305" w:rsidRPr="00BB0AFE">
        <w:t xml:space="preserve"> atmospheric aerosol loading </w:t>
      </w:r>
      <w:r w:rsidR="00B21E22" w:rsidRPr="00BB0AFE">
        <w:t>and</w:t>
      </w:r>
      <w:r w:rsidRPr="00BB0AFE">
        <w:t xml:space="preserve"> novel entities Earth-system process</w:t>
      </w:r>
      <w:r w:rsidR="009B15F5" w:rsidRPr="00BB0AFE">
        <w:t>es</w:t>
      </w:r>
      <w:r w:rsidR="00A00499" w:rsidRPr="00BB0AFE">
        <w:t>–</w:t>
      </w:r>
      <w:r w:rsidR="009B15F5" w:rsidRPr="00BB0AFE">
        <w:t xml:space="preserve">the latter </w:t>
      </w:r>
      <w:r w:rsidR="00093ED0" w:rsidRPr="00BB0AFE">
        <w:t>driven by the release of synt</w:t>
      </w:r>
      <w:r w:rsidR="00D10A3A" w:rsidRPr="00BB0AFE">
        <w:t>hetic substance</w:t>
      </w:r>
      <w:r w:rsidR="00D10A3A">
        <w:t xml:space="preserve">s </w:t>
      </w:r>
      <w:r w:rsidR="00CF0AB8">
        <w:t>in</w:t>
      </w:r>
      <w:r w:rsidR="00D10A3A">
        <w:t>to the environment</w:t>
      </w:r>
      <w:r>
        <w:t xml:space="preserve">. </w:t>
      </w:r>
    </w:p>
    <w:p w14:paraId="0DA7D5A1" w14:textId="5CEF3400" w:rsidR="008D4019" w:rsidRPr="0036240F" w:rsidRDefault="008D4019" w:rsidP="008D4019">
      <w:pPr>
        <w:spacing w:line="360" w:lineRule="auto"/>
        <w:jc w:val="both"/>
      </w:pPr>
      <w:r>
        <w:rPr>
          <w:rFonts w:cstheme="minorHAnsi"/>
        </w:rPr>
        <w:t>Multiple</w:t>
      </w:r>
      <w:r w:rsidRPr="00AD1F01">
        <w:rPr>
          <w:rFonts w:cstheme="minorHAnsi"/>
        </w:rPr>
        <w:t xml:space="preserve"> operationalization approach</w:t>
      </w:r>
      <w:r>
        <w:rPr>
          <w:rFonts w:cstheme="minorHAnsi"/>
        </w:rPr>
        <w:t>es</w:t>
      </w:r>
      <w:r w:rsidRPr="00AD1F01">
        <w:rPr>
          <w:rFonts w:cstheme="minorHAnsi"/>
        </w:rPr>
        <w:t xml:space="preserve"> </w:t>
      </w:r>
      <w:r>
        <w:rPr>
          <w:rFonts w:cstheme="minorHAnsi"/>
        </w:rPr>
        <w:t xml:space="preserve">can be </w:t>
      </w:r>
      <w:r w:rsidRPr="00AD1F01">
        <w:rPr>
          <w:rFonts w:cstheme="minorHAnsi"/>
        </w:rPr>
        <w:t>u</w:t>
      </w:r>
      <w:r>
        <w:rPr>
          <w:rFonts w:cstheme="minorHAnsi"/>
        </w:rPr>
        <w:t xml:space="preserve">sed </w:t>
      </w:r>
      <w:r w:rsidRPr="00AD1F01">
        <w:rPr>
          <w:rFonts w:cstheme="minorHAnsi"/>
        </w:rPr>
        <w:t xml:space="preserve">to </w:t>
      </w:r>
      <w:r>
        <w:rPr>
          <w:rFonts w:cstheme="minorHAnsi"/>
        </w:rPr>
        <w:t xml:space="preserve">harmonize the metrics of the control variables of the planetary boundaries with </w:t>
      </w:r>
      <w:r w:rsidRPr="00D63A10">
        <w:rPr>
          <w:rFonts w:cstheme="minorHAnsi"/>
        </w:rPr>
        <w:t>those of the life cycle impact assessment methods</w:t>
      </w:r>
      <w:r w:rsidRPr="00D63A10">
        <w:rPr>
          <w:rFonts w:cstheme="minorHAnsi"/>
        </w:rPr>
        <w:fldChar w:fldCharType="begin" w:fldLock="1"/>
      </w:r>
      <w:r w:rsidR="00FA7E4F">
        <w:rPr>
          <w:rFonts w:cstheme="minorHAnsi"/>
        </w:rPr>
        <w:instrText xml:space="preserve"> ADDIN ZOTERO_ITEM CSL_CITATION {"citationID":"Mo9YqjD9","properties":{"formattedCitation":"\\super 10\\nosupersub{}","plainCitation":"10","noteIndex":0},"citationItems":[{"id":2864,"uris":["http://www.mendeley.com/documents/?uuid=5aeb51e6-1c4f-4aa3-91c4-80b15536b453","http://zotero.org/users/14213812/items/Q72ESZ7P"],"itemData":{"id":2864,"type":"article-journal","abstract":"Environmental sustainability boundaries can be used as references in evaluations of the absolute sustainability of activities and for developing policy targets and strategies. Recent literature has applied boundaries for climate change in different ways in life cycle assessment and there is a need for a systematic overview of these approaches, their compatibility with different types of assessments, and their effects on assessment results. This paper addresses that need by identifying and contrasting five approaches to operationalizing the climate change boundary and applying these approaches to a common case of the EU27 + UK consumption footprint in 2019. The identified operationalization approaches are found to be either static or dynamic. Static approaches enable comparison with a boundary which is constant through time, while dynamic approaches interpret the environmental sustainability boundary as a trajectory toward reaching net-zero emissions at the right time. When applying the five operationalization approaches to the 2019 consumption footprint of the EU27 + UK, we find that emissions reduction should be more ambitious than the current European Green Deal targets. For policymaking, the static approaches can offer a highly ambitious ideal reference aiding immediate action but can lack adaptability to evolving conditions. Dynamic approaches better address long-term goals and evolving knowledge but are more complex. This study contributes to the literature on absolute sustainability assessment by unravelling model choices and their implications for assessment results and policymaking.","container-title":"Journal of Industrial Ecology","DOI":"10.1111/jiec.13481","ISSN":"15309290","page":"1-14","title":"Applying environmental sustainability boundaries for climate change in life cycle assessment: A review of approaches and implications for policymaking","author":[{"family":"Clausen","given":"Caroline Amalie"},{"family":"Bjørn","given":"Anders"},{"family":"Sanyé-Mengual","given":"Esther"},{"family":"Ryberg","given":"Morten"}],"issued":{"date-parts":[["2024"]]}}}],"schema":"https://github.com/citation-style-language/schema/raw/master/csl-citation.json"} </w:instrText>
      </w:r>
      <w:r w:rsidRPr="00D63A10">
        <w:rPr>
          <w:rFonts w:cstheme="minorHAnsi"/>
        </w:rPr>
        <w:fldChar w:fldCharType="separate"/>
      </w:r>
      <w:r w:rsidR="00FA7E4F" w:rsidRPr="00FA7E4F">
        <w:rPr>
          <w:rFonts w:ascii="Calibri" w:hAnsi="Calibri" w:cs="Calibri"/>
          <w:vertAlign w:val="superscript"/>
        </w:rPr>
        <w:t>10</w:t>
      </w:r>
      <w:r w:rsidRPr="00D63A10">
        <w:rPr>
          <w:rFonts w:cstheme="minorHAnsi"/>
        </w:rPr>
        <w:fldChar w:fldCharType="end"/>
      </w:r>
      <w:r w:rsidRPr="00D63A10">
        <w:rPr>
          <w:rFonts w:cstheme="minorHAnsi"/>
        </w:rPr>
        <w:t xml:space="preserve">. </w:t>
      </w:r>
      <w:r w:rsidRPr="00D46E37">
        <w:rPr>
          <w:rFonts w:cstheme="minorHAnsi"/>
        </w:rPr>
        <w:t>To quantify the impacts on the climate change Earth-system process (</w:t>
      </w:r>
      <w:r w:rsidRPr="00D46E37">
        <w:rPr>
          <w:rFonts w:cstheme="minorHAnsi"/>
          <w:i/>
          <w:iCs/>
        </w:rPr>
        <w:t>cc</w:t>
      </w:r>
      <w:r w:rsidRPr="00D46E37">
        <w:rPr>
          <w:rFonts w:cstheme="minorHAnsi"/>
        </w:rPr>
        <w:t xml:space="preserve">), we opted for a dynamic approach, taking </w:t>
      </w:r>
      <w:r w:rsidRPr="00D46E37">
        <w:t>the annual CO</w:t>
      </w:r>
      <w:r w:rsidRPr="00D46E37">
        <w:rPr>
          <w:vertAlign w:val="subscript"/>
        </w:rPr>
        <w:t>2</w:t>
      </w:r>
      <w:r w:rsidRPr="00D46E37">
        <w:t xml:space="preserve"> emissions of the considered climate change mitigation scenario (</w:t>
      </w:r>
      <w:r w:rsidRPr="0036240F">
        <w:t>derived from REMIND 2.1</w:t>
      </w:r>
      <w:r w:rsidRPr="0036240F">
        <w:fldChar w:fldCharType="begin" w:fldLock="1"/>
      </w:r>
      <w:r w:rsidR="00FA7E4F">
        <w:instrText xml:space="preserve"> ADDIN ZOTERO_ITEM CSL_CITATION {"citationID":"xKewVwRX","properties":{"formattedCitation":"\\super 11\\nosupersub{}","plainCitation":"11","noteIndex":0},"citationItems":[{"id":2828,"uris":["http://www.mendeley.com/documents/?uuid=2260f3fa-2f6d-457b-8002-7813d793d4e6","http://zotero.org/users/14213812/items/6ULLLZ53"],"itemData":{"id":2828,"type":"article-journal","abstract":"This paper presents the new and now open-source version 2.1 of the REgional Model of INvestments and Development (REMIND). REMIND, as an integrated assessment model (IAM), provides an integrated view of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from 2005 to 2100. The resulting solution corresponds to the decentralized market outcome under the assumptions of perfect foresight of agents and internalization of external effects. REMIND enables the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 and output variables. Each module can be represented by different realizations, enabling flexible configuration and extension. The spatial resolution of REMIND is flexible and depends on the resolution of the input data. Thus, the framework can be used for a variety of applications in a customized form, balancing requirements for detail and overall runtime and complexity.","container-title":"Geoscientific Model Development","DOI":"10.5194/gmd-14-6571-2021","ISSN":"19919603","issue":"10","page":"6571-6603","title":"REMIND2.1: transformation and innovation dynamics of the energy-economic system within climate and sustainability limits","volume":"14","author":[{"family":"Baumstark","given":"Lavinia"},{"family":"Bauer","given":"Nico"},{"family":"Benke","given":"Falk"},{"family":"Bertram","given":"Christoph"},{"family":"Bi","given":"Stephen"},{"family":"Gong","given":"Chen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schema":"https://github.com/citation-style-language/schema/raw/master/csl-citation.json"} </w:instrText>
      </w:r>
      <w:r w:rsidRPr="0036240F">
        <w:fldChar w:fldCharType="separate"/>
      </w:r>
      <w:r w:rsidR="00FA7E4F" w:rsidRPr="00FA7E4F">
        <w:rPr>
          <w:rFonts w:ascii="Calibri" w:hAnsi="Calibri" w:cs="Calibri"/>
          <w:vertAlign w:val="superscript"/>
        </w:rPr>
        <w:t>11</w:t>
      </w:r>
      <w:r w:rsidRPr="0036240F">
        <w:fldChar w:fldCharType="end"/>
      </w:r>
      <w:r w:rsidRPr="0036240F">
        <w:t xml:space="preserve"> and aligned with SSP2-2.6</w:t>
      </w:r>
      <w:r w:rsidR="004C7273" w:rsidRPr="00E44F7B">
        <w:fldChar w:fldCharType="begin" w:fldLock="1"/>
      </w:r>
      <w:r w:rsidR="00FA7E4F">
        <w:instrText xml:space="preserve"> ADDIN ZOTERO_ITEM CSL_CITATION {"citationID":"m2gPLfXl","properties":{"formattedCitation":"\\super 12\\nosupersub{}","plainCitation":"12","noteIndex":0},"citationItems":[{"id":2201,"uris":["http://www.mendeley.com/documents/?uuid=f660e61b-ae32-32d5-aea8-90dbe8ca9bba","http://zotero.org/users/14213812/items/G9UTKEAS"],"itemData":{"id":2201,"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 W/m2 that is consistent with a temperature change limit of 2 °C,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Change","DOI":"10.1016/J.GLOENVCHA.2016.05.009","ISSN":"0959-3780","note":"publisher: Pergamon","page":"153-168","title":"The Shared Socioeconomic Pathways and their energy, land use, and greenhouse gas emissions implications: An overview","volume":"42","author":[{"family":"Riahi","given":"Keywan"},{"family":"Vuuren","given":"Detlef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4C7273" w:rsidRPr="00E44F7B">
        <w:fldChar w:fldCharType="separate"/>
      </w:r>
      <w:r w:rsidR="00FA7E4F" w:rsidRPr="00FA7E4F">
        <w:rPr>
          <w:rFonts w:ascii="Calibri" w:hAnsi="Calibri" w:cs="Calibri"/>
          <w:vertAlign w:val="superscript"/>
        </w:rPr>
        <w:t>12</w:t>
      </w:r>
      <w:r w:rsidR="004C7273" w:rsidRPr="00E44F7B">
        <w:fldChar w:fldCharType="end"/>
      </w:r>
      <w:r w:rsidR="004C7273" w:rsidRPr="00DF419F">
        <w:rPr>
          <w:vertAlign w:val="superscript"/>
        </w:rPr>
        <w:t>,</w:t>
      </w:r>
      <w:r w:rsidR="004C7273" w:rsidRPr="00E44F7B">
        <w:fldChar w:fldCharType="begin" w:fldLock="1"/>
      </w:r>
      <w:r w:rsidR="00FA7E4F">
        <w:instrText xml:space="preserve"> ADDIN ZOTERO_ITEM CSL_CITATION {"citationID":"F9lhaNQc","properties":{"formattedCitation":"\\super 13\\nosupersub{}","plainCitation":"13","noteIndex":0},"citationItems":[{"id":2826,"uris":["http://www.mendeley.com/documents/?uuid=930573e2-4e77-4d56-9545-a81c4da0f9bb","http://zotero.org/users/14213812/items/22JEDCKX"],"itemData":{"id":2826,"type":"article-journal","abstract":"The RCP2.6 emission and concentration pathway is representative of the literature on mitigation scenarios aiming to limit the increase of global mean temperature to 2°C. These scenarios form the low end of the scenario literature in terms of emissions and radiative forcing. They often show negative emissions from energy use in the second half of the 21st century. The RCP2. 6 scenario is shown to be technically feasible in the IMAGE integrated assessment modeling framework from a medium emission baseline scenario, assuming full participation of all countries. Cumulative emissions of greenhouse gases from 2010 to 2100 need to be reduced by 70% compared to a baseline scenario, requiring substantial changes in energy use and emissions of non-CO2 gases. These measures (specifically the use of bio-energy and reforestation measures) also have clear consequences for global land use. Based on the RCP2. 6 scenario, recommendations for further research on low emission scenarios have been formulated. These include the response of the climate system to a radiative forcing peak, the ability of society to achieve the required emission reduction rates given political and social inertia and the possibilities to further reduce emissions of non-CO2 gases. © 2011 The Author(s).","container-title":"Climatic Change","DOI":"10.1007/s10584-011-0152-3","ISSN":"01650009","issue":"1","page":"95-116","title":"RCP2.6: Exploring the possibility to keep global mean temperature increase below 2°C","volume":"109","author":[{"family":"Vuuren","given":"Detlef P.","non-dropping-particle":"van"},{"family":"Stehfest","given":"Elke"},{"family":"Elzen","given":"Michel G.J.","non-dropping-particle":"den"},{"family":"Kram","given":"Tom"},{"family":"Vliet","given":"Jasper","non-dropping-particle":"van"},{"family":"Deetman","given":"Sebastiaan"},{"family":"Isaac","given":"Morna"},{"family":"Goldewijk","given":"Kees Klein"},{"family":"Hof","given":"Andries"},{"family":"Beltran","given":"Angelica Mendoza"},{"family":"Oostenrijk","given":"Rineke"},{"family":"Ruijven","given":"Bas","non-dropping-particle":"van"}],"issued":{"date-parts":[["2011"]]}}}],"schema":"https://github.com/citation-style-language/schema/raw/master/csl-citation.json"} </w:instrText>
      </w:r>
      <w:r w:rsidR="004C7273" w:rsidRPr="00E44F7B">
        <w:fldChar w:fldCharType="separate"/>
      </w:r>
      <w:r w:rsidR="00FA7E4F" w:rsidRPr="00FA7E4F">
        <w:rPr>
          <w:rFonts w:ascii="Calibri" w:hAnsi="Calibri" w:cs="Calibri"/>
          <w:vertAlign w:val="superscript"/>
        </w:rPr>
        <w:t>13</w:t>
      </w:r>
      <w:r w:rsidR="004C7273" w:rsidRPr="00E44F7B">
        <w:fldChar w:fldCharType="end"/>
      </w:r>
      <w:r w:rsidRPr="0036240F">
        <w:t xml:space="preserve">) as the time-dependent climate change </w:t>
      </w:r>
      <w:r w:rsidRPr="00994ECD">
        <w:t>SOS</w:t>
      </w:r>
      <w:r w:rsidR="00FF022F" w:rsidRPr="00994ECD">
        <w:t xml:space="preserve"> (Equation </w:t>
      </w:r>
      <w:r w:rsidR="00784EF6" w:rsidRPr="00994ECD">
        <w:t>(</w:t>
      </w:r>
      <w:r w:rsidR="00BD3DFA" w:rsidRPr="00994ECD">
        <w:t>19</w:t>
      </w:r>
      <w:r w:rsidR="00784EF6" w:rsidRPr="00994ECD">
        <w:t>)</w:t>
      </w:r>
      <w:r w:rsidR="00FF022F" w:rsidRPr="00994ECD">
        <w:t>)</w:t>
      </w:r>
      <w:r w:rsidRPr="00994ECD">
        <w:t>.</w:t>
      </w:r>
      <w:r w:rsidR="00AB2FD7" w:rsidRPr="00994ECD">
        <w:t xml:space="preserve"> </w:t>
      </w:r>
      <w:r w:rsidRPr="00994ECD">
        <w:t xml:space="preserve">For the remaining Earth-system processes, we used time-independent </w:t>
      </w:r>
      <w:r w:rsidR="00973D78">
        <w:t>life cycle impact assessment</w:t>
      </w:r>
      <w:r w:rsidRPr="00994ECD">
        <w:t xml:space="preserve"> metrics consistent with the values of the control variables of the planetary boundaries and computed the SOS of Earth system process </w:t>
      </w:r>
      <w:r w:rsidRPr="00994ECD">
        <w:rPr>
          <w:i/>
          <w:iCs/>
        </w:rPr>
        <w:t>k</w:t>
      </w:r>
      <w:r w:rsidRPr="00994ECD">
        <w:t xml:space="preserve"> </w:t>
      </w:r>
      <w:r w:rsidR="008354AA" w:rsidRPr="00994ECD">
        <w:t xml:space="preserve">for every year </w:t>
      </w:r>
      <w:r w:rsidR="008354AA" w:rsidRPr="00994ECD">
        <w:rPr>
          <w:i/>
          <w:iCs/>
        </w:rPr>
        <w:t>y</w:t>
      </w:r>
      <w:r w:rsidR="008354AA" w:rsidRPr="00994ECD">
        <w:t xml:space="preserve"> (</w:t>
      </w:r>
      <m:oMath>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k,y</m:t>
            </m:r>
          </m:sub>
        </m:sSub>
      </m:oMath>
      <w:r w:rsidR="008354AA" w:rsidRPr="00994ECD">
        <w:t xml:space="preserve">) </w:t>
      </w:r>
      <w:r w:rsidRPr="00994ECD">
        <w:t xml:space="preserve">with Equation </w:t>
      </w:r>
      <w:r w:rsidR="00784EF6" w:rsidRPr="00994ECD">
        <w:t>(19)</w:t>
      </w:r>
      <w:r w:rsidRPr="00994ECD">
        <w:t xml:space="preserve"> as the ab</w:t>
      </w:r>
      <w:r w:rsidRPr="0036240F">
        <w:t>solute difference between the value of the control variable of the planetary boundaries (</w:t>
      </w:r>
      <m:oMath>
        <m:r>
          <w:rPr>
            <w:rFonts w:ascii="Cambria Math" w:hAnsi="Cambria Math"/>
          </w:rPr>
          <m:t>P</m:t>
        </m:r>
        <m:sSub>
          <m:sSubPr>
            <m:ctrlPr>
              <w:rPr>
                <w:rFonts w:ascii="Cambria Math" w:hAnsi="Cambria Math"/>
                <w:i/>
              </w:rPr>
            </m:ctrlPr>
          </m:sSubPr>
          <m:e>
            <m:r>
              <w:rPr>
                <w:rFonts w:ascii="Cambria Math" w:hAnsi="Cambria Math"/>
              </w:rPr>
              <m:t>B</m:t>
            </m:r>
          </m:e>
          <m:sub>
            <m:r>
              <w:rPr>
                <w:rFonts w:ascii="Cambria Math" w:hAnsi="Cambria Math"/>
              </w:rPr>
              <m:t>k</m:t>
            </m:r>
          </m:sub>
        </m:sSub>
      </m:oMath>
      <w:r w:rsidRPr="0036240F">
        <w:t>) and the natural background level (</w:t>
      </w:r>
      <m:oMath>
        <m:r>
          <w:rPr>
            <w:rFonts w:ascii="Cambria Math" w:hAnsi="Cambria Math"/>
          </w:rPr>
          <m:t>N</m:t>
        </m:r>
        <m:sSub>
          <m:sSubPr>
            <m:ctrlPr>
              <w:rPr>
                <w:rFonts w:ascii="Cambria Math" w:hAnsi="Cambria Math"/>
                <w:i/>
              </w:rPr>
            </m:ctrlPr>
          </m:sSubPr>
          <m:e>
            <m:r>
              <w:rPr>
                <w:rFonts w:ascii="Cambria Math" w:hAnsi="Cambria Math"/>
              </w:rPr>
              <m:t>B</m:t>
            </m:r>
          </m:e>
          <m:sub>
            <m:r>
              <w:rPr>
                <w:rFonts w:ascii="Cambria Math" w:hAnsi="Cambria Math"/>
              </w:rPr>
              <m:t>k</m:t>
            </m:r>
          </m:sub>
        </m:sSub>
      </m:oMath>
      <w:r w:rsidRPr="0036240F">
        <w:t xml:space="preserve">), </w:t>
      </w:r>
      <w:r w:rsidRPr="0036240F">
        <w:rPr>
          <w:rFonts w:hAnsi="Calibri"/>
        </w:rPr>
        <w:t xml:space="preserve">taken from </w:t>
      </w:r>
      <w:r w:rsidRPr="0036240F">
        <w:fldChar w:fldCharType="begin" w:fldLock="1"/>
      </w:r>
      <w:r w:rsidR="00FA7E4F">
        <w:instrText xml:space="preserve"> ADDIN ZOTERO_ITEM CSL_CITATION {"citationID":"P4IWmfl8","properties":{"formattedCitation":"\\super 5,6\\nosupersub{}","plainCitation":"5,6","noteIndex":0},"citationItems":[{"id":1673,"uris":["http://www.mendeley.com/documents/?uuid=f3abf16a-cd64-4dc3-ab00-9da499c9e73c","http://zotero.org/users/14213812/items/Q5IMCENF"],"itemData":{"id":1673,"type":"article-journal","abstract":"The planetary boundaries framework defines a safe operating space for humanity based on the intrinsic biophysical processes that regulate the stability of the Earth system. Here, we revise and update the planetary boundary framework, with a focus on the underpinning biophysical science, based on targeted input from expert research communities and on more general scientific advances over the past 5 years. Several of the boundaries now have a two-tier approach, reflecting the importance of cross-scale interactions and the regional-level heterogeneity of the processes that underpin the boundaries. Two core boundaries-climate change and biosphere integrity-have been identified, each of which has the potential on its own to drive the Earth system into a new state should they be substantially and persistently transgressed.","container-title":"Science","DOI":"10.1126/science.1259855","ISSN":"10959203","issue":"6223","note":"PMID: 25592418","page":"1259855","title":"Planetary boundaries: Guiding human development on a changing planet","volume":"347","author":[{"family":"Steffen","given":"Will"},{"family":"Richardson","given":"Katherine"},{"family":"Rockström","given":"Johan"},{"family":"Cornell","given":"Sarah E."},{"family":"Fetzer","given":"Ingo"},{"family":"Bennett","given":"Elena M."},{"family":"Biggs","given":"Reinette"},{"family":"Carpenter","given":"Stephen R."},{"family":"De Vries","given":"Wim"},{"family":"De Wit","given":"Cynthia A."},{"family":"Folke","given":"Carl"},{"family":"Gerten","given":"Dieter"},{"family":"Heinke","given":"Jens"},{"family":"Mace","given":"Georgina M."},{"family":"Persson","given":"Linn M."},{"family":"Ramanathan","given":"Veerabhadran"},{"family":"Reyers","given":"Belinda"},{"family":"Sörlin","given":"Sverker"}],"issued":{"date-parts":[["2015"]]}}},{"id":2832,"uris":["http://www.mendeley.com/documents/?uuid=41f81616-724b-41d4-bef1-6a1ee4c320e3","http://zotero.org/users/14213812/items/8YMS5NLP"],"itemData":{"id":2832,"type":"article-journal","abstract":"This planetary boundaries framework update finds that six of the nine boundaries are transgressed, suggesting that Earth is now well outside of the safe operating space for humanity. Ocean acidification is close to being breached, while aerosol loading regionally exceeds the boundary. Stratospheric ozone levels have slightly recovered. The transgression level has increased for all boundaries earlier identified as overstepped. As primary production drives Earth system biosphere functions, human appropriation of net primary production is proposed as a control variable for functional biosphere integrity. This boundary is also transgressed. Earth system modeling of different levels of the transgression of the climate and land system change boundaries illustrates that these anthropogenic impacts on Earth system must be considered in a systemic context.","container-title":"Science Advances","DOI":"10.1126/sciadv.adh2458","ISSN":"23752548","note":"PMID: 37703365","page":"eadh2458","title":"Earth beyond six of nine planetary boundaries","volume":"9","author":[{"family":"Richardson","given":"Katherine"},{"family":"Steffen","given":"Will"},{"family":"Lucht","given":"Wolfgang"},{"family":"Bendtsen","given":"Jørgen"},{"family":"Cornell","given":"Sarah E."},{"family":"Donges","given":"Jonathan F."},{"family":"Drüke","given":"Markus"},{"family":"Fetzer","given":"Ingo"},{"family":"Bala","given":"Govindasamy"},{"family":"Bloh","given":"Werner","non-dropping-particle":"von"},{"family":"Feulner","given":"Georg"},{"family":"Fiedler","given":"Stephanie"},{"family":"Gerten","given":"Dieter"},{"family":"Gleeson","given":"Tom"},{"family":"Hofmann","given":"Matthias"},{"family":"Huiskamp","given":"Willem"},{"family":"Kummu","given":"Matti"},{"family":"Mohan","given":"Chinchu"},{"family":"Nogués-Bravo","given":"David"},{"family":"Petri","given":"Stefan"},{"family":"Porkka","given":"Miina"},{"family":"Rahmstorf","given":"Stefan"},{"family":"Schaphoff","given":"Sibyll"},{"family":"Thonicke","given":"Kirsten"},{"family":"Tobian","given":"Arne"},{"family":"Virkki","given":"Vili"},{"family":"Wang-Erlandsson","given":"Lan"},{"family":"Weber","given":"Lisa"},{"family":"Rockström","given":"Johan"}],"issued":{"date-parts":[["2023"]]}}}],"schema":"https://github.com/citation-style-language/schema/raw/master/csl-citation.json"} </w:instrText>
      </w:r>
      <w:r w:rsidRPr="0036240F">
        <w:fldChar w:fldCharType="separate"/>
      </w:r>
      <w:r w:rsidR="00FA7E4F" w:rsidRPr="00FA7E4F">
        <w:rPr>
          <w:rFonts w:ascii="Calibri" w:hAnsi="Calibri" w:cs="Calibri"/>
          <w:vertAlign w:val="superscript"/>
        </w:rPr>
        <w:t>5,6</w:t>
      </w:r>
      <w:r w:rsidRPr="0036240F">
        <w:fldChar w:fldCharType="end"/>
      </w:r>
      <w:r w:rsidRPr="0036240F">
        <w:t xml:space="preserve">. </w:t>
      </w:r>
    </w:p>
    <w:tbl>
      <w:tblPr>
        <w:tblStyle w:val="Tablaconcuadrcula"/>
        <w:tblW w:w="85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7"/>
        <w:gridCol w:w="573"/>
      </w:tblGrid>
      <w:tr w:rsidR="0031365A" w:rsidRPr="0031365A" w14:paraId="6981F501" w14:textId="77777777" w:rsidTr="00D46E37">
        <w:trPr>
          <w:jc w:val="center"/>
        </w:trPr>
        <w:tc>
          <w:tcPr>
            <w:tcW w:w="7933" w:type="dxa"/>
          </w:tcPr>
          <w:p w14:paraId="60947CE3" w14:textId="77777777" w:rsidR="008C23C0" w:rsidRPr="0036240F" w:rsidRDefault="008C23C0" w:rsidP="005D37FF">
            <w:pPr>
              <w:spacing w:line="360" w:lineRule="auto"/>
              <w:rPr>
                <w:rFonts w:ascii="Calibri" w:eastAsia="Yu Mincho" w:hAnsi="Calibri" w:cs="Times New Roman"/>
              </w:rPr>
            </w:pPr>
            <m:oMathPara>
              <m:oMathParaPr>
                <m:jc m:val="center"/>
              </m:oMathParaPr>
              <m:oMath>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k,y</m:t>
                    </m:r>
                  </m:sub>
                </m:sSub>
                <m:r>
                  <w:rPr>
                    <w:rFonts w:ascii="Cambria Math" w:hAnsi="Cambria Math"/>
                  </w:rPr>
                  <m:t>=⃓P</m:t>
                </m:r>
                <m:sSub>
                  <m:sSubPr>
                    <m:ctrlPr>
                      <w:rPr>
                        <w:rFonts w:ascii="Cambria Math" w:hAnsi="Cambria Math"/>
                        <w:i/>
                      </w:rPr>
                    </m:ctrlPr>
                  </m:sSubPr>
                  <m:e>
                    <m:r>
                      <w:rPr>
                        <w:rFonts w:ascii="Cambria Math" w:hAnsi="Cambria Math"/>
                      </w:rPr>
                      <m:t>B</m:t>
                    </m:r>
                  </m:e>
                  <m:sub>
                    <m:r>
                      <w:rPr>
                        <w:rFonts w:ascii="Cambria Math" w:hAnsi="Cambria Math"/>
                      </w:rPr>
                      <m:t>k</m:t>
                    </m:r>
                  </m:sub>
                </m:sSub>
                <m:r>
                  <w:rPr>
                    <w:rFonts w:ascii="Cambria Math" w:hAnsi="Cambria Math"/>
                  </w:rPr>
                  <m:t>-N</m:t>
                </m:r>
                <m:sSub>
                  <m:sSubPr>
                    <m:ctrlPr>
                      <w:rPr>
                        <w:rFonts w:ascii="Cambria Math" w:hAnsi="Cambria Math"/>
                        <w:i/>
                      </w:rPr>
                    </m:ctrlPr>
                  </m:sSubPr>
                  <m:e>
                    <m:r>
                      <w:rPr>
                        <w:rFonts w:ascii="Cambria Math" w:hAnsi="Cambria Math"/>
                      </w:rPr>
                      <m:t>B</m:t>
                    </m:r>
                  </m:e>
                  <m:sub>
                    <m:r>
                      <w:rPr>
                        <w:rFonts w:ascii="Cambria Math" w:hAnsi="Cambria Math"/>
                      </w:rPr>
                      <m:t>k</m:t>
                    </m:r>
                  </m:sub>
                </m:sSub>
                <m:r>
                  <w:rPr>
                    <w:rFonts w:ascii="Cambria Math" w:hAnsi="Cambria Math"/>
                  </w:rPr>
                  <m:t xml:space="preserve">⃓   </m:t>
                </m:r>
                <m:r>
                  <w:rPr>
                    <w:rFonts w:ascii="Cambria Math" w:eastAsia="Calibri" w:hAnsi="Cambria Math" w:cs="Calibri"/>
                  </w:rPr>
                  <m:t>∀ k</m:t>
                </m:r>
                <m:r>
                  <w:rPr>
                    <w:rFonts w:ascii="Cambria Math" w:hAnsi="Cambria Math" w:cstheme="minorHAnsi"/>
                  </w:rPr>
                  <m:t>≠cc, y</m:t>
                </m:r>
                <m:r>
                  <w:rPr>
                    <w:rFonts w:ascii="Cambria Math" w:eastAsia="Calibri" w:hAnsi="Cambria Math" w:cs="Calibri"/>
                  </w:rPr>
                  <m:t>∈Y</m:t>
                </m:r>
              </m:oMath>
            </m:oMathPara>
          </w:p>
        </w:tc>
        <w:tc>
          <w:tcPr>
            <w:tcW w:w="567" w:type="dxa"/>
          </w:tcPr>
          <w:p w14:paraId="3B87F2FF" w14:textId="50CA87E4" w:rsidR="008C23C0" w:rsidRPr="00D1105E" w:rsidRDefault="008C23C0" w:rsidP="00801AEC">
            <w:pPr>
              <w:spacing w:line="360" w:lineRule="auto"/>
              <w:rPr>
                <w:rFonts w:hAnsi="Calibri"/>
                <w:sz w:val="10"/>
                <w:szCs w:val="10"/>
                <w:highlight w:val="yellow"/>
              </w:rPr>
            </w:pPr>
            <w:r w:rsidRPr="00BD3DFA">
              <w:rPr>
                <w:rFonts w:hAnsi="Calibri"/>
              </w:rPr>
              <w:t>(</w:t>
            </w:r>
            <w:r w:rsidR="00BD3DFA" w:rsidRPr="00BD3DFA">
              <w:rPr>
                <w:rFonts w:hAnsi="Calibri"/>
              </w:rPr>
              <w:t>19</w:t>
            </w:r>
            <w:r w:rsidRPr="00BD3DFA">
              <w:rPr>
                <w:rFonts w:hAnsi="Calibri"/>
              </w:rPr>
              <w:t>)</w:t>
            </w:r>
          </w:p>
        </w:tc>
      </w:tr>
    </w:tbl>
    <w:p w14:paraId="4DFF967E" w14:textId="642DF0FA" w:rsidR="008E346A" w:rsidRPr="00676167" w:rsidRDefault="008D4019" w:rsidP="000237BD">
      <w:pPr>
        <w:spacing w:before="240" w:line="360" w:lineRule="auto"/>
        <w:jc w:val="both"/>
        <w:rPr>
          <w:rFonts w:cstheme="minorHAnsi"/>
        </w:rPr>
      </w:pPr>
      <w:r w:rsidRPr="00644DDF">
        <w:rPr>
          <w:rFonts w:hAnsi="Calibri"/>
        </w:rPr>
        <w:t xml:space="preserve">Equation </w:t>
      </w:r>
      <w:r w:rsidR="00994ECD" w:rsidRPr="00644DDF">
        <w:rPr>
          <w:rFonts w:hAnsi="Calibri"/>
        </w:rPr>
        <w:t>(20)</w:t>
      </w:r>
      <w:r w:rsidRPr="00644DDF">
        <w:rPr>
          <w:rFonts w:hAnsi="Calibri"/>
        </w:rPr>
        <w:t xml:space="preserve"> c</w:t>
      </w:r>
      <w:r w:rsidR="00365B0D" w:rsidRPr="00644DDF">
        <w:rPr>
          <w:rFonts w:hAnsi="Calibri"/>
        </w:rPr>
        <w:t>ompute</w:t>
      </w:r>
      <w:r w:rsidR="00004D6E" w:rsidRPr="00644DDF">
        <w:rPr>
          <w:rFonts w:hAnsi="Calibri"/>
        </w:rPr>
        <w:t>s</w:t>
      </w:r>
      <w:r w:rsidRPr="00644DDF">
        <w:rPr>
          <w:rFonts w:hAnsi="Calibri"/>
          <w:color w:val="000000"/>
        </w:rPr>
        <w:t xml:space="preserve"> </w:t>
      </w:r>
      <m:oMath>
        <m:sSubSup>
          <m:sSubSupPr>
            <m:ctrlPr>
              <w:rPr>
                <w:rFonts w:ascii="Cambria Math" w:hAnsi="Cambria Math"/>
                <w:i/>
              </w:rPr>
            </m:ctrlPr>
          </m:sSubSupPr>
          <m:e>
            <m:r>
              <w:rPr>
                <w:rFonts w:ascii="Cambria Math" w:hAnsi="Cambria Math"/>
              </w:rPr>
              <m:t>I</m:t>
            </m:r>
          </m:e>
          <m:sub>
            <m:r>
              <w:rPr>
                <w:rFonts w:ascii="Cambria Math" w:hAnsi="Cambria Math"/>
              </w:rPr>
              <m:t>i,k,y</m:t>
            </m:r>
          </m:sub>
          <m:sup>
            <m:r>
              <w:rPr>
                <w:rFonts w:ascii="Cambria Math" w:hAnsi="Cambria Math"/>
              </w:rPr>
              <m:t>ESP</m:t>
            </m:r>
          </m:sup>
        </m:sSubSup>
      </m:oMath>
      <w:r w:rsidR="009B4F90" w:rsidRPr="00644DDF">
        <w:rPr>
          <w:rFonts w:hAnsi="Calibri"/>
        </w:rPr>
        <w:t xml:space="preserve">, </w:t>
      </w:r>
      <w:r w:rsidRPr="00644DDF">
        <w:rPr>
          <w:rFonts w:hAnsi="Calibri"/>
        </w:rPr>
        <w:t xml:space="preserve">the impacts of deploying NETP </w:t>
      </w:r>
      <w:proofErr w:type="spellStart"/>
      <w:r w:rsidRPr="00644DDF">
        <w:rPr>
          <w:rFonts w:hAnsi="Calibri"/>
          <w:i/>
          <w:iCs/>
        </w:rPr>
        <w:t>i</w:t>
      </w:r>
      <w:proofErr w:type="spellEnd"/>
      <w:r w:rsidRPr="00644DDF">
        <w:rPr>
          <w:rFonts w:hAnsi="Calibri"/>
        </w:rPr>
        <w:t xml:space="preserve"> in year </w:t>
      </w:r>
      <w:r w:rsidRPr="00644DDF">
        <w:rPr>
          <w:rFonts w:hAnsi="Calibri"/>
          <w:i/>
          <w:iCs/>
        </w:rPr>
        <w:t>y</w:t>
      </w:r>
      <w:r w:rsidRPr="00644DDF">
        <w:rPr>
          <w:rFonts w:hAnsi="Calibri"/>
        </w:rPr>
        <w:t xml:space="preserve"> </w:t>
      </w:r>
      <w:r w:rsidR="009C6C2D" w:rsidRPr="00644DDF">
        <w:rPr>
          <w:rFonts w:hAnsi="Calibri"/>
        </w:rPr>
        <w:t xml:space="preserve">on Earth-system process </w:t>
      </w:r>
      <w:r w:rsidR="009C6C2D" w:rsidRPr="00644DDF">
        <w:rPr>
          <w:rFonts w:hAnsi="Calibri"/>
          <w:i/>
          <w:iCs/>
        </w:rPr>
        <w:t>k</w:t>
      </w:r>
      <w:r w:rsidR="00EA1772" w:rsidRPr="00644DDF">
        <w:rPr>
          <w:rFonts w:hAnsi="Calibri"/>
        </w:rPr>
        <w:t>–</w:t>
      </w:r>
      <w:r w:rsidRPr="00644DDF">
        <w:rPr>
          <w:rFonts w:hAnsi="Calibri"/>
        </w:rPr>
        <w:t>excluding nitrogen biogeochemical flows (</w:t>
      </w:r>
      <w:r w:rsidRPr="00644DDF">
        <w:rPr>
          <w:rFonts w:hAnsi="Calibri"/>
          <w:i/>
          <w:iCs/>
        </w:rPr>
        <w:t>N</w:t>
      </w:r>
      <w:r w:rsidRPr="00644DDF">
        <w:rPr>
          <w:rFonts w:hAnsi="Calibri"/>
        </w:rPr>
        <w:t>)</w:t>
      </w:r>
      <w:r w:rsidR="00833DD1" w:rsidRPr="00644DDF">
        <w:rPr>
          <w:rFonts w:hAnsi="Calibri"/>
        </w:rPr>
        <w:t xml:space="preserve"> and climate change (</w:t>
      </w:r>
      <m:oMath>
        <m:r>
          <w:rPr>
            <w:rFonts w:ascii="Cambria Math" w:hAnsi="Cambria Math" w:cstheme="minorHAnsi"/>
          </w:rPr>
          <m:t>cc</m:t>
        </m:r>
      </m:oMath>
      <w:r w:rsidR="00833DD1" w:rsidRPr="00644DDF">
        <w:rPr>
          <w:rFonts w:hAnsi="Calibri"/>
        </w:rPr>
        <w:t>)</w:t>
      </w:r>
      <w:r w:rsidR="00584571" w:rsidRPr="00644DDF">
        <w:rPr>
          <w:rFonts w:hAnsi="Calibri"/>
        </w:rPr>
        <w:t>–</w:t>
      </w:r>
      <w:r w:rsidR="004809B8" w:rsidRPr="00644DDF">
        <w:rPr>
          <w:rFonts w:hAnsi="Calibri"/>
        </w:rPr>
        <w:t>as a percentage of its SOS</w:t>
      </w:r>
      <w:r w:rsidR="00BB5C7B" w:rsidRPr="00644DDF">
        <w:rPr>
          <w:rFonts w:hAnsi="Calibri"/>
        </w:rPr>
        <w:t xml:space="preserve"> </w:t>
      </w:r>
      <w:r w:rsidR="00103C0F" w:rsidRPr="00644DDF">
        <w:rPr>
          <w:rFonts w:hAnsi="Calibri"/>
        </w:rPr>
        <w:t>wi</w:t>
      </w:r>
      <w:r w:rsidR="004B4F01" w:rsidRPr="00644DDF">
        <w:rPr>
          <w:rFonts w:hAnsi="Calibri"/>
        </w:rPr>
        <w:t>th</w:t>
      </w:r>
      <w:r w:rsidR="00BB5C7B" w:rsidRPr="00644DDF">
        <w:rPr>
          <w:rFonts w:hAnsi="Calibri"/>
        </w:rPr>
        <w:t xml:space="preserve"> </w:t>
      </w:r>
      <w:r w:rsidR="00741BA6" w:rsidRPr="00644DDF">
        <w:rPr>
          <w:rFonts w:hAnsi="Calibri"/>
        </w:rPr>
        <w:t xml:space="preserve">the characterization factors </w:t>
      </w:r>
      <w:r w:rsidR="0082253F" w:rsidRPr="00644DDF">
        <w:rPr>
          <w:rFonts w:hAnsi="Calibri"/>
        </w:rPr>
        <w:t xml:space="preserve">linking impacts </w:t>
      </w:r>
      <w:r w:rsidR="00771DFC" w:rsidRPr="00644DDF">
        <w:rPr>
          <w:rFonts w:hAnsi="Calibri"/>
        </w:rPr>
        <w:t>to elementary flows</w:t>
      </w:r>
      <w:r w:rsidR="00004D6E" w:rsidRPr="00644DDF">
        <w:rPr>
          <w:rFonts w:hAnsi="Calibri"/>
        </w:rPr>
        <w:t xml:space="preserve"> (</w:t>
      </w:r>
      <m:oMath>
        <m:r>
          <w:rPr>
            <w:rFonts w:ascii="Cambria Math" w:hAnsi="Cambria Math"/>
          </w:rPr>
          <m:t>C</m:t>
        </m:r>
        <m:sSubSup>
          <m:sSubSupPr>
            <m:ctrlPr>
              <w:rPr>
                <w:rFonts w:ascii="Cambria Math" w:hAnsi="Cambria Math"/>
                <w:i/>
                <w:kern w:val="2"/>
                <w14:ligatures w14:val="standardContextual"/>
              </w:rPr>
            </m:ctrlPr>
          </m:sSubSupPr>
          <m:e>
            <m:r>
              <w:rPr>
                <w:rFonts w:ascii="Cambria Math" w:hAnsi="Cambria Math"/>
              </w:rPr>
              <m:t>F</m:t>
            </m:r>
            <m:ctrlPr>
              <w:rPr>
                <w:rFonts w:ascii="Cambria Math" w:hAnsi="Cambria Math"/>
                <w:i/>
              </w:rPr>
            </m:ctrlPr>
          </m:e>
          <m:sub>
            <m:r>
              <w:rPr>
                <w:rFonts w:ascii="Cambria Math" w:hAnsi="Cambria Math"/>
              </w:rPr>
              <m:t>k,s</m:t>
            </m:r>
            <m:ctrlPr>
              <w:rPr>
                <w:rFonts w:ascii="Cambria Math" w:hAnsi="Cambria Math"/>
                <w:i/>
              </w:rPr>
            </m:ctrlPr>
          </m:sub>
          <m:sup>
            <m:r>
              <w:rPr>
                <w:rFonts w:ascii="Cambria Math" w:hAnsi="Cambria Math"/>
              </w:rPr>
              <m:t>ESP</m:t>
            </m:r>
          </m:sup>
        </m:sSubSup>
        <m:r>
          <w:rPr>
            <w:rFonts w:ascii="Cambria Math" w:hAnsi="Cambria Math"/>
            <w:kern w:val="2"/>
            <w14:ligatures w14:val="standardContextual"/>
          </w:rPr>
          <m:t>)</m:t>
        </m:r>
      </m:oMath>
      <w:r w:rsidR="00725D6E" w:rsidRPr="00644DDF">
        <w:rPr>
          <w:rFonts w:hAnsi="Calibri"/>
          <w:kern w:val="2"/>
          <w14:ligatures w14:val="standardContextual"/>
        </w:rPr>
        <w:t xml:space="preserve">. </w:t>
      </w:r>
      <w:r w:rsidR="00231568" w:rsidRPr="00F450E8">
        <w:rPr>
          <w:rFonts w:hAnsi="Calibri"/>
        </w:rPr>
        <w:t>We estimated t</w:t>
      </w:r>
      <w:r w:rsidR="00ED5B3F" w:rsidRPr="00F450E8">
        <w:rPr>
          <w:rFonts w:hAnsi="Calibri"/>
        </w:rPr>
        <w:t xml:space="preserve">he impacts on the </w:t>
      </w:r>
      <m:oMath>
        <m:r>
          <w:rPr>
            <w:rFonts w:ascii="Cambria Math" w:hAnsi="Cambria Math" w:cstheme="minorHAnsi"/>
          </w:rPr>
          <m:t>cc</m:t>
        </m:r>
      </m:oMath>
      <w:r w:rsidR="003F056E" w:rsidRPr="00F450E8">
        <w:rPr>
          <w:rFonts w:hAnsi="Calibri"/>
        </w:rPr>
        <w:t xml:space="preserve"> </w:t>
      </w:r>
      <w:r w:rsidR="00ED5B3F" w:rsidRPr="00F450E8">
        <w:rPr>
          <w:rFonts w:hAnsi="Calibri"/>
        </w:rPr>
        <w:t>E</w:t>
      </w:r>
      <w:r w:rsidR="00CF072E" w:rsidRPr="00F450E8">
        <w:rPr>
          <w:rFonts w:hAnsi="Calibri"/>
        </w:rPr>
        <w:t>arth-system process</w:t>
      </w:r>
      <w:r w:rsidR="00231568" w:rsidRPr="00F450E8">
        <w:rPr>
          <w:rFonts w:hAnsi="Calibri"/>
        </w:rPr>
        <w:t xml:space="preserve"> with Equation </w:t>
      </w:r>
      <w:r w:rsidR="00644DDF" w:rsidRPr="00F450E8">
        <w:rPr>
          <w:rFonts w:hAnsi="Calibri"/>
        </w:rPr>
        <w:t>(</w:t>
      </w:r>
      <w:r w:rsidR="00017470" w:rsidRPr="00F450E8">
        <w:rPr>
          <w:rFonts w:hAnsi="Calibri"/>
        </w:rPr>
        <w:t>21</w:t>
      </w:r>
      <w:r w:rsidR="00644DDF" w:rsidRPr="00F450E8">
        <w:rPr>
          <w:rFonts w:hAnsi="Calibri"/>
        </w:rPr>
        <w:t>)</w:t>
      </w:r>
      <w:r w:rsidR="00175707" w:rsidRPr="00F450E8">
        <w:rPr>
          <w:rFonts w:hAnsi="Calibri"/>
        </w:rPr>
        <w:t xml:space="preserve">, based on </w:t>
      </w:r>
      <w:r w:rsidR="00175707" w:rsidRPr="00F450E8">
        <w:rPr>
          <w:rFonts w:cstheme="minorHAnsi"/>
        </w:rPr>
        <w:t xml:space="preserve">the </w:t>
      </w:r>
      <m:oMath>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oMath>
      <w:r w:rsidR="00175707" w:rsidRPr="00F450E8">
        <w:rPr>
          <w:rFonts w:cstheme="minorHAnsi"/>
        </w:rPr>
        <w:t xml:space="preserve"> </w:t>
      </w:r>
      <w:r w:rsidR="00F51C91" w:rsidRPr="00F450E8">
        <w:rPr>
          <w:rFonts w:cstheme="minorHAnsi"/>
        </w:rPr>
        <w:t>calculated</w:t>
      </w:r>
      <w:r w:rsidR="00175707" w:rsidRPr="00F450E8">
        <w:rPr>
          <w:rFonts w:cstheme="minorHAnsi"/>
        </w:rPr>
        <w:t xml:space="preserve"> with Equation </w:t>
      </w:r>
      <w:r w:rsidR="00CF6682" w:rsidRPr="00F450E8">
        <w:rPr>
          <w:rFonts w:cstheme="minorHAnsi"/>
        </w:rPr>
        <w:t>(6)</w:t>
      </w:r>
      <w:r w:rsidR="00930B2F" w:rsidRPr="00F450E8">
        <w:rPr>
          <w:rFonts w:cstheme="minorHAnsi"/>
        </w:rPr>
        <w:t>.</w:t>
      </w:r>
      <w:r w:rsidR="00B11CC3" w:rsidRPr="00F450E8">
        <w:rPr>
          <w:rFonts w:cstheme="minorHAnsi"/>
        </w:rPr>
        <w:t xml:space="preserve"> </w:t>
      </w:r>
      <w:r w:rsidR="00DE22FE" w:rsidRPr="00F450E8">
        <w:rPr>
          <w:rFonts w:cstheme="minorHAnsi"/>
        </w:rPr>
        <w:t xml:space="preserve">The elementary flows are calculated with </w:t>
      </w:r>
      <w:r w:rsidR="005575D8" w:rsidRPr="00F450E8">
        <w:rPr>
          <w:rFonts w:cstheme="minorHAnsi"/>
        </w:rPr>
        <w:t xml:space="preserve">relations </w:t>
      </w:r>
      <w:r w:rsidR="005222DA" w:rsidRPr="00F450E8">
        <w:rPr>
          <w:rFonts w:cstheme="minorHAnsi"/>
        </w:rPr>
        <w:t>(</w:t>
      </w:r>
      <w:r w:rsidR="005575D8" w:rsidRPr="00F450E8">
        <w:rPr>
          <w:rFonts w:cstheme="minorHAnsi"/>
        </w:rPr>
        <w:t>4</w:t>
      </w:r>
      <w:r w:rsidR="005E4471" w:rsidRPr="00F450E8">
        <w:rPr>
          <w:rFonts w:cstheme="minorHAnsi"/>
        </w:rPr>
        <w:t>)</w:t>
      </w:r>
      <w:r w:rsidR="005575D8" w:rsidRPr="00F450E8">
        <w:rPr>
          <w:rFonts w:cstheme="minorHAnsi"/>
        </w:rPr>
        <w:t xml:space="preserve">, </w:t>
      </w:r>
      <w:r w:rsidR="005E4471" w:rsidRPr="00F450E8">
        <w:rPr>
          <w:rFonts w:cstheme="minorHAnsi"/>
        </w:rPr>
        <w:t>(</w:t>
      </w:r>
      <w:r w:rsidR="005575D8" w:rsidRPr="00F450E8">
        <w:rPr>
          <w:rFonts w:cstheme="minorHAnsi"/>
        </w:rPr>
        <w:t>5</w:t>
      </w:r>
      <w:r w:rsidR="005222DA" w:rsidRPr="00F450E8">
        <w:rPr>
          <w:rFonts w:cstheme="minorHAnsi"/>
        </w:rPr>
        <w:t>)</w:t>
      </w:r>
      <w:r w:rsidR="005575D8" w:rsidRPr="00F450E8">
        <w:rPr>
          <w:rFonts w:cstheme="minorHAnsi"/>
        </w:rPr>
        <w:t xml:space="preserve"> and</w:t>
      </w:r>
      <w:r w:rsidR="005575D8">
        <w:rPr>
          <w:rFonts w:cstheme="minorHAnsi"/>
        </w:rPr>
        <w:t xml:space="preserve"> (12-16)</w:t>
      </w:r>
      <w:r w:rsidR="00D27C14" w:rsidRPr="008F0968">
        <w:rPr>
          <w:rFonts w:hAnsi="Calibri"/>
          <w:kern w:val="2"/>
          <w14:ligatures w14:val="standardContextual"/>
        </w:rPr>
        <w:t xml:space="preserve">. </w:t>
      </w:r>
      <w:r w:rsidRPr="008F0968">
        <w:rPr>
          <w:rFonts w:hAnsi="Calibri"/>
        </w:rPr>
        <w:t xml:space="preserve">Equation </w:t>
      </w:r>
      <w:r w:rsidR="008F0968" w:rsidRPr="008F0968">
        <w:rPr>
          <w:rFonts w:hAnsi="Calibri"/>
        </w:rPr>
        <w:t>(22)</w:t>
      </w:r>
      <w:r w:rsidRPr="008F0968">
        <w:rPr>
          <w:rFonts w:hAnsi="Calibri"/>
        </w:rPr>
        <w:t xml:space="preserve"> quantifies</w:t>
      </w:r>
      <w:r w:rsidRPr="0034300B">
        <w:rPr>
          <w:rFonts w:hAnsi="Calibri"/>
        </w:rPr>
        <w:t xml:space="preserve"> the impacts on the </w:t>
      </w:r>
      <w:r w:rsidR="003F056E" w:rsidRPr="0034300B">
        <w:rPr>
          <w:rFonts w:hAnsi="Calibri"/>
          <w:i/>
          <w:iCs/>
        </w:rPr>
        <w:t>N</w:t>
      </w:r>
      <w:r w:rsidR="003F056E" w:rsidRPr="0034300B">
        <w:rPr>
          <w:rFonts w:hAnsi="Calibri"/>
        </w:rPr>
        <w:t xml:space="preserve"> </w:t>
      </w:r>
      <w:r w:rsidR="003F056E">
        <w:rPr>
          <w:rFonts w:hAnsi="Calibri"/>
        </w:rPr>
        <w:t xml:space="preserve">Earth-system process </w:t>
      </w:r>
      <w:r w:rsidRPr="0034300B">
        <w:rPr>
          <w:rFonts w:hAnsi="Calibri"/>
        </w:rPr>
        <w:t xml:space="preserve">as the share of </w:t>
      </w:r>
      <w:r w:rsidR="003F056E">
        <w:rPr>
          <w:rFonts w:hAnsi="Calibri"/>
        </w:rPr>
        <w:t>its</w:t>
      </w:r>
      <w:r w:rsidRPr="0034300B">
        <w:rPr>
          <w:rFonts w:hAnsi="Calibri"/>
        </w:rPr>
        <w:t xml:space="preserve"> SOS associated with the industrial and intentional nitrogen fixation </w:t>
      </w:r>
      <w:r w:rsidR="00CA20E1">
        <w:rPr>
          <w:rFonts w:hAnsi="Calibri"/>
        </w:rPr>
        <w:t>driven by</w:t>
      </w:r>
      <w:r w:rsidRPr="0034300B">
        <w:rPr>
          <w:rFonts w:hAnsi="Calibri"/>
        </w:rPr>
        <w:t xml:space="preserve"> NETPs. </w:t>
      </w:r>
      <w:r w:rsidRPr="00C209A9">
        <w:t>Here,</w:t>
      </w:r>
      <w:r w:rsidRPr="00C209A9">
        <w:rPr>
          <w:color w:val="FF0000"/>
        </w:rPr>
        <w:t xml:space="preserve"> </w:t>
      </w:r>
      <m:oMath>
        <m:sSub>
          <m:sSubPr>
            <m:ctrlPr>
              <w:rPr>
                <w:rFonts w:ascii="Cambria Math" w:hAnsi="Cambria Math"/>
                <w:i/>
              </w:rPr>
            </m:ctrlPr>
          </m:sSubPr>
          <m:e>
            <m:r>
              <w:rPr>
                <w:rFonts w:ascii="Cambria Math" w:hAnsi="Cambria Math"/>
              </w:rPr>
              <m:t>A</m:t>
            </m:r>
          </m:e>
          <m:sub>
            <m:r>
              <w:rPr>
                <w:rFonts w:ascii="Cambria Math" w:hAnsi="Cambria Math"/>
              </w:rPr>
              <m:t>a,c,i,y</m:t>
            </m:r>
          </m:sub>
        </m:sSub>
      </m:oMath>
      <w:r w:rsidRPr="00C05F91">
        <w:t xml:space="preserve"> </w:t>
      </w:r>
      <w:r w:rsidR="00BF73EF" w:rsidRPr="00C05F91">
        <w:t xml:space="preserve">(taken from the database activities) </w:t>
      </w:r>
      <w:r w:rsidRPr="00C05F91">
        <w:t xml:space="preserve">represents the amount of </w:t>
      </w:r>
      <w:r w:rsidR="004B5818" w:rsidRPr="00C05F91">
        <w:t xml:space="preserve">activity </w:t>
      </w:r>
      <w:r w:rsidR="004B5818" w:rsidRPr="00C05F91">
        <w:rPr>
          <w:i/>
          <w:iCs/>
        </w:rPr>
        <w:t>a</w:t>
      </w:r>
      <w:r w:rsidRPr="00C05F91">
        <w:t xml:space="preserve"> </w:t>
      </w:r>
      <w:r w:rsidR="003B5F9C" w:rsidRPr="00C05F91">
        <w:t>(</w:t>
      </w:r>
      <w:r w:rsidR="0074146E" w:rsidRPr="00C05F91">
        <w:t xml:space="preserve">within the subset </w:t>
      </w:r>
      <m:oMath>
        <m:r>
          <w:rPr>
            <w:rFonts w:ascii="Cambria Math" w:hAnsi="Cambria Math"/>
          </w:rPr>
          <m:t>F</m:t>
        </m:r>
      </m:oMath>
      <w:r w:rsidR="0074146E" w:rsidRPr="00C05F91">
        <w:t xml:space="preserve"> of fertilizer production activities</w:t>
      </w:r>
      <w:r w:rsidR="003B5F9C" w:rsidRPr="00C05F91">
        <w:t>)</w:t>
      </w:r>
      <w:r w:rsidR="0074146E" w:rsidRPr="00C05F91">
        <w:t xml:space="preserve"> </w:t>
      </w:r>
      <w:r w:rsidRPr="00C05F91">
        <w:t xml:space="preserve">produced in the supply chain link </w:t>
      </w:r>
      <w:r w:rsidRPr="00C05F91">
        <w:rPr>
          <w:i/>
          <w:iCs/>
        </w:rPr>
        <w:t>c</w:t>
      </w:r>
      <w:r w:rsidRPr="00C05F91">
        <w:t xml:space="preserve"> of NETP </w:t>
      </w:r>
      <w:proofErr w:type="spellStart"/>
      <w:r w:rsidRPr="00C05F91">
        <w:rPr>
          <w:i/>
          <w:iCs/>
        </w:rPr>
        <w:t>i</w:t>
      </w:r>
      <w:proofErr w:type="spellEnd"/>
      <w:r w:rsidRPr="00C05F91">
        <w:t xml:space="preserve"> deployed in year </w:t>
      </w:r>
      <w:r w:rsidRPr="00C05F91">
        <w:rPr>
          <w:i/>
          <w:iCs/>
        </w:rPr>
        <w:t>y</w:t>
      </w:r>
      <w:r w:rsidR="008045F2" w:rsidRPr="00C05F91">
        <w:t>,</w:t>
      </w:r>
      <w:r w:rsidRPr="00C209A9">
        <w:rPr>
          <w:i/>
          <w:iCs/>
        </w:rPr>
        <w:t xml:space="preserve"> </w:t>
      </w:r>
      <w:r w:rsidR="00C76BAE" w:rsidRPr="00C209A9">
        <w:t xml:space="preserve">and </w:t>
      </w:r>
      <m:oMath>
        <m:sSubSup>
          <m:sSubSupPr>
            <m:ctrlPr>
              <w:rPr>
                <w:rFonts w:ascii="Cambria Math" w:hAnsi="Cambria Math"/>
                <w:i/>
              </w:rPr>
            </m:ctrlPr>
          </m:sSubSupPr>
          <m:e>
            <m:r>
              <w:rPr>
                <w:rFonts w:ascii="Cambria Math" w:hAnsi="Cambria Math"/>
              </w:rPr>
              <m:t>x</m:t>
            </m:r>
          </m:e>
          <m:sub>
            <m:r>
              <w:rPr>
                <w:rFonts w:ascii="Cambria Math" w:hAnsi="Cambria Math"/>
              </w:rPr>
              <m:t>a</m:t>
            </m:r>
          </m:sub>
          <m:sup>
            <m:r>
              <w:rPr>
                <w:rFonts w:ascii="Cambria Math" w:hAnsi="Cambria Math"/>
              </w:rPr>
              <m:t>NF</m:t>
            </m:r>
          </m:sup>
        </m:sSubSup>
      </m:oMath>
      <w:r w:rsidR="00C76BAE" w:rsidRPr="00C209A9">
        <w:t xml:space="preserve"> is the fraction of nitrogen in the </w:t>
      </w:r>
      <w:r w:rsidR="001B16E8" w:rsidRPr="00C209A9">
        <w:t>fertilizers</w:t>
      </w:r>
      <w:r w:rsidR="00C76BAE" w:rsidRPr="00C209A9">
        <w:t xml:space="preserve"> </w:t>
      </w:r>
      <w:r w:rsidR="00123C3B" w:rsidRPr="00C209A9">
        <w:t xml:space="preserve">produced </w:t>
      </w:r>
      <w:r w:rsidR="00C76BAE" w:rsidRPr="00C209A9">
        <w:t xml:space="preserve">by those </w:t>
      </w:r>
      <w:r w:rsidR="00C76BAE" w:rsidRPr="00E862B7">
        <w:t>activities.</w:t>
      </w:r>
      <w:r w:rsidR="003C0DEE">
        <w:t xml:space="preserve"> A </w:t>
      </w:r>
      <w:r w:rsidR="003C0DEE" w:rsidRPr="00676167">
        <w:t>factor of 10</w:t>
      </w:r>
      <w:r w:rsidR="003C0DEE" w:rsidRPr="00676167">
        <w:rPr>
          <w:vertAlign w:val="superscript"/>
        </w:rPr>
        <w:t>-9</w:t>
      </w:r>
      <w:r w:rsidR="003C0DEE" w:rsidRPr="00676167">
        <w:t xml:space="preserve"> is applied to convert kg to </w:t>
      </w:r>
      <w:proofErr w:type="spellStart"/>
      <w:r w:rsidR="003C0DEE" w:rsidRPr="00676167">
        <w:t>Tg</w:t>
      </w:r>
      <w:proofErr w:type="spellEnd"/>
      <w:r w:rsidR="00CD66F9" w:rsidRPr="00676167">
        <w:t xml:space="preserve"> (the unit of the control variable of the nitrogen biogeochemical flows). </w:t>
      </w:r>
    </w:p>
    <w:tbl>
      <w:tblPr>
        <w:tblStyle w:val="Tablaconcuadrcula"/>
        <w:tblpPr w:leftFromText="141" w:rightFromText="141" w:vertAnchor="text" w:horzAnchor="margin" w:tblpY="-2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0"/>
        <w:gridCol w:w="846"/>
      </w:tblGrid>
      <w:tr w:rsidR="00E84CD9" w:rsidRPr="00E84CD9" w14:paraId="45CA0CCD" w14:textId="77777777" w:rsidTr="00F556B6">
        <w:tc>
          <w:tcPr>
            <w:tcW w:w="8080" w:type="dxa"/>
          </w:tcPr>
          <w:p w14:paraId="4FBCB0A1" w14:textId="77777777" w:rsidR="00704A0C" w:rsidRPr="00E84CD9" w:rsidRDefault="00000000" w:rsidP="00704A0C">
            <w:pPr>
              <w:spacing w:line="360" w:lineRule="auto"/>
              <w:rPr>
                <w:rFonts w:ascii="Calibri" w:eastAsia="Yu Mincho" w:hAnsi="Calibri" w:cs="Times New Roman"/>
              </w:rPr>
            </w:pPr>
            <m:oMathPara>
              <m:oMath>
                <m:sSubSup>
                  <m:sSubSupPr>
                    <m:ctrlPr>
                      <w:rPr>
                        <w:rFonts w:ascii="Cambria Math" w:hAnsi="Cambria Math"/>
                        <w:i/>
                      </w:rPr>
                    </m:ctrlPr>
                  </m:sSubSupPr>
                  <m:e>
                    <m:r>
                      <w:rPr>
                        <w:rFonts w:ascii="Cambria Math" w:hAnsi="Cambria Math"/>
                      </w:rPr>
                      <m:t>I</m:t>
                    </m:r>
                  </m:e>
                  <m:sub>
                    <m:r>
                      <w:rPr>
                        <w:rFonts w:ascii="Cambria Math" w:hAnsi="Cambria Math"/>
                      </w:rPr>
                      <m:t>i,k,y</m:t>
                    </m:r>
                  </m:sub>
                  <m:sup>
                    <m:r>
                      <w:rPr>
                        <w:rFonts w:ascii="Cambria Math" w:hAnsi="Cambria Math"/>
                      </w:rPr>
                      <m:t>ESP</m:t>
                    </m:r>
                  </m:sup>
                </m:sSubSup>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t=0</m:t>
                        </m:r>
                      </m:sub>
                      <m:sup>
                        <m:r>
                          <w:rPr>
                            <w:rFonts w:ascii="Cambria Math" w:hAnsi="Cambria Math"/>
                          </w:rPr>
                          <m:t>t=TH</m:t>
                        </m:r>
                      </m:sup>
                      <m:e>
                        <m:nary>
                          <m:naryPr>
                            <m:chr m:val="∑"/>
                            <m:limLoc m:val="undOvr"/>
                            <m:supHide m:val="1"/>
                            <m:ctrlPr>
                              <w:rPr>
                                <w:rFonts w:ascii="Cambria Math" w:hAnsi="Cambria Math"/>
                                <w:i/>
                              </w:rPr>
                            </m:ctrlPr>
                          </m:naryPr>
                          <m:sub>
                            <m:r>
                              <w:rPr>
                                <w:rFonts w:ascii="Cambria Math" w:hAnsi="Cambria Math"/>
                              </w:rPr>
                              <m:t>s⋲S</m:t>
                            </m:r>
                          </m:sub>
                          <m:sup/>
                          <m:e>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k,s</m:t>
                                </m:r>
                              </m:sub>
                              <m:sup>
                                <m:r>
                                  <w:rPr>
                                    <w:rFonts w:ascii="Cambria Math" w:hAnsi="Cambria Math"/>
                                  </w:rPr>
                                  <m:t>ESP</m:t>
                                </m:r>
                              </m:sup>
                            </m:sSubSup>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i,s,t,y</m:t>
                                </m:r>
                              </m:sub>
                            </m:sSub>
                          </m:e>
                        </m:nary>
                      </m:e>
                    </m:nary>
                  </m:num>
                  <m:den>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k,y</m:t>
                        </m:r>
                      </m:sub>
                    </m:sSub>
                  </m:den>
                </m:f>
                <m:r>
                  <w:rPr>
                    <w:rFonts w:ascii="Cambria Math" w:hAnsi="Cambria Math"/>
                  </w:rPr>
                  <m:t xml:space="preserve">·100   </m:t>
                </m:r>
                <m:r>
                  <w:rPr>
                    <w:rFonts w:ascii="Cambria Math" w:eastAsia="Calibri" w:hAnsi="Cambria Math" w:cs="Calibri"/>
                  </w:rPr>
                  <m:t>∀ k</m:t>
                </m:r>
                <m:r>
                  <w:rPr>
                    <w:rFonts w:ascii="Cambria Math" w:hAnsi="Cambria Math" w:cstheme="minorHAnsi"/>
                  </w:rPr>
                  <m:t xml:space="preserve">≠cc </m:t>
                </m:r>
                <m:r>
                  <w:rPr>
                    <w:rFonts w:ascii="Cambria Math" w:hAnsi="Cambria Math"/>
                  </w:rPr>
                  <m:t>⋁ N</m:t>
                </m:r>
                <m:r>
                  <w:rPr>
                    <w:rFonts w:ascii="Cambria Math" w:hAnsi="Cambria Math" w:cstheme="minorHAnsi"/>
                  </w:rPr>
                  <m:t>,i</m:t>
                </m:r>
                <m:r>
                  <w:rPr>
                    <w:rFonts w:ascii="Cambria Math" w:eastAsia="Calibri" w:hAnsi="Cambria Math" w:cs="Calibri"/>
                  </w:rPr>
                  <m:t>∈I</m:t>
                </m:r>
                <m:r>
                  <w:rPr>
                    <w:rFonts w:ascii="Cambria Math" w:hAnsi="Cambria Math" w:cstheme="minorHAnsi"/>
                  </w:rPr>
                  <m:t xml:space="preserve">, </m:t>
                </m:r>
                <m:r>
                  <w:rPr>
                    <w:rFonts w:ascii="Cambria Math" w:eastAsia="Calibri" w:hAnsi="Cambria Math" w:cs="Calibri"/>
                  </w:rPr>
                  <m:t>y∈Y</m:t>
                </m:r>
              </m:oMath>
            </m:oMathPara>
          </w:p>
        </w:tc>
        <w:tc>
          <w:tcPr>
            <w:tcW w:w="846" w:type="dxa"/>
          </w:tcPr>
          <w:p w14:paraId="14D0F293" w14:textId="77777777" w:rsidR="00704A0C" w:rsidRPr="004C4B0C" w:rsidRDefault="00704A0C" w:rsidP="00E20C3B">
            <w:pPr>
              <w:spacing w:line="360" w:lineRule="auto"/>
              <w:rPr>
                <w:rFonts w:hAnsi="Calibri"/>
                <w:sz w:val="10"/>
                <w:szCs w:val="10"/>
              </w:rPr>
            </w:pPr>
          </w:p>
          <w:p w14:paraId="2EF69BF7" w14:textId="189DFFEF" w:rsidR="00704A0C" w:rsidRPr="004C4B0C" w:rsidRDefault="00704A0C" w:rsidP="00E20C3B">
            <w:pPr>
              <w:spacing w:line="360" w:lineRule="auto"/>
              <w:rPr>
                <w:rFonts w:hAnsi="Calibri"/>
                <w:sz w:val="12"/>
                <w:szCs w:val="12"/>
              </w:rPr>
            </w:pPr>
            <w:r w:rsidRPr="004C4B0C">
              <w:rPr>
                <w:rFonts w:hAnsi="Calibri"/>
              </w:rPr>
              <w:t>(</w:t>
            </w:r>
            <w:r w:rsidR="00017470" w:rsidRPr="004C4B0C">
              <w:rPr>
                <w:rFonts w:hAnsi="Calibri"/>
              </w:rPr>
              <w:t>20</w:t>
            </w:r>
            <w:r w:rsidRPr="004C4B0C">
              <w:rPr>
                <w:rFonts w:hAnsi="Calibri"/>
              </w:rPr>
              <w:t>)</w:t>
            </w:r>
          </w:p>
        </w:tc>
      </w:tr>
      <w:tr w:rsidR="00E84CD9" w:rsidRPr="00E84CD9" w14:paraId="032F9B50" w14:textId="77777777" w:rsidTr="00F556B6">
        <w:tc>
          <w:tcPr>
            <w:tcW w:w="8080" w:type="dxa"/>
          </w:tcPr>
          <w:p w14:paraId="7359E58B" w14:textId="40A7123F" w:rsidR="00704A0C" w:rsidRPr="007C53FF" w:rsidRDefault="00000000" w:rsidP="00704A0C">
            <w:pPr>
              <w:spacing w:line="360" w:lineRule="auto"/>
              <w:rPr>
                <w:rFonts w:ascii="Calibri" w:eastAsia="Yu Mincho" w:hAnsi="Calibri" w:cs="Times New Roman"/>
              </w:rPr>
            </w:pPr>
            <m:oMathPara>
              <m:oMathParaPr>
                <m:jc m:val="left"/>
              </m:oMathParaPr>
              <m:oMath>
                <m:sSubSup>
                  <m:sSubSupPr>
                    <m:ctrlPr>
                      <w:rPr>
                        <w:rFonts w:ascii="Cambria Math" w:hAnsi="Cambria Math"/>
                        <w:i/>
                      </w:rPr>
                    </m:ctrlPr>
                  </m:sSubSupPr>
                  <m:e>
                    <m:r>
                      <w:rPr>
                        <w:rFonts w:ascii="Cambria Math" w:hAnsi="Cambria Math"/>
                      </w:rPr>
                      <m:t>I</m:t>
                    </m:r>
                  </m:e>
                  <m:sub>
                    <m:r>
                      <w:rPr>
                        <w:rFonts w:ascii="Cambria Math" w:hAnsi="Cambria Math"/>
                      </w:rPr>
                      <m:t>i,k,y</m:t>
                    </m:r>
                  </m:sub>
                  <m:sup>
                    <m:r>
                      <w:rPr>
                        <w:rFonts w:ascii="Cambria Math" w:hAnsi="Cambria Math"/>
                      </w:rPr>
                      <m:t>ESP</m:t>
                    </m:r>
                  </m:sup>
                </m:sSubSup>
                <m:r>
                  <w:rPr>
                    <w:rFonts w:ascii="Cambria Math" w:eastAsia="Calibri" w:hAnsi="Cambria Math" w:cs="Calibri"/>
                  </w:rPr>
                  <m:t>=</m:t>
                </m:r>
                <m:f>
                  <m:fPr>
                    <m:ctrlPr>
                      <w:rPr>
                        <w:rFonts w:ascii="Cambria Math" w:eastAsia="Calibri" w:hAnsi="Cambria Math" w:cs="Calibri"/>
                        <w:i/>
                      </w:rPr>
                    </m:ctrlPr>
                  </m:fPr>
                  <m:num>
                    <m:nary>
                      <m:naryPr>
                        <m:chr m:val="∑"/>
                        <m:limLoc m:val="undOvr"/>
                        <m:ctrlPr>
                          <w:rPr>
                            <w:rFonts w:ascii="Cambria Math" w:eastAsia="Calibri" w:hAnsi="Cambria Math" w:cs="Calibri"/>
                            <w:i/>
                          </w:rPr>
                        </m:ctrlPr>
                      </m:naryPr>
                      <m:sub>
                        <m:r>
                          <w:rPr>
                            <w:rFonts w:ascii="Cambria Math" w:eastAsia="Calibri" w:hAnsi="Cambria Math" w:cs="Calibri"/>
                          </w:rPr>
                          <m:t>t=0</m:t>
                        </m:r>
                      </m:sub>
                      <m:sup>
                        <m:r>
                          <w:rPr>
                            <w:rFonts w:ascii="Cambria Math" w:eastAsia="Calibri" w:hAnsi="Cambria Math" w:cs="Calibri"/>
                          </w:rPr>
                          <m:t>t=TH</m:t>
                        </m:r>
                      </m:sup>
                      <m:e>
                        <m:nary>
                          <m:naryPr>
                            <m:chr m:val="∑"/>
                            <m:limLoc m:val="undOvr"/>
                            <m:supHide m:val="1"/>
                            <m:ctrlPr>
                              <w:rPr>
                                <w:rFonts w:ascii="Cambria Math" w:eastAsia="Calibri" w:hAnsi="Cambria Math" w:cs="Calibri"/>
                                <w:i/>
                              </w:rPr>
                            </m:ctrlPr>
                          </m:naryPr>
                          <m:sub>
                            <m:r>
                              <w:rPr>
                                <w:rFonts w:ascii="Cambria Math" w:eastAsia="Calibri" w:hAnsi="Cambria Math" w:cs="Calibri"/>
                              </w:rPr>
                              <m:t>s∈J</m:t>
                            </m:r>
                          </m:sub>
                          <m:sup/>
                          <m:e>
                            <m:r>
                              <w:rPr>
                                <w:rFonts w:ascii="Cambria Math" w:eastAsia="Calibri" w:hAnsi="Cambria Math" w:cs="Calibri"/>
                              </w:rPr>
                              <m:t>(</m:t>
                            </m:r>
                            <m:d>
                              <m:dPr>
                                <m:begChr m:val="|"/>
                                <m:endChr m:val="|"/>
                                <m:ctrlPr>
                                  <w:rPr>
                                    <w:rFonts w:ascii="Cambria Math" w:eastAsia="Calibri" w:hAnsi="Cambria Math" w:cs="Calibri"/>
                                    <w:i/>
                                  </w:rPr>
                                </m:ctrlPr>
                              </m:dPr>
                              <m:e>
                                <m:r>
                                  <w:rPr>
                                    <w:rFonts w:ascii="Cambria Math" w:eastAsia="Calibri" w:hAnsi="Cambria Math" w:cs="Calibri"/>
                                  </w:rPr>
                                  <m:t>CD</m:t>
                                </m:r>
                                <m:sSub>
                                  <m:sSubPr>
                                    <m:ctrlPr>
                                      <w:rPr>
                                        <w:rFonts w:ascii="Cambria Math" w:eastAsia="Calibri" w:hAnsi="Cambria Math" w:cs="Calibri"/>
                                        <w:i/>
                                      </w:rPr>
                                    </m:ctrlPr>
                                  </m:sSubPr>
                                  <m:e>
                                    <m:r>
                                      <w:rPr>
                                        <w:rFonts w:ascii="Cambria Math" w:eastAsia="Calibri" w:hAnsi="Cambria Math" w:cs="Calibri"/>
                                      </w:rPr>
                                      <m:t>R</m:t>
                                    </m:r>
                                  </m:e>
                                  <m:sub>
                                    <m:r>
                                      <w:rPr>
                                        <w:rFonts w:ascii="Cambria Math" w:eastAsia="Calibri" w:hAnsi="Cambria Math" w:cs="Calibri"/>
                                      </w:rPr>
                                      <m:t>i,s=C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,t,y</m:t>
                                    </m:r>
                                  </m:sub>
                                </m:sSub>
                              </m:e>
                            </m:d>
                            <m:r>
                              <w:rPr>
                                <w:rFonts w:ascii="Cambria Math" w:eastAsia="Calibri" w:hAnsi="Cambria Math" w:cs="Calibri"/>
                              </w:rPr>
                              <m:t>-GH</m:t>
                            </m:r>
                            <m:sSub>
                              <m:sSubPr>
                                <m:ctrlPr>
                                  <w:rPr>
                                    <w:rFonts w:ascii="Cambria Math" w:eastAsia="Calibri" w:hAnsi="Cambria Math" w:cs="Calibri"/>
                                    <w:i/>
                                  </w:rPr>
                                </m:ctrlPr>
                              </m:sSubPr>
                              <m:e>
                                <m:r>
                                  <w:rPr>
                                    <w:rFonts w:ascii="Cambria Math" w:eastAsia="Calibri" w:hAnsi="Cambria Math" w:cs="Calibri"/>
                                  </w:rPr>
                                  <m:t>G</m:t>
                                </m:r>
                              </m:e>
                              <m:sub>
                                <m:r>
                                  <w:rPr>
                                    <w:rFonts w:ascii="Cambria Math" w:eastAsia="Calibri" w:hAnsi="Cambria Math" w:cs="Calibri"/>
                                  </w:rPr>
                                  <m:t>i,s,t,y</m:t>
                                </m:r>
                              </m:sub>
                            </m:sSub>
                            <m:r>
                              <w:rPr>
                                <w:rFonts w:ascii="Cambria Math" w:eastAsia="Calibri" w:hAnsi="Cambria Math" w:cs="Calibri"/>
                              </w:rPr>
                              <m:t>)·GW</m:t>
                            </m:r>
                            <m:sSub>
                              <m:sSubPr>
                                <m:ctrlPr>
                                  <w:rPr>
                                    <w:rFonts w:ascii="Cambria Math" w:eastAsia="Calibri" w:hAnsi="Cambria Math" w:cs="Calibri"/>
                                    <w:i/>
                                  </w:rPr>
                                </m:ctrlPr>
                              </m:sSubPr>
                              <m:e>
                                <m:r>
                                  <w:rPr>
                                    <w:rFonts w:ascii="Cambria Math" w:eastAsia="Calibri" w:hAnsi="Cambria Math" w:cs="Calibri"/>
                                  </w:rPr>
                                  <m:t>P</m:t>
                                </m:r>
                              </m:e>
                              <m:sub>
                                <m:r>
                                  <w:rPr>
                                    <w:rFonts w:ascii="Cambria Math" w:eastAsia="Calibri" w:hAnsi="Cambria Math" w:cs="Calibri"/>
                                  </w:rPr>
                                  <m:t>s,t</m:t>
                                </m:r>
                              </m:sub>
                            </m:sSub>
                          </m:e>
                        </m:nary>
                      </m:e>
                    </m:nary>
                  </m:num>
                  <m:den>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k,y</m:t>
                        </m:r>
                      </m:sub>
                    </m:sSub>
                  </m:den>
                </m:f>
                <m:r>
                  <w:rPr>
                    <w:rFonts w:ascii="Cambria Math" w:eastAsia="Calibri" w:hAnsi="Cambria Math" w:cs="Calibri"/>
                  </w:rPr>
                  <m:t>·100   ∀ k=cc, i∈I, y∈Y</m:t>
                </m:r>
              </m:oMath>
            </m:oMathPara>
          </w:p>
        </w:tc>
        <w:tc>
          <w:tcPr>
            <w:tcW w:w="846" w:type="dxa"/>
          </w:tcPr>
          <w:p w14:paraId="5AC7F3DD" w14:textId="77777777" w:rsidR="00704A0C" w:rsidRPr="004C4B0C" w:rsidRDefault="00704A0C" w:rsidP="00E20C3B">
            <w:pPr>
              <w:spacing w:line="360" w:lineRule="auto"/>
              <w:rPr>
                <w:rFonts w:hAnsi="Calibri"/>
                <w:sz w:val="10"/>
                <w:szCs w:val="10"/>
              </w:rPr>
            </w:pPr>
          </w:p>
          <w:p w14:paraId="43E3548E" w14:textId="184171E0" w:rsidR="00704A0C" w:rsidRPr="004C4B0C" w:rsidRDefault="00704A0C" w:rsidP="00E20C3B">
            <w:pPr>
              <w:spacing w:line="360" w:lineRule="auto"/>
              <w:rPr>
                <w:sz w:val="10"/>
                <w:szCs w:val="10"/>
              </w:rPr>
            </w:pPr>
            <w:r w:rsidRPr="004C4B0C">
              <w:rPr>
                <w:rFonts w:hAnsi="Calibri"/>
              </w:rPr>
              <w:t>(</w:t>
            </w:r>
            <w:r w:rsidR="00017470" w:rsidRPr="004C4B0C">
              <w:rPr>
                <w:rFonts w:hAnsi="Calibri"/>
              </w:rPr>
              <w:t>21</w:t>
            </w:r>
            <w:r w:rsidRPr="004C4B0C">
              <w:rPr>
                <w:rFonts w:hAnsi="Calibri"/>
              </w:rPr>
              <w:t>)</w:t>
            </w:r>
          </w:p>
        </w:tc>
      </w:tr>
      <w:tr w:rsidR="00BA2AF0" w:rsidRPr="00BA2AF0" w14:paraId="068A1D2C" w14:textId="77777777" w:rsidTr="00F556B6">
        <w:tc>
          <w:tcPr>
            <w:tcW w:w="8080" w:type="dxa"/>
          </w:tcPr>
          <w:p w14:paraId="546609BA" w14:textId="19BBF1F9" w:rsidR="00704A0C" w:rsidRPr="00BA2AF0" w:rsidRDefault="00000000" w:rsidP="00704A0C">
            <w:pPr>
              <w:spacing w:line="360" w:lineRule="auto"/>
              <w:rPr>
                <w:rFonts w:ascii="Calibri" w:eastAsia="Yu Mincho" w:hAnsi="Calibri" w:cs="Times New Roman"/>
              </w:rPr>
            </w:pPr>
            <m:oMathPara>
              <m:oMath>
                <m:sSubSup>
                  <m:sSubSupPr>
                    <m:ctrlPr>
                      <w:rPr>
                        <w:rFonts w:ascii="Cambria Math" w:hAnsi="Cambria Math"/>
                        <w:i/>
                      </w:rPr>
                    </m:ctrlPr>
                  </m:sSubSupPr>
                  <m:e>
                    <m:r>
                      <w:rPr>
                        <w:rFonts w:ascii="Cambria Math" w:hAnsi="Cambria Math"/>
                      </w:rPr>
                      <m:t>I</m:t>
                    </m:r>
                  </m:e>
                  <m:sub>
                    <m:r>
                      <w:rPr>
                        <w:rFonts w:ascii="Cambria Math" w:hAnsi="Cambria Math"/>
                      </w:rPr>
                      <m:t>i,k,y</m:t>
                    </m:r>
                  </m:sub>
                  <m:sup>
                    <m:r>
                      <w:rPr>
                        <w:rFonts w:ascii="Cambria Math" w:hAnsi="Cambria Math"/>
                      </w:rPr>
                      <m:t>ESP</m:t>
                    </m:r>
                  </m:sup>
                </m:sSubSup>
                <m:r>
                  <w:rPr>
                    <w:rFonts w:ascii="Cambria Math" w:hAnsi="Cambria Math"/>
                  </w:rPr>
                  <m:t>=</m:t>
                </m:r>
                <m:f>
                  <m:fPr>
                    <m:ctrlPr>
                      <w:rPr>
                        <w:rFonts w:ascii="Cambria Math" w:hAnsi="Cambria Math"/>
                        <w:i/>
                      </w:rPr>
                    </m:ctrlPr>
                  </m:fPr>
                  <m:num>
                    <m:nary>
                      <m:naryPr>
                        <m:chr m:val="∑"/>
                        <m:limLoc m:val="undOvr"/>
                        <m:supHide m:val="1"/>
                        <m:ctrlPr>
                          <w:rPr>
                            <w:rFonts w:ascii="Cambria Math" w:hAnsi="Cambria Math"/>
                            <w:i/>
                          </w:rPr>
                        </m:ctrlPr>
                      </m:naryPr>
                      <m:sub>
                        <m:r>
                          <w:rPr>
                            <w:rFonts w:ascii="Cambria Math" w:hAnsi="Cambria Math"/>
                          </w:rPr>
                          <m:t>c⋲C</m:t>
                        </m:r>
                      </m:sub>
                      <m:sup/>
                      <m:e>
                        <m:nary>
                          <m:naryPr>
                            <m:chr m:val="∑"/>
                            <m:limLoc m:val="undOvr"/>
                            <m:supHide m:val="1"/>
                            <m:ctrlPr>
                              <w:rPr>
                                <w:rFonts w:ascii="Cambria Math" w:hAnsi="Cambria Math"/>
                                <w:i/>
                              </w:rPr>
                            </m:ctrlPr>
                          </m:naryPr>
                          <m:sub>
                            <m:r>
                              <w:rPr>
                                <w:rFonts w:ascii="Cambria Math" w:hAnsi="Cambria Math"/>
                              </w:rPr>
                              <m:t>a⋲F</m:t>
                            </m:r>
                          </m:sub>
                          <m:sup/>
                          <m:e>
                            <m:sSub>
                              <m:sSubPr>
                                <m:ctrlPr>
                                  <w:rPr>
                                    <w:rFonts w:ascii="Cambria Math" w:hAnsi="Cambria Math"/>
                                    <w:i/>
                                  </w:rPr>
                                </m:ctrlPr>
                              </m:sSubPr>
                              <m:e>
                                <m:r>
                                  <w:rPr>
                                    <w:rFonts w:ascii="Cambria Math" w:hAnsi="Cambria Math"/>
                                  </w:rPr>
                                  <m:t>A</m:t>
                                </m:r>
                              </m:e>
                              <m:sub>
                                <m:r>
                                  <w:rPr>
                                    <w:rFonts w:ascii="Cambria Math" w:hAnsi="Cambria Math"/>
                                  </w:rPr>
                                  <m:t>a,c,i,y</m:t>
                                </m:r>
                              </m:sub>
                            </m:sSub>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a</m:t>
                                </m:r>
                              </m:sub>
                              <m:sup>
                                <m:r>
                                  <w:rPr>
                                    <w:rFonts w:ascii="Cambria Math" w:hAnsi="Cambria Math"/>
                                  </w:rPr>
                                  <m:t>NF</m:t>
                                </m:r>
                              </m:sup>
                            </m:sSub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-9</m:t>
                                </m:r>
                              </m:sup>
                            </m:sSup>
                          </m:e>
                        </m:nary>
                      </m:e>
                    </m:nary>
                  </m:num>
                  <m:den>
                    <m:r>
                      <w:rPr>
                        <w:rFonts w:ascii="Cambria Math" w:hAnsi="Cambria Math"/>
                      </w:rPr>
                      <m:t>SO</m:t>
                    </m:r>
                    <m:sSub>
                      <m:sSubPr>
                        <m:ctrlPr>
                          <w:rPr>
                            <w:rFonts w:ascii="Cambria Math" w:hAnsi="Cambria Math"/>
                            <w:i/>
                          </w:rPr>
                        </m:ctrlPr>
                      </m:sSubPr>
                      <m:e>
                        <m:r>
                          <w:rPr>
                            <w:rFonts w:ascii="Cambria Math" w:hAnsi="Cambria Math"/>
                          </w:rPr>
                          <m:t>S</m:t>
                        </m:r>
                      </m:e>
                      <m:sub>
                        <m:r>
                          <w:rPr>
                            <w:rFonts w:ascii="Cambria Math" w:hAnsi="Cambria Math"/>
                          </w:rPr>
                          <m:t>k,y</m:t>
                        </m:r>
                      </m:sub>
                    </m:sSub>
                  </m:den>
                </m:f>
                <m:r>
                  <w:rPr>
                    <w:rFonts w:ascii="Cambria Math" w:hAnsi="Cambria Math"/>
                  </w:rPr>
                  <m:t xml:space="preserve">·100   </m:t>
                </m:r>
                <m:r>
                  <w:rPr>
                    <w:rFonts w:ascii="Cambria Math" w:eastAsia="Calibri" w:hAnsi="Cambria Math" w:cs="Calibri"/>
                  </w:rPr>
                  <m:t>∀  k</m:t>
                </m:r>
                <m:r>
                  <w:rPr>
                    <w:rFonts w:ascii="Cambria Math" w:hAnsi="Cambria Math" w:cstheme="minorHAnsi"/>
                  </w:rPr>
                  <m:t xml:space="preserve">=N, </m:t>
                </m:r>
                <m:r>
                  <w:rPr>
                    <w:rFonts w:ascii="Cambria Math" w:eastAsia="Calibri" w:hAnsi="Cambria Math" w:cs="Calibri"/>
                  </w:rPr>
                  <m:t>i∈I</m:t>
                </m:r>
                <m:r>
                  <w:rPr>
                    <w:rFonts w:ascii="Cambria Math" w:hAnsi="Cambria Math" w:cstheme="minorHAnsi"/>
                  </w:rPr>
                  <m:t xml:space="preserve">, </m:t>
                </m:r>
                <m:r>
                  <w:rPr>
                    <w:rFonts w:ascii="Cambria Math" w:eastAsia="Calibri" w:hAnsi="Cambria Math" w:cs="Calibri"/>
                  </w:rPr>
                  <m:t>y∈Y</m:t>
                </m:r>
              </m:oMath>
            </m:oMathPara>
          </w:p>
        </w:tc>
        <w:tc>
          <w:tcPr>
            <w:tcW w:w="846" w:type="dxa"/>
          </w:tcPr>
          <w:p w14:paraId="69901137" w14:textId="77777777" w:rsidR="00704A0C" w:rsidRPr="004C4B0C" w:rsidRDefault="00704A0C" w:rsidP="00E20C3B">
            <w:pPr>
              <w:spacing w:line="360" w:lineRule="auto"/>
              <w:rPr>
                <w:sz w:val="10"/>
                <w:szCs w:val="10"/>
              </w:rPr>
            </w:pPr>
          </w:p>
          <w:p w14:paraId="56F16A5C" w14:textId="3ACD88FE" w:rsidR="00704A0C" w:rsidRPr="004C4B0C" w:rsidRDefault="00704A0C" w:rsidP="00E20C3B">
            <w:pPr>
              <w:spacing w:line="360" w:lineRule="auto"/>
              <w:rPr>
                <w:rFonts w:hAnsi="Calibri"/>
                <w:sz w:val="10"/>
                <w:szCs w:val="10"/>
              </w:rPr>
            </w:pPr>
            <w:r w:rsidRPr="004C4B0C">
              <w:t>(</w:t>
            </w:r>
            <w:r w:rsidR="008F0968" w:rsidRPr="004C4B0C">
              <w:t>22</w:t>
            </w:r>
            <w:r w:rsidRPr="004C4B0C">
              <w:t>)</w:t>
            </w:r>
          </w:p>
        </w:tc>
      </w:tr>
    </w:tbl>
    <w:p w14:paraId="00BF3DC4" w14:textId="56DB98B2" w:rsidR="008D4019" w:rsidRPr="003C48CE" w:rsidRDefault="008D4019" w:rsidP="008D4019">
      <w:pPr>
        <w:spacing w:before="240" w:after="0" w:line="360" w:lineRule="auto"/>
        <w:jc w:val="both"/>
        <w:rPr>
          <w:rFonts w:cstheme="minorHAnsi"/>
        </w:rPr>
      </w:pPr>
      <w:r w:rsidRPr="00C9269C">
        <w:rPr>
          <w:rFonts w:cstheme="minorHAnsi"/>
          <w:color w:val="000000"/>
        </w:rPr>
        <w:lastRenderedPageBreak/>
        <w:t xml:space="preserve">We </w:t>
      </w:r>
      <w:r w:rsidRPr="00976618">
        <w:rPr>
          <w:rFonts w:cstheme="minorHAnsi"/>
          <w:color w:val="000000"/>
        </w:rPr>
        <w:t xml:space="preserve">defined a </w:t>
      </w:r>
      <w:r w:rsidRPr="00B4717A">
        <w:rPr>
          <w:rFonts w:cstheme="minorHAnsi"/>
        </w:rPr>
        <w:t xml:space="preserve">new characterization factor </w:t>
      </w:r>
      <w:r w:rsidRPr="00C84301">
        <w:rPr>
          <w:rFonts w:cstheme="minorHAnsi"/>
          <w:color w:val="000000"/>
        </w:rPr>
        <w:t>(</w:t>
      </w:r>
      <w:r w:rsidRPr="00C84301">
        <w:rPr>
          <w:rFonts w:cstheme="minorHAnsi"/>
        </w:rPr>
        <w:t xml:space="preserve">Equation </w:t>
      </w:r>
      <w:r w:rsidR="00914590" w:rsidRPr="00C84301">
        <w:rPr>
          <w:rFonts w:cstheme="minorHAnsi"/>
        </w:rPr>
        <w:t>(23)</w:t>
      </w:r>
      <w:r w:rsidRPr="00C84301">
        <w:rPr>
          <w:rFonts w:cstheme="minorHAnsi"/>
        </w:rPr>
        <w:t>)</w:t>
      </w:r>
      <w:r w:rsidRPr="00BA2AF0">
        <w:rPr>
          <w:rFonts w:cstheme="minorHAnsi"/>
        </w:rPr>
        <w:t xml:space="preserve"> </w:t>
      </w:r>
      <w:r w:rsidRPr="00E84CD9">
        <w:rPr>
          <w:rFonts w:cstheme="minorHAnsi"/>
        </w:rPr>
        <w:t xml:space="preserve">to </w:t>
      </w:r>
      <w:r w:rsidRPr="00976618">
        <w:rPr>
          <w:rFonts w:cstheme="minorHAnsi"/>
          <w:color w:val="000000"/>
        </w:rPr>
        <w:t xml:space="preserve">quantify the impacts on the functional component of terrestrial biosphere integrity </w:t>
      </w:r>
      <w:r w:rsidRPr="00976618">
        <w:rPr>
          <w:rFonts w:cstheme="minorHAnsi"/>
        </w:rPr>
        <w:t>(</w:t>
      </w:r>
      <m:oMath>
        <m:r>
          <w:rPr>
            <w:rFonts w:ascii="Cambria Math" w:hAnsi="Cambria Math" w:cstheme="minorHAnsi"/>
          </w:rPr>
          <m:t>bi</m:t>
        </m:r>
      </m:oMath>
      <w:r w:rsidRPr="008A468F">
        <w:rPr>
          <w:rFonts w:cstheme="minorHAnsi"/>
        </w:rPr>
        <w:t>)</w:t>
      </w:r>
      <w:r w:rsidRPr="008A468F">
        <w:rPr>
          <w:rFonts w:cstheme="minorHAnsi"/>
          <w:color w:val="000000"/>
        </w:rPr>
        <w:t xml:space="preserve"> in terms of the control variable recently proposed for this planetary boundary</w:t>
      </w:r>
      <w:r w:rsidRPr="008A468F">
        <w:fldChar w:fldCharType="begin" w:fldLock="1"/>
      </w:r>
      <w:r w:rsidR="00FA7E4F">
        <w:instrText xml:space="preserve"> ADDIN ZOTERO_ITEM CSL_CITATION {"citationID":"YRuovVLY","properties":{"formattedCitation":"\\super 6\\nosupersub{}","plainCitation":"6","noteIndex":0},"citationItems":[{"id":2832,"uris":["http://www.mendeley.com/documents/?uuid=41f81616-724b-41d4-bef1-6a1ee4c320e3","http://zotero.org/users/14213812/items/8YMS5NLP"],"itemData":{"id":2832,"type":"article-journal","abstract":"This planetary boundaries framework update finds that six of the nine boundaries are transgressed, suggesting that Earth is now well outside of the safe operating space for humanity. Ocean acidification is close to being breached, while aerosol loading regionally exceeds the boundary. Stratospheric ozone levels have slightly recovered. The transgression level has increased for all boundaries earlier identified as overstepped. As primary production drives Earth system biosphere functions, human appropriation of net primary production is proposed as a control variable for functional biosphere integrity. This boundary is also transgressed. Earth system modeling of different levels of the transgression of the climate and land system change boundaries illustrates that these anthropogenic impacts on Earth system must be considered in a systemic context.","container-title":"Science Advances","DOI":"10.1126/sciadv.adh2458","ISSN":"23752548","note":"PMID: 37703365","page":"eadh2458","title":"Earth beyond six of nine planetary boundaries","volume":"9","author":[{"family":"Richardson","given":"Katherine"},{"family":"Steffen","given":"Will"},{"family":"Lucht","given":"Wolfgang"},{"family":"Bendtsen","given":"Jørgen"},{"family":"Cornell","given":"Sarah E."},{"family":"Donges","given":"Jonathan F."},{"family":"Drüke","given":"Markus"},{"family":"Fetzer","given":"Ingo"},{"family":"Bala","given":"Govindasamy"},{"family":"Bloh","given":"Werner","non-dropping-particle":"von"},{"family":"Feulner","given":"Georg"},{"family":"Fiedler","given":"Stephanie"},{"family":"Gerten","given":"Dieter"},{"family":"Gleeson","given":"Tom"},{"family":"Hofmann","given":"Matthias"},{"family":"Huiskamp","given":"Willem"},{"family":"Kummu","given":"Matti"},{"family":"Mohan","given":"Chinchu"},{"family":"Nogués-Bravo","given":"David"},{"family":"Petri","given":"Stefan"},{"family":"Porkka","given":"Miina"},{"family":"Rahmstorf","given":"Stefan"},{"family":"Schaphoff","given":"Sibyll"},{"family":"Thonicke","given":"Kirsten"},{"family":"Tobian","given":"Arne"},{"family":"Virkki","given":"Vili"},{"family":"Wang-Erlandsson","given":"Lan"},{"family":"Weber","given":"Lisa"},{"family":"Rockström","given":"Johan"}],"issued":{"date-parts":[["2023"]]}}}],"schema":"https://github.com/citation-style-language/schema/raw/master/csl-citation.json"} </w:instrText>
      </w:r>
      <w:r w:rsidRPr="008A468F">
        <w:fldChar w:fldCharType="separate"/>
      </w:r>
      <w:r w:rsidR="00FA7E4F" w:rsidRPr="00FA7E4F">
        <w:rPr>
          <w:rFonts w:ascii="Calibri" w:hAnsi="Calibri" w:cs="Calibri"/>
          <w:vertAlign w:val="superscript"/>
        </w:rPr>
        <w:t>6</w:t>
      </w:r>
      <w:r w:rsidRPr="008A468F">
        <w:fldChar w:fldCharType="end"/>
      </w:r>
      <w:r w:rsidRPr="008A468F">
        <w:rPr>
          <w:rFonts w:cstheme="minorHAnsi"/>
          <w:color w:val="000000"/>
        </w:rPr>
        <w:t>–the human appropriation of the biosphere’s Net Primary</w:t>
      </w:r>
      <w:r w:rsidRPr="00976618">
        <w:rPr>
          <w:rFonts w:cstheme="minorHAnsi"/>
          <w:color w:val="000000"/>
        </w:rPr>
        <w:t xml:space="preserve"> Productivity (NPP</w:t>
      </w:r>
      <w:r w:rsidRPr="000C1193">
        <w:rPr>
          <w:rFonts w:cstheme="minorHAnsi"/>
          <w:color w:val="000000"/>
        </w:rPr>
        <w:t>), expressed as a percentage of the Holocene NPP (</w:t>
      </w:r>
      <m:oMath>
        <m:r>
          <w:rPr>
            <w:rFonts w:ascii="Cambria Math" w:hAnsi="Cambria Math" w:cstheme="minorHAnsi"/>
            <w:color w:val="000000"/>
          </w:rPr>
          <m:t>HolNPP</m:t>
        </m:r>
      </m:oMath>
      <w:r w:rsidRPr="00976618">
        <w:rPr>
          <w:rFonts w:cstheme="minorHAnsi"/>
          <w:color w:val="000000"/>
        </w:rPr>
        <w:t xml:space="preserve">, in </w:t>
      </w:r>
      <w:r w:rsidRPr="00976618">
        <w:fldChar w:fldCharType="begin" w:fldLock="1"/>
      </w:r>
      <w:r w:rsidR="00FA7E4F">
        <w:instrText xml:space="preserve"> ADDIN ZOTERO_ITEM CSL_CITATION {"citationID":"um5Vy7Zx","properties":{"formattedCitation":"\\super 6\\nosupersub{}","plainCitation":"6","noteIndex":0},"citationItems":[{"id":2832,"uris":["http://www.mendeley.com/documents/?uuid=41f81616-724b-41d4-bef1-6a1ee4c320e3","http://zotero.org/users/14213812/items/8YMS5NLP"],"itemData":{"id":2832,"type":"article-journal","abstract":"This planetary boundaries framework update finds that six of the nine boundaries are transgressed, suggesting that Earth is now well outside of the safe operating space for humanity. Ocean acidification is close to being breached, while aerosol loading regionally exceeds the boundary. Stratospheric ozone levels have slightly recovered. The transgression level has increased for all boundaries earlier identified as overstepped. As primary production drives Earth system biosphere functions, human appropriation of net primary production is proposed as a control variable for functional biosphere integrity. This boundary is also transgressed. Earth system modeling of different levels of the transgression of the climate and land system change boundaries illustrates that these anthropogenic impacts on Earth system must be considered in a systemic context.","container-title":"Science Advances","DOI":"10.1126/sciadv.adh2458","ISSN":"23752548","note":"PMID: 37703365","page":"eadh2458","title":"Earth beyond six of nine planetary boundaries","volume":"9","author":[{"family":"Richardson","given":"Katherine"},{"family":"Steffen","given":"Will"},{"family":"Lucht","given":"Wolfgang"},{"family":"Bendtsen","given":"Jørgen"},{"family":"Cornell","given":"Sarah E."},{"family":"Donges","given":"Jonathan F."},{"family":"Drüke","given":"Markus"},{"family":"Fetzer","given":"Ingo"},{"family":"Bala","given":"Govindasamy"},{"family":"Bloh","given":"Werner","non-dropping-particle":"von"},{"family":"Feulner","given":"Georg"},{"family":"Fiedler","given":"Stephanie"},{"family":"Gerten","given":"Dieter"},{"family":"Gleeson","given":"Tom"},{"family":"Hofmann","given":"Matthias"},{"family":"Huiskamp","given":"Willem"},{"family":"Kummu","given":"Matti"},{"family":"Mohan","given":"Chinchu"},{"family":"Nogués-Bravo","given":"David"},{"family":"Petri","given":"Stefan"},{"family":"Porkka","given":"Miina"},{"family":"Rahmstorf","given":"Stefan"},{"family":"Schaphoff","given":"Sibyll"},{"family":"Thonicke","given":"Kirsten"},{"family":"Tobian","given":"Arne"},{"family":"Virkki","given":"Vili"},{"family":"Wang-Erlandsson","given":"Lan"},{"family":"Weber","given":"Lisa"},{"family":"Rockström","given":"Johan"}],"issued":{"date-parts":[["2023"]]}}}],"schema":"https://github.com/citation-style-language/schema/raw/master/csl-citation.json"} </w:instrText>
      </w:r>
      <w:r w:rsidRPr="00976618">
        <w:fldChar w:fldCharType="separate"/>
      </w:r>
      <w:r w:rsidR="00FA7E4F" w:rsidRPr="00FA7E4F">
        <w:rPr>
          <w:rFonts w:ascii="Calibri" w:hAnsi="Calibri" w:cs="Calibri"/>
          <w:vertAlign w:val="superscript"/>
        </w:rPr>
        <w:t>6</w:t>
      </w:r>
      <w:r w:rsidRPr="00976618">
        <w:fldChar w:fldCharType="end"/>
      </w:r>
      <w:r w:rsidRPr="00976618">
        <w:rPr>
          <w:rFonts w:cstheme="minorHAnsi"/>
          <w:color w:val="000000"/>
        </w:rPr>
        <w:t>). The characterization factors applied to the carbon taken up by the biomass</w:t>
      </w:r>
      <w:r w:rsidR="00A9154E">
        <w:rPr>
          <w:rFonts w:cstheme="minorHAnsi"/>
          <w:color w:val="000000"/>
        </w:rPr>
        <w:t xml:space="preserve"> (</w:t>
      </w:r>
      <m:oMath>
        <m:r>
          <w:rPr>
            <w:rFonts w:ascii="Cambria Math" w:eastAsia="Calibri" w:hAnsi="Cambria Math" w:cs="Calibri"/>
          </w:rPr>
          <m:t>bioC</m:t>
        </m:r>
      </m:oMath>
      <w:r w:rsidR="00A9154E" w:rsidRPr="00A9154E">
        <w:rPr>
          <w:rFonts w:cstheme="minorHAnsi"/>
        </w:rPr>
        <w:t>)</w:t>
      </w:r>
      <w:r w:rsidRPr="00976618">
        <w:rPr>
          <w:rFonts w:cstheme="minorHAnsi"/>
          <w:color w:val="000000"/>
        </w:rPr>
        <w:t xml:space="preserve"> that is eventually harvested or eliminated (including all the biogenic carbon elementary flows considered in the background activities of our inventories) have a positive value, meaning that they generate impact. By contrast, we applied a negative characterization factor to the net biogenic carbon that remains within forests during the considered</w:t>
      </w:r>
      <w:r w:rsidR="000D37BC">
        <w:rPr>
          <w:rFonts w:cstheme="minorHAnsi"/>
          <w:color w:val="000000"/>
        </w:rPr>
        <w:t xml:space="preserve"> </w:t>
      </w:r>
      <w:r w:rsidR="00F517C7">
        <w:rPr>
          <w:rFonts w:cstheme="minorHAnsi"/>
        </w:rPr>
        <w:t>2</w:t>
      </w:r>
      <w:r w:rsidR="00F517C7" w:rsidRPr="00F517C7">
        <w:rPr>
          <w:rFonts w:cstheme="minorHAnsi"/>
        </w:rPr>
        <w:t>0-year time horizon</w:t>
      </w:r>
      <w:r w:rsidRPr="00F517C7">
        <w:rPr>
          <w:rFonts w:cstheme="minorHAnsi"/>
        </w:rPr>
        <w:t xml:space="preserve">, </w:t>
      </w:r>
      <w:r w:rsidRPr="00976618">
        <w:rPr>
          <w:rFonts w:cstheme="minorHAnsi"/>
          <w:color w:val="000000"/>
        </w:rPr>
        <w:t>which implies that the additional biomass contributes to combatting the pressure on the biosphere integrity pla</w:t>
      </w:r>
      <w:r w:rsidRPr="003C48CE">
        <w:rPr>
          <w:rFonts w:cstheme="minorHAnsi"/>
        </w:rPr>
        <w:t xml:space="preserve">netary boundary. </w:t>
      </w:r>
    </w:p>
    <w:tbl>
      <w:tblPr>
        <w:tblStyle w:val="Tablaconcuadrcula"/>
        <w:tblW w:w="85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96"/>
        <w:gridCol w:w="573"/>
      </w:tblGrid>
      <w:tr w:rsidR="003C48CE" w:rsidRPr="003C48CE" w14:paraId="04B5BB4E" w14:textId="77777777" w:rsidTr="007A6892">
        <w:tc>
          <w:tcPr>
            <w:tcW w:w="8324" w:type="dxa"/>
          </w:tcPr>
          <w:p w14:paraId="43B13336" w14:textId="0529D743" w:rsidR="008D4019" w:rsidRPr="00C84301" w:rsidRDefault="008D4019" w:rsidP="007A6892">
            <w:pPr>
              <w:spacing w:line="360" w:lineRule="auto"/>
              <w:rPr>
                <w:rFonts w:hAnsi="Calibri"/>
              </w:rPr>
            </w:pPr>
            <m:oMathPara>
              <m:oMathParaPr>
                <m:jc m:val="center"/>
              </m:oMathParaPr>
              <m:oMath>
                <m:r>
                  <w:rPr>
                    <w:rFonts w:ascii="Cambria Math" w:hAnsi="Cambria Math"/>
                  </w:rPr>
                  <m:t>⃓C</m:t>
                </m:r>
                <m:sSubSup>
                  <m:sSubSupPr>
                    <m:ctrlPr>
                      <w:rPr>
                        <w:rFonts w:ascii="Cambria Math" w:hAnsi="Cambria Math"/>
                        <w:i/>
                      </w:rPr>
                    </m:ctrlPr>
                  </m:sSubSupPr>
                  <m:e>
                    <m:r>
                      <w:rPr>
                        <w:rFonts w:ascii="Cambria Math" w:hAnsi="Cambria Math"/>
                      </w:rPr>
                      <m:t>F</m:t>
                    </m:r>
                  </m:e>
                  <m:sub>
                    <m:r>
                      <w:rPr>
                        <w:rFonts w:ascii="Cambria Math" w:hAnsi="Cambria Math"/>
                      </w:rPr>
                      <m:t>k,s,t</m:t>
                    </m:r>
                  </m:sub>
                  <m:sup>
                    <m:r>
                      <w:rPr>
                        <w:rFonts w:ascii="Cambria Math" w:hAnsi="Cambria Math"/>
                      </w:rPr>
                      <m:t>ESP</m:t>
                    </m:r>
                  </m:sup>
                </m:sSub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HolNPP</m:t>
                    </m:r>
                  </m:den>
                </m:f>
                <m:r>
                  <w:rPr>
                    <w:rFonts w:ascii="Cambria Math" w:hAnsi="Cambria Math"/>
                  </w:rPr>
                  <m:t xml:space="preserve">·100   </m:t>
                </m:r>
                <m:r>
                  <w:rPr>
                    <w:rFonts w:ascii="Cambria Math" w:eastAsia="Calibri" w:hAnsi="Cambria Math" w:cs="Calibri"/>
                  </w:rPr>
                  <m:t>∀ k=bi, s=bioC, t∈T</m:t>
                </m:r>
              </m:oMath>
            </m:oMathPara>
          </w:p>
        </w:tc>
        <w:tc>
          <w:tcPr>
            <w:tcW w:w="245" w:type="dxa"/>
          </w:tcPr>
          <w:p w14:paraId="00068281" w14:textId="77777777" w:rsidR="008D4019" w:rsidRPr="00C84301" w:rsidRDefault="008D4019" w:rsidP="007A6892">
            <w:pPr>
              <w:spacing w:line="360" w:lineRule="auto"/>
              <w:rPr>
                <w:rFonts w:hAnsi="Calibri"/>
                <w:sz w:val="10"/>
                <w:szCs w:val="10"/>
              </w:rPr>
            </w:pPr>
          </w:p>
          <w:p w14:paraId="14C92C50" w14:textId="464D6835" w:rsidR="008D4019" w:rsidRPr="00C84301" w:rsidRDefault="008D4019" w:rsidP="007A6892">
            <w:pPr>
              <w:spacing w:line="360" w:lineRule="auto"/>
              <w:rPr>
                <w:rFonts w:hAnsi="Calibri"/>
              </w:rPr>
            </w:pPr>
            <w:r w:rsidRPr="00C84301">
              <w:rPr>
                <w:rFonts w:hAnsi="Calibri"/>
              </w:rPr>
              <w:t>(</w:t>
            </w:r>
            <w:r w:rsidR="00BA2AF0" w:rsidRPr="00C84301">
              <w:rPr>
                <w:rFonts w:hAnsi="Calibri"/>
              </w:rPr>
              <w:t>2</w:t>
            </w:r>
            <w:r w:rsidR="00914590" w:rsidRPr="00C84301">
              <w:rPr>
                <w:rFonts w:hAnsi="Calibri"/>
              </w:rPr>
              <w:t>3</w:t>
            </w:r>
            <w:r w:rsidRPr="00C84301">
              <w:rPr>
                <w:rFonts w:hAnsi="Calibri"/>
              </w:rPr>
              <w:t>)</w:t>
            </w:r>
          </w:p>
        </w:tc>
      </w:tr>
    </w:tbl>
    <w:p w14:paraId="7B8C1E40" w14:textId="6BF35EA9" w:rsidR="004522DC" w:rsidRDefault="008D4019" w:rsidP="00B20606">
      <w:pPr>
        <w:spacing w:before="240" w:line="360" w:lineRule="auto"/>
        <w:jc w:val="both"/>
      </w:pPr>
      <w:r>
        <w:t>We took t</w:t>
      </w:r>
      <w:r w:rsidRPr="00577B87">
        <w:t>he characterization factors quantify</w:t>
      </w:r>
      <w:r>
        <w:t>ing</w:t>
      </w:r>
      <w:r w:rsidRPr="00577B87">
        <w:t xml:space="preserve"> the impacts on the other Earth-system processes from </w:t>
      </w:r>
      <w:r w:rsidRPr="005F6493">
        <w:t>Ryberg et al.</w:t>
      </w:r>
      <w:r w:rsidRPr="005F6493">
        <w:fldChar w:fldCharType="begin" w:fldLock="1"/>
      </w:r>
      <w:r w:rsidR="00FA7E4F">
        <w:instrText xml:space="preserve"> ADDIN ZOTERO_ITEM CSL_CITATION {"citationID":"PstgNEvS","properties":{"formattedCitation":"\\super 14\\nosupersub{}","plainCitation":"14","noteIndex":0},"citationItems":[{"id":1671,"uris":["http://www.mendeley.com/documents/?uuid=0763cd91-1d1c-4587-80d3-492f23013447","http://zotero.org/users/14213812/items/C6A2CST2"],"itemData":{"id":1671,"type":"article-journal","abstract":"To enable quantifying environmental performance of products and technologies in relation to Planetary Boundaries, there is a need for life-cycle impact assessment (LCIA) methods which allow for expressing indicators of environmental impact in metrics corresponding to those of the control variables in the Planetary Boundaries framework. In this study, we present such a methodology, referred to as PB-LCIA. Characterization factors for direct use in the LCIA phase of a life cycle assessment, or other life-cycle based assessment, were developed for a total of 85 elementary flows recognized as dominant contributors to transgressing specific Planetary Boundaries. Exception was made for “biosphere integrity” and “introduction of novel entities” where a Planetary Boundary is yet to be defined for the latter and characterization models are considered immature for the former. The PB-LCIA can be used to quantify the share of the “safe operating space” that human activities occupy, as was illustrated by calculating indicator scores for about 10,600 products, technologies and services exemplifying several sectors, including materials, energy, transport, and processing. The PB-LCIA can be used by companies interested in gauging their activities against the Planetary Boundaries to support decisions that help to reduce the risk of human activities moving the Earth System out of the Holocene state.","container-title":"Ecological Indicators","DOI":"10.1016/j.ecolind.2017.12.065","ISSN":"1470160X","issue":"May 2017","page":"250-262","title":"Development of a life-cycle impact assessment methodology linked to the Planetary Boundaries framework","volume":"88","author":[{"family":"Ryberg","given":"Morten W."},{"family":"Owsianiak","given":"Mikołaj"},{"family":"Richardson","given":"Katherine"},{"family":"Hauschild","given":"Michael Z."}],"issued":{"date-parts":[["2018"]]}}}],"schema":"https://github.com/citation-style-language/schema/raw/master/csl-citation.json"} </w:instrText>
      </w:r>
      <w:r w:rsidRPr="005F6493">
        <w:fldChar w:fldCharType="separate"/>
      </w:r>
      <w:r w:rsidR="00FA7E4F" w:rsidRPr="00FA7E4F">
        <w:rPr>
          <w:rFonts w:ascii="Calibri" w:hAnsi="Calibri" w:cs="Calibri"/>
          <w:vertAlign w:val="superscript"/>
        </w:rPr>
        <w:t>14</w:t>
      </w:r>
      <w:r w:rsidRPr="005F6493">
        <w:fldChar w:fldCharType="end"/>
      </w:r>
      <w:r w:rsidR="005918A9">
        <w:t xml:space="preserve">, which </w:t>
      </w:r>
      <w:r w:rsidR="00171CF6">
        <w:t>express</w:t>
      </w:r>
      <w:r w:rsidR="005918A9">
        <w:t xml:space="preserve"> impacts in terms of the </w:t>
      </w:r>
      <w:r w:rsidR="005918A9" w:rsidRPr="00424022">
        <w:t xml:space="preserve">control variables </w:t>
      </w:r>
      <w:r w:rsidR="00F22565" w:rsidRPr="00424022">
        <w:t xml:space="preserve">introduced in </w:t>
      </w:r>
      <w:r w:rsidR="009F3334" w:rsidRPr="00424022">
        <w:fldChar w:fldCharType="begin" w:fldLock="1"/>
      </w:r>
      <w:r w:rsidR="00FA7E4F">
        <w:instrText xml:space="preserve"> ADDIN ZOTERO_ITEM CSL_CITATION {"citationID":"vqF6GIT9","properties":{"formattedCitation":"\\super 5\\nosupersub{}","plainCitation":"5","noteIndex":0},"citationItems":[{"id":1673,"uris":["http://www.mendeley.com/documents/?uuid=f3abf16a-cd64-4dc3-ab00-9da499c9e73c","http://zotero.org/users/14213812/items/Q5IMCENF"],"itemData":{"id":1673,"type":"article-journal","abstract":"The planetary boundaries framework defines a safe operating space for humanity based on the intrinsic biophysical processes that regulate the stability of the Earth system. Here, we revise and update the planetary boundary framework, with a focus on the underpinning biophysical science, based on targeted input from expert research communities and on more general scientific advances over the past 5 years. Several of the boundaries now have a two-tier approach, reflecting the importance of cross-scale interactions and the regional-level heterogeneity of the processes that underpin the boundaries. Two core boundaries-climate change and biosphere integrity-have been identified, each of which has the potential on its own to drive the Earth system into a new state should they be substantially and persistently transgressed.","container-title":"Science","DOI":"10.1126/science.1259855","ISSN":"10959203","issue":"6223","note":"PMID: 25592418","page":"1259855","title":"Planetary boundaries: Guiding human development on a changing planet","volume":"347","author":[{"family":"Steffen","given":"Will"},{"family":"Richardson","given":"Katherine"},{"family":"Rockström","given":"Johan"},{"family":"Cornell","given":"Sarah E."},{"family":"Fetzer","given":"Ingo"},{"family":"Bennett","given":"Elena M."},{"family":"Biggs","given":"Reinette"},{"family":"Carpenter","given":"Stephen R."},{"family":"De Vries","given":"Wim"},{"family":"De Wit","given":"Cynthia A."},{"family":"Folke","given":"Carl"},{"family":"Gerten","given":"Dieter"},{"family":"Heinke","given":"Jens"},{"family":"Mace","given":"Georgina M."},{"family":"Persson","given":"Linn M."},{"family":"Ramanathan","given":"Veerabhadran"},{"family":"Reyers","given":"Belinda"},{"family":"Sörlin","given":"Sverker"}],"issued":{"date-parts":[["2015"]]}}}],"schema":"https://github.com/citation-style-language/schema/raw/master/csl-citation.json"} </w:instrText>
      </w:r>
      <w:r w:rsidR="009F3334" w:rsidRPr="00424022">
        <w:fldChar w:fldCharType="separate"/>
      </w:r>
      <w:r w:rsidR="00FA7E4F" w:rsidRPr="00FA7E4F">
        <w:rPr>
          <w:rFonts w:ascii="Calibri" w:hAnsi="Calibri" w:cs="Calibri"/>
          <w:vertAlign w:val="superscript"/>
        </w:rPr>
        <w:t>5</w:t>
      </w:r>
      <w:r w:rsidR="009F3334" w:rsidRPr="00424022">
        <w:fldChar w:fldCharType="end"/>
      </w:r>
      <w:r w:rsidR="00B478BF" w:rsidRPr="00424022">
        <w:t>–</w:t>
      </w:r>
      <w:r w:rsidR="00924657" w:rsidRPr="00424022">
        <w:t>although</w:t>
      </w:r>
      <w:r w:rsidR="008C5874" w:rsidRPr="00424022">
        <w:t xml:space="preserve"> </w:t>
      </w:r>
      <w:r w:rsidR="00BA05A7" w:rsidRPr="00424022">
        <w:t>the control variables</w:t>
      </w:r>
      <w:r w:rsidRPr="00424022">
        <w:t xml:space="preserve"> and SOS </w:t>
      </w:r>
      <w:r w:rsidR="00FD55B1" w:rsidRPr="00424022">
        <w:t>of</w:t>
      </w:r>
      <w:r w:rsidRPr="00424022">
        <w:t xml:space="preserve"> the freshwater use Earth-system process were recently updated</w:t>
      </w:r>
      <w:r w:rsidR="00C2217F" w:rsidRPr="00424022">
        <w:t xml:space="preserve"> </w:t>
      </w:r>
      <w:r w:rsidR="00C2217F" w:rsidRPr="00424022">
        <w:fldChar w:fldCharType="begin" w:fldLock="1"/>
      </w:r>
      <w:r w:rsidR="00FA7E4F">
        <w:instrText xml:space="preserve"> ADDIN ZOTERO_ITEM CSL_CITATION {"citationID":"LaaXXF4T","properties":{"formattedCitation":"\\super 6\\nosupersub{}","plainCitation":"6","noteIndex":0},"citationItems":[{"id":2832,"uris":["http://www.mendeley.com/documents/?uuid=41f81616-724b-41d4-bef1-6a1ee4c320e3","http://zotero.org/users/14213812/items/8YMS5NLP"],"itemData":{"id":2832,"type":"article-journal","abstract":"This planetary boundaries framework update finds that six of the nine boundaries are transgressed, suggesting that Earth is now well outside of the safe operating space for humanity. Ocean acidification is close to being breached, while aerosol loading regionally exceeds the boundary. Stratospheric ozone levels have slightly recovered. The transgression level has increased for all boundaries earlier identified as overstepped. As primary production drives Earth system biosphere functions, human appropriation of net primary production is proposed as a control variable for functional biosphere integrity. This boundary is also transgressed. Earth system modeling of different levels of the transgression of the climate and land system change boundaries illustrates that these anthropogenic impacts on Earth system must be considered in a systemic context.","container-title":"Science Advances","DOI":"10.1126/sciadv.adh2458","ISSN":"23752548","note":"PMID: 37703365","page":"eadh2458","title":"Earth beyond six of nine planetary boundaries","volume":"9","author":[{"family":"Richardson","given":"Katherine"},{"family":"Steffen","given":"Will"},{"family":"Lucht","given":"Wolfgang"},{"family":"Bendtsen","given":"Jørgen"},{"family":"Cornell","given":"Sarah E."},{"family":"Donges","given":"Jonathan F."},{"family":"Drüke","given":"Markus"},{"family":"Fetzer","given":"Ingo"},{"family":"Bala","given":"Govindasamy"},{"family":"Bloh","given":"Werner","non-dropping-particle":"von"},{"family":"Feulner","given":"Georg"},{"family":"Fiedler","given":"Stephanie"},{"family":"Gerten","given":"Dieter"},{"family":"Gleeson","given":"Tom"},{"family":"Hofmann","given":"Matthias"},{"family":"Huiskamp","given":"Willem"},{"family":"Kummu","given":"Matti"},{"family":"Mohan","given":"Chinchu"},{"family":"Nogués-Bravo","given":"David"},{"family":"Petri","given":"Stefan"},{"family":"Porkka","given":"Miina"},{"family":"Rahmstorf","given":"Stefan"},{"family":"Schaphoff","given":"Sibyll"},{"family":"Thonicke","given":"Kirsten"},{"family":"Tobian","given":"Arne"},{"family":"Virkki","given":"Vili"},{"family":"Wang-Erlandsson","given":"Lan"},{"family":"Weber","given":"Lisa"},{"family":"Rockström","given":"Johan"}],"issued":{"date-parts":[["2023"]]}}}],"schema":"https://github.com/citation-style-language/schema/raw/master/csl-citation.json"} </w:instrText>
      </w:r>
      <w:r w:rsidR="00C2217F" w:rsidRPr="00424022">
        <w:fldChar w:fldCharType="separate"/>
      </w:r>
      <w:r w:rsidR="00FA7E4F" w:rsidRPr="00FA7E4F">
        <w:rPr>
          <w:rFonts w:ascii="Calibri" w:hAnsi="Calibri" w:cs="Calibri"/>
          <w:vertAlign w:val="superscript"/>
        </w:rPr>
        <w:t>6</w:t>
      </w:r>
      <w:r w:rsidR="00C2217F" w:rsidRPr="00424022">
        <w:fldChar w:fldCharType="end"/>
      </w:r>
      <w:r w:rsidRPr="00424022">
        <w:t xml:space="preserve">. </w:t>
      </w:r>
    </w:p>
    <w:p w14:paraId="596736FA" w14:textId="77777777" w:rsidR="00295D1E" w:rsidRDefault="00295D1E" w:rsidP="00136964">
      <w:pPr>
        <w:pStyle w:val="Ttulo2"/>
        <w:tabs>
          <w:tab w:val="center" w:pos="4252"/>
        </w:tabs>
        <w:spacing w:after="240"/>
        <w:rPr>
          <w:rFonts w:asciiTheme="minorHAnsi" w:eastAsiaTheme="minorEastAsia" w:hAnsiTheme="minorHAnsi" w:cstheme="minorBidi"/>
          <w:b/>
          <w:bCs/>
          <w:color w:val="auto"/>
          <w:sz w:val="22"/>
          <w:szCs w:val="22"/>
        </w:rPr>
      </w:pPr>
    </w:p>
    <w:p w14:paraId="24D84830" w14:textId="77777777" w:rsidR="00295D1E" w:rsidRDefault="00295D1E" w:rsidP="00136964">
      <w:pPr>
        <w:pStyle w:val="Ttulo2"/>
        <w:tabs>
          <w:tab w:val="center" w:pos="4252"/>
        </w:tabs>
        <w:spacing w:after="240"/>
        <w:rPr>
          <w:rFonts w:asciiTheme="minorHAnsi" w:eastAsiaTheme="minorEastAsia" w:hAnsiTheme="minorHAnsi" w:cstheme="minorBidi"/>
          <w:b/>
          <w:bCs/>
          <w:color w:val="auto"/>
          <w:sz w:val="22"/>
          <w:szCs w:val="22"/>
        </w:rPr>
      </w:pPr>
    </w:p>
    <w:p w14:paraId="6A2ACE1D" w14:textId="67B4F999" w:rsidR="008D4019" w:rsidRPr="0077503A" w:rsidRDefault="007B7988" w:rsidP="00136964">
      <w:pPr>
        <w:pStyle w:val="Ttulo2"/>
        <w:tabs>
          <w:tab w:val="center" w:pos="4252"/>
        </w:tabs>
        <w:spacing w:after="240"/>
        <w:rPr>
          <w:rFonts w:asciiTheme="minorHAnsi" w:eastAsiaTheme="minorEastAsia" w:hAnsiTheme="minorHAnsi" w:cstheme="minorBidi"/>
          <w:b/>
          <w:bCs/>
          <w:color w:val="auto"/>
          <w:sz w:val="22"/>
          <w:szCs w:val="22"/>
        </w:rPr>
      </w:pPr>
      <w:bookmarkStart w:id="5" w:name="_Toc194330850"/>
      <w:r>
        <w:rPr>
          <w:rFonts w:asciiTheme="minorHAnsi" w:eastAsiaTheme="minorEastAsia" w:hAnsiTheme="minorHAnsi" w:cstheme="minorBidi"/>
          <w:b/>
          <w:bCs/>
          <w:color w:val="auto"/>
          <w:sz w:val="22"/>
          <w:szCs w:val="22"/>
        </w:rPr>
        <w:t>2</w:t>
      </w:r>
      <w:r w:rsidR="00EA3DF4" w:rsidRPr="0077503A">
        <w:rPr>
          <w:rFonts w:asciiTheme="minorHAnsi" w:eastAsiaTheme="minorEastAsia" w:hAnsiTheme="minorHAnsi" w:cstheme="minorBidi"/>
          <w:b/>
          <w:bCs/>
          <w:color w:val="auto"/>
          <w:sz w:val="22"/>
          <w:szCs w:val="22"/>
        </w:rPr>
        <w:t>.</w:t>
      </w:r>
      <w:r w:rsidR="00EA3DF4" w:rsidRPr="00AD7057">
        <w:rPr>
          <w:rFonts w:asciiTheme="minorHAnsi" w:eastAsiaTheme="minorEastAsia" w:hAnsiTheme="minorHAnsi" w:cstheme="minorBidi"/>
          <w:b/>
          <w:bCs/>
          <w:color w:val="auto"/>
          <w:sz w:val="22"/>
          <w:szCs w:val="22"/>
        </w:rPr>
        <w:t xml:space="preserve">4 </w:t>
      </w:r>
      <w:r w:rsidR="008D4019" w:rsidRPr="00AD7057">
        <w:rPr>
          <w:rFonts w:asciiTheme="minorHAnsi" w:eastAsiaTheme="minorEastAsia" w:hAnsiTheme="minorHAnsi" w:cstheme="minorBidi"/>
          <w:b/>
          <w:bCs/>
          <w:color w:val="auto"/>
          <w:sz w:val="22"/>
          <w:szCs w:val="22"/>
        </w:rPr>
        <w:t>Mineral resource extraction</w:t>
      </w:r>
      <w:bookmarkEnd w:id="5"/>
    </w:p>
    <w:p w14:paraId="2A8D0EF3" w14:textId="7A421A19" w:rsidR="00D213A6" w:rsidRDefault="008D4019" w:rsidP="008534EF">
      <w:pPr>
        <w:spacing w:after="0" w:line="360" w:lineRule="auto"/>
        <w:jc w:val="both"/>
      </w:pPr>
      <w:r w:rsidRPr="00BE1C82">
        <w:t xml:space="preserve">Equation </w:t>
      </w:r>
      <w:r w:rsidR="00BE1C82" w:rsidRPr="00BE1C82">
        <w:t>(24)</w:t>
      </w:r>
      <w:r w:rsidRPr="00BA2AF0">
        <w:t xml:space="preserve"> </w:t>
      </w:r>
      <w:r w:rsidRPr="00131AA0">
        <w:t xml:space="preserve">quantifies the annualized amount of mineral resource </w:t>
      </w:r>
      <w:r w:rsidRPr="00131AA0">
        <w:rPr>
          <w:i/>
          <w:iCs/>
        </w:rPr>
        <w:t>r</w:t>
      </w:r>
      <w:r w:rsidRPr="00131AA0">
        <w:t xml:space="preserve"> associated with the </w:t>
      </w:r>
      <w:r>
        <w:t xml:space="preserve">deployment of </w:t>
      </w:r>
      <w:r w:rsidRPr="00D47CDA">
        <w:t xml:space="preserve">NETP </w:t>
      </w:r>
      <w:proofErr w:type="spellStart"/>
      <w:r w:rsidRPr="00D47CDA">
        <w:rPr>
          <w:i/>
          <w:iCs/>
        </w:rPr>
        <w:t>i</w:t>
      </w:r>
      <w:proofErr w:type="spellEnd"/>
      <w:r w:rsidRPr="00D47CDA">
        <w:t xml:space="preserve"> in year </w:t>
      </w:r>
      <w:r w:rsidRPr="00D47CDA">
        <w:rPr>
          <w:i/>
          <w:iCs/>
        </w:rPr>
        <w:t>y</w:t>
      </w:r>
      <w:r>
        <w:t xml:space="preserve"> </w:t>
      </w:r>
      <w:r w:rsidRPr="00D47CDA">
        <w:t>(</w:t>
      </w:r>
      <m:oMath>
        <m:sSub>
          <m:sSubPr>
            <m:ctrlPr>
              <w:rPr>
                <w:rFonts w:ascii="Cambria Math" w:hAnsi="Cambria Math"/>
                <w:i/>
              </w:rPr>
            </m:ctrlPr>
          </m:sSubPr>
          <m:e>
            <m:r>
              <w:rPr>
                <w:rFonts w:ascii="Cambria Math" w:hAnsi="Cambria Math"/>
              </w:rPr>
              <m:t>M</m:t>
            </m:r>
          </m:e>
          <m:sub>
            <m:r>
              <w:rPr>
                <w:rFonts w:ascii="Cambria Math" w:hAnsi="Cambria Math"/>
              </w:rPr>
              <m:t>i,r,y</m:t>
            </m:r>
          </m:sub>
        </m:sSub>
      </m:oMath>
      <w:r w:rsidRPr="00A03D00">
        <w:t xml:space="preserve">). </w:t>
      </w:r>
      <m:oMath>
        <m:sSub>
          <m:sSubPr>
            <m:ctrlPr>
              <w:rPr>
                <w:rFonts w:ascii="Cambria Math" w:hAnsi="Cambria Math"/>
                <w:i/>
              </w:rPr>
            </m:ctrlPr>
          </m:sSubPr>
          <m:e>
            <m:r>
              <w:rPr>
                <w:rFonts w:ascii="Cambria Math" w:hAnsi="Cambria Math"/>
              </w:rPr>
              <m:t>Q</m:t>
            </m:r>
          </m:e>
          <m:sub>
            <m:r>
              <w:rPr>
                <w:rFonts w:ascii="Cambria Math" w:hAnsi="Cambria Math"/>
              </w:rPr>
              <m:t>i,s,t,y</m:t>
            </m:r>
          </m:sub>
        </m:sSub>
      </m:oMath>
      <w:r w:rsidRPr="00A03D00">
        <w:t xml:space="preserve"> </w:t>
      </w:r>
      <w:r w:rsidRPr="00D47CDA">
        <w:t>represents the amount of elementary flow</w:t>
      </w:r>
      <w:r w:rsidRPr="00D47CDA">
        <w:rPr>
          <w:i/>
          <w:iCs/>
        </w:rPr>
        <w:t xml:space="preserve"> </w:t>
      </w:r>
      <w:proofErr w:type="spellStart"/>
      <w:r w:rsidRPr="00D47CDA">
        <w:rPr>
          <w:i/>
          <w:iCs/>
        </w:rPr>
        <w:t>s</w:t>
      </w:r>
      <w:proofErr w:type="spellEnd"/>
      <w:r w:rsidRPr="00D47CDA">
        <w:rPr>
          <w:i/>
          <w:iCs/>
        </w:rPr>
        <w:t xml:space="preserve"> </w:t>
      </w:r>
      <w:r w:rsidR="00B41B6A" w:rsidRPr="00F75E3A">
        <w:t xml:space="preserve">happening </w:t>
      </w:r>
      <w:r w:rsidR="00B41B6A" w:rsidRPr="00AE72A7">
        <w:rPr>
          <w:i/>
          <w:iCs/>
        </w:rPr>
        <w:t>t</w:t>
      </w:r>
      <w:r w:rsidR="00B41B6A" w:rsidRPr="00F75E3A">
        <w:t xml:space="preserve"> years after</w:t>
      </w:r>
      <w:r w:rsidR="00B41B6A">
        <w:rPr>
          <w:i/>
          <w:iCs/>
        </w:rPr>
        <w:t xml:space="preserve"> </w:t>
      </w:r>
      <w:r w:rsidR="00CE5F60">
        <w:t>deployment of</w:t>
      </w:r>
      <w:r w:rsidRPr="00D47CDA">
        <w:t xml:space="preserve"> NETP</w:t>
      </w:r>
      <w:r w:rsidRPr="00D47CDA">
        <w:rPr>
          <w:i/>
          <w:iCs/>
        </w:rPr>
        <w:t xml:space="preserve"> </w:t>
      </w:r>
      <w:proofErr w:type="spellStart"/>
      <w:r w:rsidRPr="00D47CDA">
        <w:rPr>
          <w:i/>
          <w:iCs/>
        </w:rPr>
        <w:t>i</w:t>
      </w:r>
      <w:proofErr w:type="spellEnd"/>
      <w:r w:rsidRPr="00D47CDA">
        <w:t xml:space="preserve"> in year</w:t>
      </w:r>
      <w:r w:rsidRPr="00D47CDA">
        <w:rPr>
          <w:i/>
          <w:iCs/>
        </w:rPr>
        <w:t xml:space="preserve"> y</w:t>
      </w:r>
      <w:r w:rsidRPr="00D47CDA">
        <w:t xml:space="preserve">, and </w:t>
      </w:r>
      <m:oMath>
        <m:sSubSup>
          <m:sSubSupPr>
            <m:ctrlPr>
              <w:rPr>
                <w:rFonts w:ascii="Cambria Math" w:hAnsi="Cambria Math"/>
                <w:i/>
              </w:rPr>
            </m:ctrlPr>
          </m:sSubSupPr>
          <m:e>
            <m:r>
              <w:rPr>
                <w:rFonts w:ascii="Cambria Math" w:hAnsi="Cambria Math"/>
              </w:rPr>
              <m:t>x</m:t>
            </m:r>
          </m:e>
          <m:sub>
            <m:r>
              <w:rPr>
                <w:rFonts w:ascii="Cambria Math" w:hAnsi="Cambria Math"/>
              </w:rPr>
              <m:t>r,s</m:t>
            </m:r>
          </m:sub>
          <m:sup>
            <m:r>
              <w:rPr>
                <w:rFonts w:ascii="Cambria Math" w:hAnsi="Cambria Math"/>
              </w:rPr>
              <m:t>MR</m:t>
            </m:r>
          </m:sup>
        </m:sSubSup>
      </m:oMath>
      <w:r w:rsidRPr="00D47CDA">
        <w:t xml:space="preserve"> is the fraction of mineral resource </w:t>
      </w:r>
      <w:r w:rsidRPr="00D47CDA">
        <w:rPr>
          <w:i/>
          <w:iCs/>
        </w:rPr>
        <w:t>r</w:t>
      </w:r>
      <w:r w:rsidRPr="00D47CDA">
        <w:t xml:space="preserve"> in that elementary flow.</w:t>
      </w:r>
      <w:r w:rsidR="00D37BBB">
        <w:t xml:space="preserve"> We used the code in </w:t>
      </w:r>
      <w:r w:rsidR="00971A76">
        <w:fldChar w:fldCharType="begin"/>
      </w:r>
      <w:r w:rsidR="00E46582">
        <w:instrText xml:space="preserve"> ADDIN ZOTERO_ITEM CSL_CITATION {"citationID":"GGaPu22P","properties":{"formattedCitation":"\\super 15\\nosupersub{}","plainCitation":"15","noteIndex":0},"citationItems":[{"id":3348,"uris":["http://zotero.org/users/14213812/items/VKRJTCSU"],"itemData":{"id":3348,"type":"software","title":"Method to quantify metal extraction in life cycle models, showing supply risk levels for the EU.","URL":"https://zenodo.org/records/15173715","author":[{"family":"Cobo","given":"Selene"}]}}],"schema":"https://github.com/citation-style-language/schema/raw/master/csl-citation.json"} </w:instrText>
      </w:r>
      <w:r w:rsidR="00971A76">
        <w:fldChar w:fldCharType="separate"/>
      </w:r>
      <w:r w:rsidR="00971A76" w:rsidRPr="00971A76">
        <w:rPr>
          <w:rFonts w:ascii="Calibri" w:hAnsi="Calibri" w:cs="Calibri"/>
          <w:vertAlign w:val="superscript"/>
        </w:rPr>
        <w:t>15</w:t>
      </w:r>
      <w:r w:rsidR="00971A76">
        <w:fldChar w:fldCharType="end"/>
      </w:r>
      <w:r w:rsidR="00D37BBB">
        <w:t xml:space="preserve"> to estimate </w:t>
      </w:r>
      <m:oMath>
        <m:sSub>
          <m:sSubPr>
            <m:ctrlPr>
              <w:rPr>
                <w:rFonts w:ascii="Cambria Math" w:eastAsia="Yu Mincho" w:hAnsi="Cambria Math" w:cs="Times New Roman"/>
                <w:i/>
              </w:rPr>
            </m:ctrlPr>
          </m:sSubPr>
          <m:e>
            <m:r>
              <w:rPr>
                <w:rFonts w:ascii="Cambria Math" w:eastAsia="Yu Mincho" w:hAnsi="Cambria Math" w:cs="Times New Roman"/>
              </w:rPr>
              <m:t>M</m:t>
            </m:r>
          </m:e>
          <m:sub>
            <m:r>
              <w:rPr>
                <w:rFonts w:ascii="Cambria Math" w:eastAsia="Yu Mincho" w:hAnsi="Cambria Math" w:cs="Times New Roman"/>
              </w:rPr>
              <m:t>i,r,y</m:t>
            </m:r>
          </m:sub>
        </m:sSub>
      </m:oMath>
      <w:r w:rsidR="00B80A74">
        <w:t>.</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7"/>
        <w:gridCol w:w="761"/>
      </w:tblGrid>
      <w:tr w:rsidR="009A0579" w:rsidRPr="009A0579" w14:paraId="032DBDC8" w14:textId="77777777" w:rsidTr="001959E6">
        <w:tc>
          <w:tcPr>
            <w:tcW w:w="7797" w:type="dxa"/>
          </w:tcPr>
          <w:p w14:paraId="4D7F3810" w14:textId="617912C3" w:rsidR="00D213A6" w:rsidRPr="009A0579" w:rsidRDefault="00000000" w:rsidP="005D37FF">
            <w:pPr>
              <w:tabs>
                <w:tab w:val="left" w:pos="1880"/>
              </w:tabs>
              <w:spacing w:line="360" w:lineRule="auto"/>
              <w:jc w:val="center"/>
              <w:rPr>
                <w:rFonts w:ascii="Calibri" w:eastAsia="Yu Mincho" w:hAnsi="Calibri" w:cs="Times New Roman"/>
              </w:rPr>
            </w:pPr>
            <m:oMathPara>
              <m:oMath>
                <m:sSub>
                  <m:sSubPr>
                    <m:ctrlPr>
                      <w:rPr>
                        <w:rFonts w:ascii="Cambria Math" w:eastAsia="Yu Mincho" w:hAnsi="Cambria Math" w:cs="Times New Roman"/>
                        <w:i/>
                      </w:rPr>
                    </m:ctrlPr>
                  </m:sSubPr>
                  <m:e>
                    <m:r>
                      <w:rPr>
                        <w:rFonts w:ascii="Cambria Math" w:eastAsia="Yu Mincho" w:hAnsi="Cambria Math" w:cs="Times New Roman"/>
                      </w:rPr>
                      <m:t>M</m:t>
                    </m:r>
                  </m:e>
                  <m:sub>
                    <m:r>
                      <w:rPr>
                        <w:rFonts w:ascii="Cambria Math" w:eastAsia="Yu Mincho" w:hAnsi="Cambria Math" w:cs="Times New Roman"/>
                      </w:rPr>
                      <m:t>i,r,y</m:t>
                    </m:r>
                  </m:sub>
                </m:sSub>
                <m:r>
                  <w:rPr>
                    <w:rFonts w:ascii="Cambria Math" w:eastAsia="Yu Mincho" w:hAnsi="Cambria Math" w:cs="Times New Roman"/>
                  </w:rPr>
                  <m:t>=</m:t>
                </m:r>
                <m:nary>
                  <m:naryPr>
                    <m:chr m:val="∑"/>
                    <m:limLoc m:val="undOvr"/>
                    <m:supHide m:val="1"/>
                    <m:ctrlPr>
                      <w:rPr>
                        <w:rFonts w:ascii="Cambria Math" w:eastAsia="Yu Mincho" w:hAnsi="Cambria Math" w:cs="Times New Roman"/>
                        <w:i/>
                      </w:rPr>
                    </m:ctrlPr>
                  </m:naryPr>
                  <m:sub>
                    <m:r>
                      <w:rPr>
                        <w:rFonts w:ascii="Cambria Math" w:hAnsi="Cambria Math"/>
                      </w:rPr>
                      <m:t>s⋲S</m:t>
                    </m:r>
                  </m:sub>
                  <m:sup/>
                  <m:e>
                    <m:sSub>
                      <m:sSubPr>
                        <m:ctrlPr>
                          <w:rPr>
                            <w:rFonts w:ascii="Cambria Math" w:eastAsia="Yu Mincho" w:hAnsi="Cambria Math" w:cs="Times New Roman"/>
                            <w:i/>
                          </w:rPr>
                        </m:ctrlPr>
                      </m:sSubPr>
                      <m:e>
                        <m:r>
                          <w:rPr>
                            <w:rFonts w:ascii="Cambria Math" w:eastAsia="Yu Mincho" w:hAnsi="Cambria Math" w:cs="Times New Roman"/>
                          </w:rPr>
                          <m:t>Q</m:t>
                        </m:r>
                      </m:e>
                      <m:sub>
                        <m:r>
                          <w:rPr>
                            <w:rFonts w:ascii="Cambria Math" w:eastAsia="Yu Mincho" w:hAnsi="Cambria Math" w:cs="Times New Roman"/>
                          </w:rPr>
                          <m:t>i,s,t,y</m:t>
                        </m:r>
                      </m:sub>
                    </m:sSub>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x</m:t>
                        </m:r>
                      </m:e>
                      <m:sub>
                        <m:r>
                          <w:rPr>
                            <w:rFonts w:ascii="Cambria Math" w:eastAsia="Yu Mincho" w:hAnsi="Cambria Math" w:cs="Times New Roman"/>
                          </w:rPr>
                          <m:t>r,s</m:t>
                        </m:r>
                      </m:sub>
                      <m:sup>
                        <m:r>
                          <w:rPr>
                            <w:rFonts w:ascii="Cambria Math" w:eastAsia="Yu Mincho" w:hAnsi="Cambria Math" w:cs="Times New Roman"/>
                          </w:rPr>
                          <m:t>MR</m:t>
                        </m:r>
                      </m:sup>
                    </m:sSubSup>
                  </m:e>
                </m:nary>
                <m:r>
                  <w:rPr>
                    <w:rFonts w:ascii="Cambria Math" w:eastAsia="Yu Mincho" w:hAnsi="Cambria Math" w:cs="Times New Roman"/>
                  </w:rPr>
                  <m:t xml:space="preserve">  </m:t>
                </m:r>
                <m:r>
                  <w:rPr>
                    <w:rFonts w:ascii="Cambria Math" w:eastAsia="Calibri" w:hAnsi="Cambria Math" w:cs="Calibri"/>
                  </w:rPr>
                  <m:t>∀ t=0, i∈I, r∈</m:t>
                </m:r>
                <m:r>
                  <w:rPr>
                    <w:rFonts w:ascii="Cambria Math" w:hAnsi="Cambria Math" w:cstheme="minorHAnsi"/>
                  </w:rPr>
                  <m:t xml:space="preserve">R, </m:t>
                </m:r>
                <m:r>
                  <w:rPr>
                    <w:rFonts w:ascii="Cambria Math" w:eastAsia="Calibri" w:hAnsi="Cambria Math" w:cs="Calibri"/>
                  </w:rPr>
                  <m:t>y∈Y</m:t>
                </m:r>
              </m:oMath>
            </m:oMathPara>
          </w:p>
        </w:tc>
        <w:tc>
          <w:tcPr>
            <w:tcW w:w="761" w:type="dxa"/>
          </w:tcPr>
          <w:p w14:paraId="74646B3C" w14:textId="77777777" w:rsidR="00122F51" w:rsidRPr="009A0579" w:rsidRDefault="00122F51" w:rsidP="009A0579">
            <w:pPr>
              <w:spacing w:line="360" w:lineRule="auto"/>
              <w:jc w:val="center"/>
              <w:rPr>
                <w:sz w:val="2"/>
                <w:szCs w:val="2"/>
              </w:rPr>
            </w:pPr>
          </w:p>
          <w:p w14:paraId="3567C300" w14:textId="77777777" w:rsidR="009A0579" w:rsidRPr="009A0579" w:rsidRDefault="009A0579" w:rsidP="005D37FF">
            <w:pPr>
              <w:spacing w:line="360" w:lineRule="auto"/>
              <w:jc w:val="right"/>
              <w:rPr>
                <w:sz w:val="2"/>
                <w:szCs w:val="2"/>
              </w:rPr>
            </w:pPr>
          </w:p>
          <w:p w14:paraId="404A7315" w14:textId="59E83F76" w:rsidR="00D213A6" w:rsidRPr="009A0579" w:rsidRDefault="009A0579" w:rsidP="005D37FF">
            <w:pPr>
              <w:spacing w:line="360" w:lineRule="auto"/>
              <w:jc w:val="right"/>
            </w:pPr>
            <w:r w:rsidRPr="00BA2AF0">
              <w:t>(</w:t>
            </w:r>
            <w:r w:rsidR="00BE1C82">
              <w:t>24</w:t>
            </w:r>
            <w:r w:rsidR="00D213A6" w:rsidRPr="00BA2AF0">
              <w:t>)</w:t>
            </w:r>
          </w:p>
        </w:tc>
      </w:tr>
    </w:tbl>
    <w:p w14:paraId="1AB01AFB" w14:textId="01DD675D" w:rsidR="00255126" w:rsidRDefault="00817A39" w:rsidP="003F3554">
      <w:pPr>
        <w:spacing w:after="0" w:line="360" w:lineRule="auto"/>
        <w:jc w:val="both"/>
      </w:pPr>
      <w:r w:rsidRPr="00B43B3F">
        <w:t>The year of deployment (</w:t>
      </w:r>
      <m:oMath>
        <m:r>
          <w:rPr>
            <w:rFonts w:ascii="Cambria Math" w:eastAsia="Calibri" w:hAnsi="Cambria Math" w:cs="Calibri"/>
          </w:rPr>
          <m:t>t=0</m:t>
        </m:r>
      </m:oMath>
      <w:r>
        <w:t>)</w:t>
      </w:r>
      <w:r w:rsidR="00E8479D">
        <w:t xml:space="preserve">, </w:t>
      </w:r>
      <m:oMath>
        <m:sSub>
          <m:sSubPr>
            <m:ctrlPr>
              <w:rPr>
                <w:rFonts w:ascii="Cambria Math" w:hAnsi="Cambria Math"/>
                <w:i/>
              </w:rPr>
            </m:ctrlPr>
          </m:sSubPr>
          <m:e>
            <m:r>
              <w:rPr>
                <w:rFonts w:ascii="Cambria Math" w:hAnsi="Cambria Math"/>
              </w:rPr>
              <m:t>Q</m:t>
            </m:r>
          </m:e>
          <m:sub>
            <m:r>
              <w:rPr>
                <w:rFonts w:ascii="Cambria Math" w:hAnsi="Cambria Math"/>
              </w:rPr>
              <m:t>i,s,t,y</m:t>
            </m:r>
          </m:sub>
        </m:sSub>
      </m:oMath>
      <w:r w:rsidR="002009E5">
        <w:t xml:space="preserve">–comprising the elementary flows described in </w:t>
      </w:r>
      <w:r w:rsidR="009B05A5" w:rsidRPr="00014C32">
        <w:t>Equation</w:t>
      </w:r>
      <w:r w:rsidR="00014C32">
        <w:t xml:space="preserve"> (12)</w:t>
      </w:r>
      <w:r w:rsidR="009B05A5">
        <w:t>–</w:t>
      </w:r>
      <w:r w:rsidR="008D4019" w:rsidRPr="00122F51">
        <w:t xml:space="preserve">is calculated </w:t>
      </w:r>
      <w:r w:rsidR="008D4019" w:rsidRPr="00F556B6">
        <w:t xml:space="preserve">with Equation </w:t>
      </w:r>
      <w:r w:rsidR="00F556B6" w:rsidRPr="00F556B6">
        <w:t>(25)</w:t>
      </w:r>
      <w:r w:rsidR="0001666B" w:rsidRPr="00F556B6">
        <w:t xml:space="preserve"> </w:t>
      </w:r>
      <w:r w:rsidR="00141309" w:rsidRPr="00F556B6">
        <w:t>as</w:t>
      </w:r>
      <w:r w:rsidR="00141309" w:rsidRPr="0098419F">
        <w:t xml:space="preserve"> the sum of the</w:t>
      </w:r>
      <w:r w:rsidR="00B30A30" w:rsidRPr="0098419F">
        <w:t xml:space="preserve"> amount of</w:t>
      </w:r>
      <w:r w:rsidR="00141309" w:rsidRPr="0098419F">
        <w:t xml:space="preserve"> </w:t>
      </w:r>
      <w:r w:rsidR="002E659B" w:rsidRPr="0098419F">
        <w:t>direct elementary flow</w:t>
      </w:r>
      <w:r w:rsidR="00A00F00" w:rsidRPr="0098419F">
        <w:t xml:space="preserve"> </w:t>
      </w:r>
      <w:r w:rsidR="002E659B" w:rsidRPr="0098419F">
        <w:rPr>
          <w:i/>
          <w:iCs/>
        </w:rPr>
        <w:t>s</w:t>
      </w:r>
      <w:r w:rsidR="002E659B" w:rsidRPr="0098419F">
        <w:t xml:space="preserve"> exchanged between </w:t>
      </w:r>
      <w:r w:rsidR="005F2C00" w:rsidRPr="0098419F">
        <w:t xml:space="preserve">the foreground system of </w:t>
      </w:r>
      <w:r w:rsidR="002E659B" w:rsidRPr="0098419F">
        <w:t xml:space="preserve">NETP </w:t>
      </w:r>
      <w:proofErr w:type="spellStart"/>
      <w:r w:rsidR="002E659B" w:rsidRPr="0098419F">
        <w:rPr>
          <w:i/>
          <w:iCs/>
        </w:rPr>
        <w:t>i</w:t>
      </w:r>
      <w:proofErr w:type="spellEnd"/>
      <w:r w:rsidR="002E659B" w:rsidRPr="0098419F">
        <w:t xml:space="preserve"> and the environment </w:t>
      </w:r>
      <w:r w:rsidR="00A03335" w:rsidRPr="0098419F">
        <w:rPr>
          <w:i/>
          <w:iCs/>
        </w:rPr>
        <w:t>t</w:t>
      </w:r>
      <w:r w:rsidR="00A03335" w:rsidRPr="0098419F">
        <w:t xml:space="preserve"> years after deployment in year </w:t>
      </w:r>
      <w:r w:rsidR="00A03335" w:rsidRPr="0098419F">
        <w:rPr>
          <w:i/>
          <w:iCs/>
        </w:rPr>
        <w:t>y</w:t>
      </w:r>
      <w:r w:rsidR="002E659B" w:rsidRPr="0098419F">
        <w:t xml:space="preserve"> (</w:t>
      </w:r>
      <m:oMath>
        <m:r>
          <w:rPr>
            <w:rFonts w:ascii="Cambria Math" w:eastAsia="Yu Mincho" w:hAnsi="Cambria Math" w:cs="Times New Roman"/>
          </w:rPr>
          <m:t>E</m:t>
        </m:r>
        <m:sSubSup>
          <m:sSubSupPr>
            <m:ctrlPr>
              <w:rPr>
                <w:rFonts w:ascii="Cambria Math" w:eastAsia="Yu Mincho" w:hAnsi="Cambria Math" w:cs="Times New Roman"/>
                <w:i/>
                <w:kern w:val="2"/>
                <w14:ligatures w14:val="standardContextual"/>
              </w:rPr>
            </m:ctrlPr>
          </m:sSubSupPr>
          <m:e>
            <m:r>
              <w:rPr>
                <w:rFonts w:ascii="Cambria Math" w:eastAsia="Yu Mincho" w:hAnsi="Cambria Math" w:cs="Times New Roman"/>
              </w:rPr>
              <m:t>F</m:t>
            </m:r>
            <m:ctrlPr>
              <w:rPr>
                <w:rFonts w:ascii="Cambria Math" w:eastAsia="Yu Mincho" w:hAnsi="Cambria Math" w:cs="Times New Roman"/>
                <w:i/>
              </w:rPr>
            </m:ctrlPr>
          </m:e>
          <m:sub>
            <m:r>
              <w:rPr>
                <w:rFonts w:ascii="Cambria Math" w:eastAsia="Yu Mincho" w:hAnsi="Cambria Math" w:cs="Times New Roman"/>
              </w:rPr>
              <m:t>i,s,t,y</m:t>
            </m:r>
            <m:ctrlPr>
              <w:rPr>
                <w:rFonts w:ascii="Cambria Math" w:eastAsia="Yu Mincho" w:hAnsi="Cambria Math" w:cs="Times New Roman"/>
                <w:i/>
              </w:rPr>
            </m:ctrlPr>
          </m:sub>
          <m:sup>
            <m:r>
              <w:rPr>
                <w:rFonts w:ascii="Cambria Math" w:eastAsia="Yu Mincho" w:hAnsi="Cambria Math" w:cs="Times New Roman"/>
              </w:rPr>
              <m:t>FG</m:t>
            </m:r>
          </m:sup>
        </m:sSubSup>
      </m:oMath>
      <w:r w:rsidR="002E659B" w:rsidRPr="0098419F">
        <w:t>)</w:t>
      </w:r>
      <w:r w:rsidR="00CD58AD" w:rsidRPr="0098419F">
        <w:t xml:space="preserve">, and the </w:t>
      </w:r>
      <w:r w:rsidR="00A00F00" w:rsidRPr="0098419F">
        <w:t>amount</w:t>
      </w:r>
      <w:r w:rsidR="007E503B">
        <w:t xml:space="preserve"> of</w:t>
      </w:r>
      <w:r w:rsidR="00A00F00" w:rsidRPr="0098419F">
        <w:t xml:space="preserve"> </w:t>
      </w:r>
      <w:r w:rsidR="00141309" w:rsidRPr="0098419F">
        <w:t>elementary flow</w:t>
      </w:r>
      <w:r w:rsidR="00A00F00" w:rsidRPr="0098419F">
        <w:t xml:space="preserve"> </w:t>
      </w:r>
      <w:r w:rsidR="00141309" w:rsidRPr="0098419F">
        <w:rPr>
          <w:i/>
          <w:iCs/>
        </w:rPr>
        <w:t>s</w:t>
      </w:r>
      <w:r w:rsidR="00141309" w:rsidRPr="0098419F">
        <w:t xml:space="preserve"> associated with</w:t>
      </w:r>
      <w:r w:rsidR="008D4019" w:rsidRPr="0098419F">
        <w:t xml:space="preserve"> the infrastructure (</w:t>
      </w:r>
      <w:r w:rsidR="008D4019" w:rsidRPr="0098419F">
        <w:rPr>
          <w:i/>
          <w:iCs/>
        </w:rPr>
        <w:t>IN</w:t>
      </w:r>
      <w:r w:rsidR="008D4019" w:rsidRPr="0098419F">
        <w:t>) and operat</w:t>
      </w:r>
      <w:r w:rsidR="001B242E">
        <w:t>ing</w:t>
      </w:r>
      <w:r w:rsidR="008D4019" w:rsidRPr="0098419F">
        <w:t xml:space="preserve"> (</w:t>
      </w:r>
      <w:r w:rsidR="008D4019" w:rsidRPr="0098419F">
        <w:rPr>
          <w:i/>
          <w:iCs/>
        </w:rPr>
        <w:t>OP</w:t>
      </w:r>
      <w:r w:rsidR="008D4019" w:rsidRPr="0098419F">
        <w:t>)</w:t>
      </w:r>
      <w:r w:rsidR="00850997" w:rsidRPr="0098419F">
        <w:t xml:space="preserve"> </w:t>
      </w:r>
      <w:r w:rsidR="008E6125" w:rsidRPr="0098419F">
        <w:t xml:space="preserve">activities </w:t>
      </w:r>
      <w:r w:rsidR="004D5355" w:rsidRPr="0098419F">
        <w:t xml:space="preserve">in </w:t>
      </w:r>
      <w:r w:rsidR="005563BC" w:rsidRPr="0098419F">
        <w:t xml:space="preserve">the foreground of </w:t>
      </w:r>
      <w:r w:rsidR="008D4019" w:rsidRPr="0098419F">
        <w:t xml:space="preserve">NETP </w:t>
      </w:r>
      <w:r w:rsidR="009D1940" w:rsidRPr="0098419F">
        <w:rPr>
          <w:i/>
          <w:iCs/>
        </w:rPr>
        <w:t>i</w:t>
      </w:r>
      <w:r w:rsidR="004D5355" w:rsidRPr="0098419F">
        <w:t>'s system</w:t>
      </w:r>
      <w:r w:rsidR="000C4EEA">
        <w:t>.</w:t>
      </w:r>
      <w:r w:rsidR="001F78B8">
        <w:t xml:space="preserve"> </w:t>
      </w:r>
      <w:r w:rsidR="008D4019" w:rsidRPr="00697DEA">
        <w:t xml:space="preserve">The </w:t>
      </w:r>
      <w:r w:rsidR="00BC2666" w:rsidRPr="00697DEA">
        <w:t xml:space="preserve">total </w:t>
      </w:r>
      <w:r w:rsidR="00841541" w:rsidRPr="00697DEA">
        <w:t xml:space="preserve">infrastructure </w:t>
      </w:r>
      <w:r w:rsidR="00BC2666" w:rsidRPr="00697DEA">
        <w:t xml:space="preserve">requirements </w:t>
      </w:r>
      <w:r w:rsidR="008D4019" w:rsidRPr="00697DEA">
        <w:t xml:space="preserve">are annualized </w:t>
      </w:r>
      <w:r w:rsidR="00BC2666" w:rsidRPr="00697DEA">
        <w:t>considering</w:t>
      </w:r>
      <w:r w:rsidR="00FA2F8C" w:rsidRPr="00697DEA">
        <w:t xml:space="preserve"> the ratio </w:t>
      </w:r>
      <w:r w:rsidR="00CE287F" w:rsidRPr="00697DEA">
        <w:t>between</w:t>
      </w:r>
      <w:r w:rsidR="00FA2F8C" w:rsidRPr="00697DEA">
        <w:t xml:space="preserve"> the annual time</w:t>
      </w:r>
      <w:r w:rsidR="007E6414" w:rsidRPr="00697DEA">
        <w:t xml:space="preserve"> </w:t>
      </w:r>
      <w:r w:rsidR="00DF24D1" w:rsidRPr="00697DEA">
        <w:t>of infrastructure use</w:t>
      </w:r>
      <w:r w:rsidR="00F542EE" w:rsidRPr="00697DEA">
        <w:t xml:space="preserve"> (</w:t>
      </w:r>
      <m:oMath>
        <m:r>
          <w:rPr>
            <w:rFonts w:ascii="Cambria Math" w:hAnsi="Cambria Math"/>
          </w:rPr>
          <m:t>AT</m:t>
        </m:r>
      </m:oMath>
      <w:r w:rsidR="00F542EE" w:rsidRPr="00697DEA">
        <w:t>, 1 year)</w:t>
      </w:r>
      <w:r w:rsidR="00FA2F8C" w:rsidRPr="00697DEA">
        <w:t xml:space="preserve"> </w:t>
      </w:r>
      <w:r w:rsidR="00CE287F" w:rsidRPr="00697DEA">
        <w:t>and the infrastructure lifetime</w:t>
      </w:r>
      <w:r w:rsidR="008D4019" w:rsidRPr="00697DEA">
        <w:t xml:space="preserve"> (</w:t>
      </w:r>
      <m:oMath>
        <m:r>
          <w:rPr>
            <w:rFonts w:ascii="Cambria Math" w:hAnsi="Cambria Math"/>
          </w:rPr>
          <m:t>LT</m:t>
        </m:r>
      </m:oMath>
      <w:r w:rsidR="008D4019" w:rsidRPr="00697DEA">
        <w:t xml:space="preserve">, assumed to be 20 years), </w:t>
      </w:r>
      <w:r w:rsidR="008D4019" w:rsidRPr="00697DEA">
        <w:lastRenderedPageBreak/>
        <w:t xml:space="preserve">consistent with the method followed by the </w:t>
      </w:r>
      <w:proofErr w:type="spellStart"/>
      <w:r w:rsidR="008D4019" w:rsidRPr="00697DEA">
        <w:t>Ecoinvent</w:t>
      </w:r>
      <w:proofErr w:type="spellEnd"/>
      <w:r w:rsidR="008D4019" w:rsidRPr="00697DEA">
        <w:t xml:space="preserve"> database</w:t>
      </w:r>
      <w:r w:rsidR="005D0F7A" w:rsidRPr="00697DEA">
        <w:rPr>
          <w:color w:val="FF0000"/>
        </w:rPr>
        <w:fldChar w:fldCharType="begin" w:fldLock="1"/>
      </w:r>
      <w:r w:rsidR="00971A76" w:rsidRPr="00697DEA">
        <w:rPr>
          <w:color w:val="FF0000"/>
        </w:rPr>
        <w:instrText xml:space="preserve"> ADDIN ZOTERO_ITEM CSL_CITATION {"citationID":"NtNKG2rK","properties":{"formattedCitation":"\\super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rsidR="005D0F7A" w:rsidRPr="00697DEA">
        <w:rPr>
          <w:color w:val="FF0000"/>
        </w:rPr>
        <w:fldChar w:fldCharType="separate"/>
      </w:r>
      <w:r w:rsidR="00971A76" w:rsidRPr="00697DEA">
        <w:rPr>
          <w:rFonts w:ascii="Calibri" w:hAnsi="Calibri" w:cs="Calibri"/>
          <w:vertAlign w:val="superscript"/>
        </w:rPr>
        <w:t>16</w:t>
      </w:r>
      <w:r w:rsidR="005D0F7A" w:rsidRPr="00697DEA">
        <w:rPr>
          <w:color w:val="FF0000"/>
        </w:rPr>
        <w:fldChar w:fldCharType="end"/>
      </w:r>
      <w:r w:rsidR="008D4019" w:rsidRPr="00697DEA">
        <w:t xml:space="preserve"> to allocate infrastructure across all the goods and services produced during its lifetime. </w:t>
      </w:r>
      <m:oMath>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a,c,i,y</m:t>
            </m:r>
          </m:sub>
        </m:sSub>
      </m:oMath>
      <w:r w:rsidR="008D4019" w:rsidRPr="0058550A">
        <w:t xml:space="preserve"> represents the amount of activity </w:t>
      </w:r>
      <w:r w:rsidR="008D4019" w:rsidRPr="0058550A">
        <w:rPr>
          <w:i/>
          <w:iCs/>
        </w:rPr>
        <w:t>a</w:t>
      </w:r>
      <w:r w:rsidR="008D4019" w:rsidRPr="0058550A">
        <w:t xml:space="preserve"> needed in the foreground system (considered here</w:t>
      </w:r>
      <w:r w:rsidR="008D4019" w:rsidRPr="00D47CDA">
        <w:t xml:space="preserve"> as the final supply chain stage, </w:t>
      </w:r>
      <w:r w:rsidR="008D4019" w:rsidRPr="00D47CDA">
        <w:rPr>
          <w:i/>
          <w:iCs/>
        </w:rPr>
        <w:t>c=end</w:t>
      </w:r>
      <w:r w:rsidR="008D4019" w:rsidRPr="00D47CDA">
        <w:t>) of</w:t>
      </w:r>
      <w:r w:rsidR="008D4019" w:rsidRPr="00A42C2C">
        <w:t xml:space="preserve"> NETP</w:t>
      </w:r>
      <w:r w:rsidR="008D4019">
        <w:t xml:space="preserve"> </w:t>
      </w:r>
      <w:proofErr w:type="spellStart"/>
      <w:r w:rsidR="008D4019" w:rsidRPr="004837E4">
        <w:rPr>
          <w:i/>
          <w:iCs/>
        </w:rPr>
        <w:t>i</w:t>
      </w:r>
      <w:proofErr w:type="spellEnd"/>
      <w:r w:rsidR="008D4019">
        <w:t xml:space="preserve"> deployed in year </w:t>
      </w:r>
      <w:r w:rsidR="008D4019" w:rsidRPr="004837E4">
        <w:rPr>
          <w:i/>
          <w:iCs/>
        </w:rPr>
        <w:t>y</w:t>
      </w:r>
      <w:r w:rsidR="008D4019">
        <w:rPr>
          <w:i/>
          <w:iCs/>
        </w:rPr>
        <w:t xml:space="preserve"> </w:t>
      </w:r>
      <w:r w:rsidR="008D4019" w:rsidRPr="00D433F3">
        <w:t xml:space="preserve">to meet </w:t>
      </w:r>
      <w:r w:rsidR="008D4019" w:rsidRPr="00D433F3">
        <w:rPr>
          <w:i/>
          <w:iCs/>
        </w:rPr>
        <w:t>y</w:t>
      </w:r>
      <w:r w:rsidR="008D4019" w:rsidRPr="00D433F3">
        <w:t>’s CDR target</w:t>
      </w:r>
      <w:r w:rsidR="008D4019">
        <w:t>, an</w:t>
      </w:r>
      <w:r w:rsidR="008D4019" w:rsidRPr="005F2BE6">
        <w:t xml:space="preserve">d </w:t>
      </w:r>
      <m:oMath>
        <m:sSubSup>
          <m:sSubSupPr>
            <m:ctrlPr>
              <w:rPr>
                <w:rFonts w:ascii="Cambria Math" w:eastAsia="Yu Mincho" w:hAnsi="Cambria Math" w:cs="Times New Roman"/>
                <w:i/>
              </w:rPr>
            </m:ctrlPr>
          </m:sSubSupPr>
          <m:e>
            <m:r>
              <w:rPr>
                <w:rFonts w:ascii="Cambria Math" w:eastAsia="Yu Mincho" w:hAnsi="Cambria Math" w:cs="Times New Roman"/>
              </w:rPr>
              <m:t>EF</m:t>
            </m:r>
          </m:e>
          <m:sub>
            <m:r>
              <w:rPr>
                <w:rFonts w:ascii="Cambria Math" w:eastAsia="Yu Mincho" w:hAnsi="Cambria Math" w:cs="Times New Roman"/>
              </w:rPr>
              <m:t>a,s</m:t>
            </m:r>
          </m:sub>
          <m:sup>
            <m:r>
              <w:rPr>
                <w:rFonts w:ascii="Cambria Math" w:eastAsia="Yu Mincho" w:hAnsi="Cambria Math" w:cs="Times New Roman"/>
              </w:rPr>
              <m:t>BG</m:t>
            </m:r>
          </m:sup>
        </m:sSubSup>
      </m:oMath>
      <w:r w:rsidR="008D4019" w:rsidRPr="005F2BE6">
        <w:t xml:space="preserve"> is the amount of elementary flow </w:t>
      </w:r>
      <w:r w:rsidR="008D4019" w:rsidRPr="005F2BE6">
        <w:rPr>
          <w:i/>
          <w:iCs/>
        </w:rPr>
        <w:t>s</w:t>
      </w:r>
      <w:r w:rsidR="008D4019" w:rsidRPr="005F2BE6">
        <w:t xml:space="preserve"> </w:t>
      </w:r>
      <w:r w:rsidR="007D37FD" w:rsidRPr="005F2BE6">
        <w:t xml:space="preserve">exchanged with the environment </w:t>
      </w:r>
      <w:r w:rsidR="00853FF6" w:rsidRPr="005F2BE6">
        <w:t>through</w:t>
      </w:r>
      <w:r w:rsidR="007D37FD" w:rsidRPr="005F2BE6">
        <w:t>out the activity</w:t>
      </w:r>
      <w:r w:rsidR="008B7A31" w:rsidRPr="005F2BE6">
        <w:t xml:space="preserve"> </w:t>
      </w:r>
      <w:r w:rsidR="008B7A31" w:rsidRPr="005F2BE6">
        <w:rPr>
          <w:i/>
          <w:iCs/>
        </w:rPr>
        <w:t>a</w:t>
      </w:r>
      <w:r w:rsidR="007D37FD" w:rsidRPr="005F2BE6">
        <w:t>’s life cycle</w:t>
      </w:r>
      <w:r w:rsidR="00A31E51" w:rsidRPr="005F2BE6">
        <w:t xml:space="preserve">, modeled in the background </w:t>
      </w:r>
      <w:r w:rsidR="00E658CB" w:rsidRPr="005F2BE6">
        <w:t xml:space="preserve">of the studied NETP </w:t>
      </w:r>
      <w:r w:rsidR="00A31E51" w:rsidRPr="005F2BE6">
        <w:t>system</w:t>
      </w:r>
      <w:r w:rsidR="00E658CB" w:rsidRPr="005F2BE6">
        <w:t>s</w:t>
      </w:r>
      <w:r w:rsidR="00B7557A" w:rsidRPr="005F2BE6">
        <w:t>. Note that</w:t>
      </w:r>
      <w:r w:rsidR="00DC58AD" w:rsidRPr="003555CF">
        <w:t xml:space="preserve"> </w:t>
      </w:r>
      <m:oMath>
        <m:sSubSup>
          <m:sSubSupPr>
            <m:ctrlPr>
              <w:rPr>
                <w:rFonts w:ascii="Cambria Math" w:eastAsia="Yu Mincho" w:hAnsi="Cambria Math" w:cs="Times New Roman"/>
                <w:i/>
              </w:rPr>
            </m:ctrlPr>
          </m:sSubSupPr>
          <m:e>
            <m:r>
              <w:rPr>
                <w:rFonts w:ascii="Cambria Math" w:eastAsia="Yu Mincho" w:hAnsi="Cambria Math" w:cs="Times New Roman"/>
              </w:rPr>
              <m:t>EF</m:t>
            </m:r>
          </m:e>
          <m:sub>
            <m:r>
              <w:rPr>
                <w:rFonts w:ascii="Cambria Math" w:eastAsia="Yu Mincho" w:hAnsi="Cambria Math" w:cs="Times New Roman"/>
              </w:rPr>
              <m:t>a,s</m:t>
            </m:r>
          </m:sub>
          <m:sup>
            <m:r>
              <w:rPr>
                <w:rFonts w:ascii="Cambria Math" w:eastAsia="Yu Mincho" w:hAnsi="Cambria Math" w:cs="Times New Roman"/>
              </w:rPr>
              <m:t>BG</m:t>
            </m:r>
          </m:sup>
        </m:sSubSup>
      </m:oMath>
      <w:r w:rsidR="00423355" w:rsidRPr="00057AA3">
        <w:t xml:space="preserve"> </w:t>
      </w:r>
      <w:r w:rsidR="00423355" w:rsidRPr="003555CF">
        <w:t xml:space="preserve">is </w:t>
      </w:r>
      <w:r w:rsidR="00FE58A0">
        <w:t>taken from the database, which consider</w:t>
      </w:r>
      <w:r w:rsidR="00EA1CFD">
        <w:t>s time-independent life cycle elementary flows</w:t>
      </w:r>
      <w:r w:rsidR="00EC06F4">
        <w:t>.</w:t>
      </w:r>
      <w:r w:rsidR="00E97212">
        <w:t xml:space="preserve"> </w:t>
      </w:r>
    </w:p>
    <w:p w14:paraId="1F1BF9DF" w14:textId="2B52301F" w:rsidR="002C7D5B" w:rsidRDefault="000A4F2C" w:rsidP="00255126">
      <w:pPr>
        <w:spacing w:before="240" w:after="0" w:line="360" w:lineRule="auto"/>
        <w:jc w:val="both"/>
      </w:pPr>
      <w:r>
        <w:t>T</w:t>
      </w:r>
      <w:r w:rsidR="00CC457D">
        <w:t>he infrastructure and operat</w:t>
      </w:r>
      <w:r w:rsidR="001B242E">
        <w:t>ing</w:t>
      </w:r>
      <w:r w:rsidR="00CC457D">
        <w:t xml:space="preserve"> activities </w:t>
      </w:r>
      <w:r w:rsidR="00916230">
        <w:t>are assumed to</w:t>
      </w:r>
      <w:r w:rsidR="00CC457D">
        <w:t xml:space="preserve"> occur the year of deployment,</w:t>
      </w:r>
      <w:r w:rsidR="009C5EEE">
        <w:t xml:space="preserve"> hence</w:t>
      </w:r>
      <w:r w:rsidR="00CC457D">
        <w:t xml:space="preserve"> </w:t>
      </w:r>
      <m:oMath>
        <m:sSub>
          <m:sSubPr>
            <m:ctrlPr>
              <w:rPr>
                <w:rFonts w:ascii="Cambria Math" w:hAnsi="Cambria Math"/>
                <w:i/>
              </w:rPr>
            </m:ctrlPr>
          </m:sSubPr>
          <m:e>
            <m:r>
              <w:rPr>
                <w:rFonts w:ascii="Cambria Math" w:hAnsi="Cambria Math"/>
              </w:rPr>
              <m:t>Q</m:t>
            </m:r>
          </m:e>
          <m:sub>
            <m:r>
              <w:rPr>
                <w:rFonts w:ascii="Cambria Math" w:hAnsi="Cambria Math"/>
              </w:rPr>
              <m:t>i,s,t,y</m:t>
            </m:r>
          </m:sub>
        </m:sSub>
      </m:oMath>
      <w:r w:rsidR="002E244E">
        <w:t xml:space="preserve"> </w:t>
      </w:r>
      <w:r w:rsidR="00CE6B8B">
        <w:t xml:space="preserve">is </w:t>
      </w:r>
      <w:r w:rsidR="00CE6B8B" w:rsidRPr="008C316A">
        <w:t xml:space="preserve">calculated </w:t>
      </w:r>
      <w:r w:rsidR="002E244E" w:rsidRPr="008C316A">
        <w:t xml:space="preserve">with Equation </w:t>
      </w:r>
      <w:r w:rsidR="00F556B6" w:rsidRPr="008C316A">
        <w:t>(26)</w:t>
      </w:r>
      <w:r w:rsidR="00BA2AF0" w:rsidRPr="008C316A">
        <w:t xml:space="preserve"> </w:t>
      </w:r>
      <w:r w:rsidR="001959E6" w:rsidRPr="008C316A">
        <w:t>th</w:t>
      </w:r>
      <w:r w:rsidR="009E1435" w:rsidRPr="008C316A">
        <w:t>e</w:t>
      </w:r>
      <w:r w:rsidR="009E1435" w:rsidRPr="00120B4B">
        <w:t xml:space="preserve"> </w:t>
      </w:r>
      <w:r w:rsidR="009E1435">
        <w:t>following years (</w:t>
      </w:r>
      <m:oMath>
        <m:r>
          <w:rPr>
            <w:rFonts w:ascii="Cambria Math" w:eastAsia="Calibri" w:hAnsi="Cambria Math" w:cs="Calibri"/>
          </w:rPr>
          <m:t>t&gt;0</m:t>
        </m:r>
      </m:oMath>
      <w:r w:rsidR="009E1435">
        <w:t>)</w:t>
      </w:r>
      <w:r w:rsidR="002E244E">
        <w:t xml:space="preserve">, </w:t>
      </w:r>
      <w:r w:rsidR="009E1435">
        <w:t>considering only</w:t>
      </w:r>
      <w:r w:rsidR="002E244E">
        <w:t xml:space="preserve"> </w:t>
      </w:r>
      <w:r w:rsidR="00447CD2">
        <w:t>the direct</w:t>
      </w:r>
      <w:r w:rsidR="00347151">
        <w:t xml:space="preserve"> elementary flows happening in the foreground system </w:t>
      </w:r>
      <w:r w:rsidR="009811FC">
        <w:t>(</w:t>
      </w:r>
      <m:oMath>
        <m:r>
          <w:rPr>
            <w:rFonts w:ascii="Cambria Math" w:eastAsia="Yu Mincho" w:hAnsi="Cambria Math" w:cs="Times New Roman"/>
          </w:rPr>
          <m:t>E</m:t>
        </m:r>
        <m:sSubSup>
          <m:sSubSupPr>
            <m:ctrlPr>
              <w:rPr>
                <w:rFonts w:ascii="Cambria Math" w:eastAsia="Yu Mincho" w:hAnsi="Cambria Math" w:cs="Times New Roman"/>
                <w:i/>
                <w:kern w:val="2"/>
                <w14:ligatures w14:val="standardContextual"/>
              </w:rPr>
            </m:ctrlPr>
          </m:sSubSupPr>
          <m:e>
            <m:r>
              <w:rPr>
                <w:rFonts w:ascii="Cambria Math" w:eastAsia="Yu Mincho" w:hAnsi="Cambria Math" w:cs="Times New Roman"/>
              </w:rPr>
              <m:t>F</m:t>
            </m:r>
            <m:ctrlPr>
              <w:rPr>
                <w:rFonts w:ascii="Cambria Math" w:eastAsia="Yu Mincho" w:hAnsi="Cambria Math" w:cs="Times New Roman"/>
                <w:i/>
              </w:rPr>
            </m:ctrlPr>
          </m:e>
          <m:sub>
            <m:r>
              <w:rPr>
                <w:rFonts w:ascii="Cambria Math" w:eastAsia="Yu Mincho" w:hAnsi="Cambria Math" w:cs="Times New Roman"/>
              </w:rPr>
              <m:t>i,s,t,y</m:t>
            </m:r>
            <m:ctrlPr>
              <w:rPr>
                <w:rFonts w:ascii="Cambria Math" w:eastAsia="Yu Mincho" w:hAnsi="Cambria Math" w:cs="Times New Roman"/>
                <w:i/>
              </w:rPr>
            </m:ctrlPr>
          </m:sub>
          <m:sup>
            <m:r>
              <w:rPr>
                <w:rFonts w:ascii="Cambria Math" w:eastAsia="Yu Mincho" w:hAnsi="Cambria Math" w:cs="Times New Roman"/>
              </w:rPr>
              <m:t>FG</m:t>
            </m:r>
          </m:sup>
        </m:sSubSup>
        <m:r>
          <w:rPr>
            <w:rFonts w:ascii="Cambria Math" w:eastAsia="Yu Mincho" w:hAnsi="Cambria Math" w:cs="Times New Roman"/>
            <w:kern w:val="2"/>
            <w14:ligatures w14:val="standardContextual"/>
          </w:rPr>
          <m:t>)</m:t>
        </m:r>
      </m:oMath>
      <w:r w:rsidR="00347151">
        <w:t xml:space="preserve">. </w:t>
      </w:r>
      <w:r w:rsidR="00A65F6A" w:rsidRPr="00064856">
        <w:t>Since</w:t>
      </w:r>
      <w:r w:rsidR="00EB5C31" w:rsidRPr="00064856">
        <w:t xml:space="preserve"> all our life cycle inventories consider that</w:t>
      </w:r>
      <w:r w:rsidR="004E221F" w:rsidRPr="00064856">
        <w:t xml:space="preserve"> </w:t>
      </w:r>
      <w:r w:rsidR="00325435" w:rsidRPr="00064856">
        <w:t xml:space="preserve">the extraction of mineral resources is associated with infrastructure </w:t>
      </w:r>
      <w:r w:rsidR="009D0F66" w:rsidRPr="00064856">
        <w:t>and</w:t>
      </w:r>
      <w:r w:rsidR="00325435" w:rsidRPr="00064856">
        <w:t xml:space="preserve"> operating activities</w:t>
      </w:r>
      <w:r w:rsidR="009D0F66" w:rsidRPr="00064856">
        <w:t xml:space="preserve"> happening the year of </w:t>
      </w:r>
      <w:r w:rsidR="009D0F66" w:rsidRPr="00436821">
        <w:t>deployment</w:t>
      </w:r>
      <w:r w:rsidR="00080E43" w:rsidRPr="00436821">
        <w:t xml:space="preserve"> (Equation </w:t>
      </w:r>
      <w:r w:rsidR="00B46EB8" w:rsidRPr="00436821">
        <w:t>(15)</w:t>
      </w:r>
      <w:r w:rsidR="00080E43" w:rsidRPr="00436821">
        <w:t>)</w:t>
      </w:r>
      <w:r w:rsidR="007D465A" w:rsidRPr="00436821">
        <w:t>,</w:t>
      </w:r>
      <w:r w:rsidR="00A72A7A" w:rsidRPr="00064856">
        <w:t xml:space="preserve"> </w:t>
      </w:r>
      <m:oMath>
        <m:sSub>
          <m:sSubPr>
            <m:ctrlPr>
              <w:rPr>
                <w:rFonts w:ascii="Cambria Math" w:eastAsia="Yu Mincho" w:hAnsi="Cambria Math" w:cs="Times New Roman"/>
                <w:i/>
              </w:rPr>
            </m:ctrlPr>
          </m:sSubPr>
          <m:e>
            <m:r>
              <w:rPr>
                <w:rFonts w:ascii="Cambria Math" w:eastAsia="Yu Mincho" w:hAnsi="Cambria Math" w:cs="Times New Roman"/>
              </w:rPr>
              <m:t>M</m:t>
            </m:r>
          </m:e>
          <m:sub>
            <m:r>
              <w:rPr>
                <w:rFonts w:ascii="Cambria Math" w:eastAsia="Yu Mincho" w:hAnsi="Cambria Math" w:cs="Times New Roman"/>
              </w:rPr>
              <m:t>i,r,y</m:t>
            </m:r>
          </m:sub>
        </m:sSub>
      </m:oMath>
      <w:r w:rsidR="00A72A7A" w:rsidRPr="00064856">
        <w:t xml:space="preserve"> is calculated only for the year of deployment</w:t>
      </w:r>
      <w:r w:rsidR="00572ACE" w:rsidRPr="00064856">
        <w:t xml:space="preserve"> (</w:t>
      </w:r>
      <m:oMath>
        <m:r>
          <w:rPr>
            <w:rFonts w:ascii="Cambria Math" w:eastAsia="Calibri" w:hAnsi="Cambria Math" w:cs="Calibri"/>
          </w:rPr>
          <m:t>t=0</m:t>
        </m:r>
      </m:oMath>
      <w:r w:rsidR="00572ACE" w:rsidRPr="00064856">
        <w:t>)</w:t>
      </w:r>
      <w:r w:rsidR="00A72A7A" w:rsidRPr="00064856">
        <w:t>.</w:t>
      </w:r>
      <w:r w:rsidR="00A72A7A">
        <w:t xml:space="preserve"> </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2"/>
        <w:gridCol w:w="766"/>
      </w:tblGrid>
      <w:tr w:rsidR="00120B4B" w:rsidRPr="00120B4B" w14:paraId="762F00D8" w14:textId="77777777" w:rsidTr="00E27680">
        <w:tc>
          <w:tcPr>
            <w:tcW w:w="7792" w:type="dxa"/>
          </w:tcPr>
          <w:p w14:paraId="3E40E346" w14:textId="75ECC81B" w:rsidR="008534EF" w:rsidRPr="00120B4B" w:rsidRDefault="00000000" w:rsidP="005D37FF">
            <w:pPr>
              <w:tabs>
                <w:tab w:val="left" w:pos="1880"/>
              </w:tabs>
              <w:spacing w:line="360" w:lineRule="auto"/>
              <w:jc w:val="center"/>
              <w:rPr>
                <w:rFonts w:ascii="Calibri" w:eastAsia="Yu Mincho" w:hAnsi="Calibri" w:cs="Times New Roman"/>
              </w:rPr>
            </w:pPr>
            <m:oMathPara>
              <m:oMathParaPr>
                <m:jc m:val="center"/>
              </m:oMathParaPr>
              <m:oMath>
                <m:sSub>
                  <m:sSubPr>
                    <m:ctrlPr>
                      <w:rPr>
                        <w:rFonts w:ascii="Cambria Math" w:eastAsia="Yu Mincho" w:hAnsi="Cambria Math" w:cs="Times New Roman"/>
                        <w:i/>
                      </w:rPr>
                    </m:ctrlPr>
                  </m:sSubPr>
                  <m:e>
                    <m:r>
                      <w:rPr>
                        <w:rFonts w:ascii="Cambria Math" w:eastAsia="Yu Mincho" w:hAnsi="Cambria Math" w:cs="Times New Roman"/>
                      </w:rPr>
                      <m:t>Q</m:t>
                    </m:r>
                  </m:e>
                  <m:sub>
                    <m:r>
                      <w:rPr>
                        <w:rFonts w:ascii="Cambria Math" w:eastAsia="Yu Mincho" w:hAnsi="Cambria Math" w:cs="Times New Roman"/>
                      </w:rPr>
                      <m:t>i</m:t>
                    </m:r>
                    <m:r>
                      <w:rPr>
                        <w:rFonts w:ascii="Cambria Math" w:eastAsia="Yu Mincho" w:hAnsi="Cambria Math" w:cs="Times New Roman"/>
                        <w:lang w:val="es-ES"/>
                      </w:rPr>
                      <m:t>,</m:t>
                    </m:r>
                    <m:r>
                      <w:rPr>
                        <w:rFonts w:ascii="Cambria Math" w:eastAsia="Yu Mincho" w:hAnsi="Cambria Math" w:cs="Times New Roman"/>
                      </w:rPr>
                      <m:t>s</m:t>
                    </m:r>
                    <m:r>
                      <w:rPr>
                        <w:rFonts w:ascii="Cambria Math" w:eastAsia="Yu Mincho" w:hAnsi="Cambria Math" w:cs="Times New Roman"/>
                        <w:lang w:val="es-ES"/>
                      </w:rPr>
                      <m:t>,t,</m:t>
                    </m:r>
                    <m:r>
                      <w:rPr>
                        <w:rFonts w:ascii="Cambria Math" w:eastAsia="Yu Mincho" w:hAnsi="Cambria Math" w:cs="Times New Roman"/>
                      </w:rPr>
                      <m:t>y</m:t>
                    </m:r>
                  </m:sub>
                </m:sSub>
                <m:r>
                  <w:rPr>
                    <w:rFonts w:ascii="Cambria Math" w:eastAsia="Yu Mincho" w:hAnsi="Cambria Math" w:cs="Times New Roman"/>
                    <w:lang w:val="es-ES"/>
                  </w:rPr>
                  <m:t>=</m:t>
                </m:r>
                <m:r>
                  <w:rPr>
                    <w:rFonts w:ascii="Cambria Math" w:eastAsia="Yu Mincho" w:hAnsi="Cambria Math" w:cs="Times New Roman"/>
                  </w:rPr>
                  <m:t>E</m:t>
                </m:r>
                <m:sSubSup>
                  <m:sSubSupPr>
                    <m:ctrlPr>
                      <w:rPr>
                        <w:rFonts w:ascii="Cambria Math" w:eastAsia="Yu Mincho" w:hAnsi="Cambria Math" w:cs="Times New Roman"/>
                        <w:i/>
                      </w:rPr>
                    </m:ctrlPr>
                  </m:sSubSupPr>
                  <m:e>
                    <m:r>
                      <w:rPr>
                        <w:rFonts w:ascii="Cambria Math" w:eastAsia="Yu Mincho" w:hAnsi="Cambria Math" w:cs="Times New Roman"/>
                      </w:rPr>
                      <m:t>F</m:t>
                    </m:r>
                  </m:e>
                  <m:sub>
                    <m:r>
                      <w:rPr>
                        <w:rFonts w:ascii="Cambria Math" w:eastAsia="Yu Mincho" w:hAnsi="Cambria Math" w:cs="Times New Roman"/>
                      </w:rPr>
                      <m:t>i,s,t,y</m:t>
                    </m:r>
                  </m:sub>
                  <m:sup>
                    <m:r>
                      <w:rPr>
                        <w:rFonts w:ascii="Cambria Math" w:eastAsia="Yu Mincho" w:hAnsi="Cambria Math" w:cs="Times New Roman"/>
                      </w:rPr>
                      <m:t>FG</m:t>
                    </m:r>
                  </m:sup>
                </m:sSubSup>
                <m:r>
                  <w:rPr>
                    <w:rFonts w:ascii="Cambria Math" w:eastAsia="Yu Mincho" w:hAnsi="Cambria Math" w:cs="Times New Roman"/>
                  </w:rPr>
                  <m:t>+</m:t>
                </m:r>
                <m:nary>
                  <m:naryPr>
                    <m:chr m:val="∑"/>
                    <m:limLoc m:val="undOvr"/>
                    <m:supHide m:val="1"/>
                    <m:ctrlPr>
                      <w:rPr>
                        <w:rFonts w:ascii="Cambria Math" w:eastAsia="Yu Mincho" w:hAnsi="Cambria Math" w:cs="Times New Roman"/>
                        <w:i/>
                      </w:rPr>
                    </m:ctrlPr>
                  </m:naryPr>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IN</m:t>
                    </m:r>
                  </m:sub>
                  <m:sup/>
                  <m:e>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c</m:t>
                        </m:r>
                        <m:r>
                          <w:rPr>
                            <w:rFonts w:ascii="Cambria Math" w:eastAsia="Yu Mincho" w:hAnsi="Cambria Math" w:cs="Times New Roman"/>
                            <w:lang w:val="es-ES"/>
                          </w:rPr>
                          <m:t>,</m:t>
                        </m:r>
                        <m:r>
                          <w:rPr>
                            <w:rFonts w:ascii="Cambria Math" w:eastAsia="Yu Mincho" w:hAnsi="Cambria Math" w:cs="Times New Roman"/>
                          </w:rPr>
                          <m:t>i</m:t>
                        </m:r>
                        <m:r>
                          <w:rPr>
                            <w:rFonts w:ascii="Cambria Math" w:eastAsia="Yu Mincho" w:hAnsi="Cambria Math" w:cs="Times New Roman"/>
                            <w:lang w:val="es-ES"/>
                          </w:rPr>
                          <m:t>,</m:t>
                        </m:r>
                        <m:r>
                          <w:rPr>
                            <w:rFonts w:ascii="Cambria Math" w:eastAsia="Yu Mincho" w:hAnsi="Cambria Math" w:cs="Times New Roman"/>
                          </w:rPr>
                          <m:t>y</m:t>
                        </m:r>
                      </m:sub>
                    </m:sSub>
                    <m:r>
                      <w:rPr>
                        <w:rFonts w:ascii="Cambria Math" w:eastAsia="Yu Mincho" w:hAnsi="Cambria Math" w:cs="Times New Roman"/>
                        <w:lang w:val="es-ES"/>
                      </w:rPr>
                      <m:t>·</m:t>
                    </m:r>
                    <m:sSubSup>
                      <m:sSubSupPr>
                        <m:ctrlPr>
                          <w:rPr>
                            <w:rFonts w:ascii="Cambria Math" w:eastAsia="Yu Mincho" w:hAnsi="Cambria Math" w:cs="Times New Roman"/>
                            <w:i/>
                          </w:rPr>
                        </m:ctrlPr>
                      </m:sSubSupPr>
                      <m:e>
                        <m:r>
                          <w:rPr>
                            <w:rFonts w:ascii="Cambria Math" w:eastAsia="Yu Mincho" w:hAnsi="Cambria Math" w:cs="Times New Roman"/>
                          </w:rPr>
                          <m:t>EF</m:t>
                        </m:r>
                      </m:e>
                      <m:sub>
                        <m:r>
                          <w:rPr>
                            <w:rFonts w:ascii="Cambria Math" w:eastAsia="Yu Mincho" w:hAnsi="Cambria Math" w:cs="Times New Roman"/>
                          </w:rPr>
                          <m:t>a</m:t>
                        </m:r>
                        <m:r>
                          <w:rPr>
                            <w:rFonts w:ascii="Cambria Math" w:eastAsia="Yu Mincho" w:hAnsi="Cambria Math" w:cs="Times New Roman"/>
                            <w:lang w:val="es-ES"/>
                          </w:rPr>
                          <m:t>,s</m:t>
                        </m:r>
                        <m:ctrlPr>
                          <w:rPr>
                            <w:rFonts w:ascii="Cambria Math" w:eastAsia="Yu Mincho" w:hAnsi="Cambria Math" w:cs="Times New Roman"/>
                            <w:i/>
                            <w:lang w:val="es-ES"/>
                          </w:rPr>
                        </m:ctrlPr>
                      </m:sub>
                      <m:sup>
                        <m:r>
                          <w:rPr>
                            <w:rFonts w:ascii="Cambria Math" w:eastAsia="Yu Mincho" w:hAnsi="Cambria Math" w:cs="Times New Roman"/>
                            <w:lang w:val="es-ES"/>
                          </w:rPr>
                          <m:t>BG</m:t>
                        </m:r>
                      </m:sup>
                    </m:sSubSup>
                  </m:e>
                </m:nary>
                <m:r>
                  <w:rPr>
                    <w:rFonts w:ascii="Cambria Math" w:eastAsia="Yu Mincho" w:hAnsi="Cambria Math" w:cs="Times New Roman"/>
                    <w:lang w:val="es-ES"/>
                  </w:rPr>
                  <m:t>·</m:t>
                </m:r>
                <m:f>
                  <m:fPr>
                    <m:ctrlPr>
                      <w:rPr>
                        <w:rFonts w:ascii="Cambria Math" w:eastAsia="Yu Mincho" w:hAnsi="Cambria Math" w:cs="Times New Roman"/>
                        <w:i/>
                        <w:lang w:val="es-ES"/>
                      </w:rPr>
                    </m:ctrlPr>
                  </m:fPr>
                  <m:num>
                    <m:r>
                      <w:rPr>
                        <w:rFonts w:ascii="Cambria Math" w:eastAsia="Yu Mincho" w:hAnsi="Cambria Math" w:cs="Times New Roman"/>
                        <w:lang w:val="es-ES"/>
                      </w:rPr>
                      <m:t>AT</m:t>
                    </m:r>
                  </m:num>
                  <m:den>
                    <m:r>
                      <w:rPr>
                        <w:rFonts w:ascii="Cambria Math" w:eastAsia="Yu Mincho" w:hAnsi="Cambria Math" w:cs="Times New Roman"/>
                        <w:lang w:val="es-ES"/>
                      </w:rPr>
                      <m:t>LT</m:t>
                    </m:r>
                  </m:den>
                </m:f>
                <m:r>
                  <w:rPr>
                    <w:rFonts w:ascii="Cambria Math" w:eastAsia="Yu Mincho" w:hAnsi="Cambria Math" w:cs="Times New Roman"/>
                    <w:lang w:val="es-ES"/>
                  </w:rPr>
                  <m:t>+</m:t>
                </m:r>
                <m:nary>
                  <m:naryPr>
                    <m:chr m:val="∑"/>
                    <m:limLoc m:val="undOvr"/>
                    <m:supHide m:val="1"/>
                    <m:ctrlPr>
                      <w:rPr>
                        <w:rFonts w:ascii="Cambria Math" w:eastAsia="Yu Mincho" w:hAnsi="Cambria Math" w:cs="Times New Roman"/>
                        <w:i/>
                      </w:rPr>
                    </m:ctrlPr>
                  </m:naryPr>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OP</m:t>
                    </m:r>
                  </m:sub>
                  <m:sup/>
                  <m:e>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c</m:t>
                        </m:r>
                        <m:r>
                          <w:rPr>
                            <w:rFonts w:ascii="Cambria Math" w:eastAsia="Yu Mincho" w:hAnsi="Cambria Math" w:cs="Times New Roman"/>
                            <w:lang w:val="es-ES"/>
                          </w:rPr>
                          <m:t>,</m:t>
                        </m:r>
                        <m:r>
                          <w:rPr>
                            <w:rFonts w:ascii="Cambria Math" w:eastAsia="Yu Mincho" w:hAnsi="Cambria Math" w:cs="Times New Roman"/>
                          </w:rPr>
                          <m:t>i</m:t>
                        </m:r>
                        <m:r>
                          <w:rPr>
                            <w:rFonts w:ascii="Cambria Math" w:eastAsia="Yu Mincho" w:hAnsi="Cambria Math" w:cs="Times New Roman"/>
                            <w:lang w:val="es-ES"/>
                          </w:rPr>
                          <m:t>,</m:t>
                        </m:r>
                        <m:r>
                          <w:rPr>
                            <w:rFonts w:ascii="Cambria Math" w:eastAsia="Yu Mincho" w:hAnsi="Cambria Math" w:cs="Times New Roman"/>
                          </w:rPr>
                          <m:t>y</m:t>
                        </m:r>
                      </m:sub>
                    </m:sSub>
                    <m:r>
                      <w:rPr>
                        <w:rFonts w:ascii="Cambria Math" w:eastAsia="Yu Mincho" w:hAnsi="Cambria Math" w:cs="Times New Roman"/>
                        <w:lang w:val="es-ES"/>
                      </w:rPr>
                      <m:t>·</m:t>
                    </m:r>
                    <m:sSubSup>
                      <m:sSubSupPr>
                        <m:ctrlPr>
                          <w:rPr>
                            <w:rFonts w:ascii="Cambria Math" w:eastAsia="Yu Mincho" w:hAnsi="Cambria Math" w:cs="Times New Roman"/>
                            <w:i/>
                          </w:rPr>
                        </m:ctrlPr>
                      </m:sSubSupPr>
                      <m:e>
                        <m:r>
                          <w:rPr>
                            <w:rFonts w:ascii="Cambria Math" w:eastAsia="Yu Mincho" w:hAnsi="Cambria Math" w:cs="Times New Roman"/>
                          </w:rPr>
                          <m:t>EF</m:t>
                        </m:r>
                      </m:e>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s</m:t>
                        </m:r>
                      </m:sub>
                      <m:sup>
                        <m:r>
                          <w:rPr>
                            <w:rFonts w:ascii="Cambria Math" w:eastAsia="Yu Mincho" w:hAnsi="Cambria Math" w:cs="Times New Roman"/>
                          </w:rPr>
                          <m:t>BG</m:t>
                        </m:r>
                      </m:sup>
                    </m:sSubSup>
                  </m:e>
                </m:nary>
              </m:oMath>
            </m:oMathPara>
          </w:p>
          <w:p w14:paraId="5A5BD65C" w14:textId="4FE2A293" w:rsidR="006724B8" w:rsidRPr="00120B4B" w:rsidRDefault="008534EF" w:rsidP="00E50E9D">
            <w:pPr>
              <w:tabs>
                <w:tab w:val="left" w:pos="1880"/>
              </w:tabs>
              <w:spacing w:line="360" w:lineRule="auto"/>
              <w:jc w:val="center"/>
              <w:rPr>
                <w:rFonts w:ascii="Calibri" w:eastAsia="Yu Mincho" w:hAnsi="Calibri" w:cs="Times New Roman"/>
              </w:rPr>
            </w:pPr>
            <m:oMathPara>
              <m:oMath>
                <m:r>
                  <w:rPr>
                    <w:rFonts w:ascii="Cambria Math" w:eastAsia="Calibri" w:hAnsi="Cambria Math" w:cs="Calibri"/>
                  </w:rPr>
                  <m:t>∀ t=0, c=end,</m:t>
                </m:r>
                <m:r>
                  <m:rPr>
                    <m:sty m:val="bi"/>
                  </m:rPr>
                  <w:rPr>
                    <w:rFonts w:ascii="Cambria Math" w:eastAsia="Calibri" w:hAnsi="Cambria Math" w:cs="Calibri"/>
                  </w:rPr>
                  <m:t xml:space="preserve"> </m:t>
                </m:r>
                <m:r>
                  <w:rPr>
                    <w:rFonts w:ascii="Cambria Math" w:eastAsia="Calibri" w:hAnsi="Cambria Math" w:cs="Calibri"/>
                  </w:rPr>
                  <m:t>i∈I, s∈</m:t>
                </m:r>
                <m:r>
                  <w:rPr>
                    <w:rFonts w:ascii="Cambria Math" w:hAnsi="Cambria Math" w:cstheme="minorHAnsi"/>
                  </w:rPr>
                  <m:t xml:space="preserve">S, </m:t>
                </m:r>
                <m:r>
                  <w:rPr>
                    <w:rFonts w:ascii="Cambria Math" w:eastAsia="Calibri" w:hAnsi="Cambria Math" w:cs="Calibri"/>
                  </w:rPr>
                  <m:t>y∈Y</m:t>
                </m:r>
              </m:oMath>
            </m:oMathPara>
          </w:p>
        </w:tc>
        <w:tc>
          <w:tcPr>
            <w:tcW w:w="766" w:type="dxa"/>
          </w:tcPr>
          <w:p w14:paraId="01B169E9" w14:textId="77777777" w:rsidR="009C75BC" w:rsidRPr="007C3104" w:rsidRDefault="009C75BC" w:rsidP="005D37FF">
            <w:pPr>
              <w:spacing w:line="360" w:lineRule="auto"/>
              <w:jc w:val="right"/>
              <w:rPr>
                <w:color w:val="FF0000"/>
                <w:sz w:val="8"/>
                <w:szCs w:val="8"/>
                <w:highlight w:val="yellow"/>
              </w:rPr>
            </w:pPr>
          </w:p>
          <w:p w14:paraId="53621E3E" w14:textId="72FAF409" w:rsidR="008534EF" w:rsidRPr="007C3104" w:rsidRDefault="008534EF" w:rsidP="005D37FF">
            <w:pPr>
              <w:spacing w:line="360" w:lineRule="auto"/>
              <w:jc w:val="right"/>
              <w:rPr>
                <w:color w:val="FF0000"/>
                <w:highlight w:val="yellow"/>
              </w:rPr>
            </w:pPr>
            <w:r w:rsidRPr="00F556B6">
              <w:t>(</w:t>
            </w:r>
            <w:r w:rsidR="00F556B6" w:rsidRPr="00F556B6">
              <w:t>25</w:t>
            </w:r>
            <w:r w:rsidRPr="00F556B6">
              <w:t>)</w:t>
            </w:r>
          </w:p>
        </w:tc>
      </w:tr>
      <w:tr w:rsidR="00120B4B" w:rsidRPr="00120B4B" w14:paraId="265DD647" w14:textId="77777777" w:rsidTr="00E27680">
        <w:tc>
          <w:tcPr>
            <w:tcW w:w="7792" w:type="dxa"/>
          </w:tcPr>
          <w:p w14:paraId="39046140" w14:textId="19934EC5" w:rsidR="00A4551B" w:rsidRPr="00120B4B" w:rsidRDefault="00000000" w:rsidP="0024382C">
            <w:pPr>
              <w:tabs>
                <w:tab w:val="left" w:pos="1880"/>
              </w:tabs>
              <w:spacing w:line="360" w:lineRule="auto"/>
              <w:jc w:val="center"/>
              <w:rPr>
                <w:rFonts w:ascii="Calibri" w:eastAsia="Yu Mincho" w:hAnsi="Calibri" w:cs="Times New Roman"/>
              </w:rPr>
            </w:pPr>
            <m:oMathPara>
              <m:oMath>
                <m:sSub>
                  <m:sSubPr>
                    <m:ctrlPr>
                      <w:rPr>
                        <w:rFonts w:ascii="Cambria Math" w:eastAsia="Yu Mincho" w:hAnsi="Cambria Math" w:cs="Times New Roman"/>
                        <w:i/>
                      </w:rPr>
                    </m:ctrlPr>
                  </m:sSubPr>
                  <m:e>
                    <m:r>
                      <w:rPr>
                        <w:rFonts w:ascii="Cambria Math" w:eastAsia="Yu Mincho" w:hAnsi="Cambria Math" w:cs="Times New Roman"/>
                      </w:rPr>
                      <m:t>Q</m:t>
                    </m:r>
                  </m:e>
                  <m:sub>
                    <m:r>
                      <w:rPr>
                        <w:rFonts w:ascii="Cambria Math" w:eastAsia="Yu Mincho" w:hAnsi="Cambria Math" w:cs="Times New Roman"/>
                      </w:rPr>
                      <m:t>i</m:t>
                    </m:r>
                    <m:r>
                      <w:rPr>
                        <w:rFonts w:ascii="Cambria Math" w:eastAsia="Yu Mincho" w:hAnsi="Cambria Math" w:cs="Times New Roman"/>
                        <w:lang w:val="es-ES"/>
                      </w:rPr>
                      <m:t>,</m:t>
                    </m:r>
                    <m:r>
                      <w:rPr>
                        <w:rFonts w:ascii="Cambria Math" w:eastAsia="Yu Mincho" w:hAnsi="Cambria Math" w:cs="Times New Roman"/>
                      </w:rPr>
                      <m:t>s</m:t>
                    </m:r>
                    <m:r>
                      <w:rPr>
                        <w:rFonts w:ascii="Cambria Math" w:eastAsia="Yu Mincho" w:hAnsi="Cambria Math" w:cs="Times New Roman"/>
                        <w:lang w:val="es-ES"/>
                      </w:rPr>
                      <m:t>,t,</m:t>
                    </m:r>
                    <m:r>
                      <w:rPr>
                        <w:rFonts w:ascii="Cambria Math" w:eastAsia="Yu Mincho" w:hAnsi="Cambria Math" w:cs="Times New Roman"/>
                      </w:rPr>
                      <m:t>y</m:t>
                    </m:r>
                  </m:sub>
                </m:sSub>
                <m:r>
                  <w:rPr>
                    <w:rFonts w:ascii="Cambria Math" w:eastAsia="Yu Mincho" w:hAnsi="Cambria Math" w:cs="Times New Roman"/>
                    <w:lang w:val="es-ES"/>
                  </w:rPr>
                  <m:t>=</m:t>
                </m:r>
                <m:r>
                  <w:rPr>
                    <w:rFonts w:ascii="Cambria Math" w:eastAsia="Yu Mincho" w:hAnsi="Cambria Math" w:cs="Times New Roman"/>
                  </w:rPr>
                  <m:t>E</m:t>
                </m:r>
                <m:sSubSup>
                  <m:sSubSupPr>
                    <m:ctrlPr>
                      <w:rPr>
                        <w:rFonts w:ascii="Cambria Math" w:eastAsia="Yu Mincho" w:hAnsi="Cambria Math" w:cs="Times New Roman"/>
                        <w:i/>
                      </w:rPr>
                    </m:ctrlPr>
                  </m:sSubSupPr>
                  <m:e>
                    <m:r>
                      <w:rPr>
                        <w:rFonts w:ascii="Cambria Math" w:eastAsia="Yu Mincho" w:hAnsi="Cambria Math" w:cs="Times New Roman"/>
                      </w:rPr>
                      <m:t>F</m:t>
                    </m:r>
                  </m:e>
                  <m:sub>
                    <m:r>
                      <w:rPr>
                        <w:rFonts w:ascii="Cambria Math" w:eastAsia="Yu Mincho" w:hAnsi="Cambria Math" w:cs="Times New Roman"/>
                      </w:rPr>
                      <m:t>i,s,t,y</m:t>
                    </m:r>
                  </m:sub>
                  <m:sup>
                    <m:r>
                      <w:rPr>
                        <w:rFonts w:ascii="Cambria Math" w:eastAsia="Yu Mincho" w:hAnsi="Cambria Math" w:cs="Times New Roman"/>
                      </w:rPr>
                      <m:t>FG</m:t>
                    </m:r>
                  </m:sup>
                </m:sSubSup>
                <m:r>
                  <w:rPr>
                    <w:rFonts w:ascii="Cambria Math" w:eastAsia="Calibri" w:hAnsi="Cambria Math" w:cs="Calibri"/>
                  </w:rPr>
                  <m:t xml:space="preserve">   ∀ t&gt;0, i∈I, s∈</m:t>
                </m:r>
                <m:r>
                  <w:rPr>
                    <w:rFonts w:ascii="Cambria Math" w:hAnsi="Cambria Math" w:cstheme="minorHAnsi"/>
                  </w:rPr>
                  <m:t xml:space="preserve">S, </m:t>
                </m:r>
                <m:r>
                  <w:rPr>
                    <w:rFonts w:ascii="Cambria Math" w:eastAsia="Calibri" w:hAnsi="Cambria Math" w:cs="Calibri"/>
                  </w:rPr>
                  <m:t>y∈Y</m:t>
                </m:r>
              </m:oMath>
            </m:oMathPara>
          </w:p>
        </w:tc>
        <w:tc>
          <w:tcPr>
            <w:tcW w:w="766" w:type="dxa"/>
          </w:tcPr>
          <w:p w14:paraId="7813B042" w14:textId="110D197C" w:rsidR="00A4551B" w:rsidRPr="007C3104" w:rsidRDefault="00A4551B" w:rsidP="00A4551B">
            <w:pPr>
              <w:spacing w:line="360" w:lineRule="auto"/>
              <w:jc w:val="right"/>
              <w:rPr>
                <w:sz w:val="18"/>
                <w:szCs w:val="18"/>
                <w:highlight w:val="yellow"/>
              </w:rPr>
            </w:pPr>
            <w:r w:rsidRPr="008C316A">
              <w:t>(</w:t>
            </w:r>
            <w:r w:rsidR="008C316A" w:rsidRPr="008C316A">
              <w:t>26</w:t>
            </w:r>
            <w:r w:rsidRPr="008C316A">
              <w:t>)</w:t>
            </w:r>
          </w:p>
        </w:tc>
      </w:tr>
    </w:tbl>
    <w:p w14:paraId="28AB57B1" w14:textId="34F4E023" w:rsidR="008D4019" w:rsidRPr="005D546C" w:rsidRDefault="008D4019" w:rsidP="008D4019">
      <w:pPr>
        <w:spacing w:before="240" w:line="360" w:lineRule="auto"/>
        <w:jc w:val="both"/>
      </w:pPr>
      <w:r>
        <w:t>Although</w:t>
      </w:r>
      <w:r w:rsidRPr="000D5617">
        <w:t xml:space="preserve"> </w:t>
      </w:r>
      <w:r>
        <w:t xml:space="preserve">the modeling framework of </w:t>
      </w:r>
      <w:r w:rsidRPr="000D5617">
        <w:t xml:space="preserve">both the foreground and background systems consider </w:t>
      </w:r>
      <w:r>
        <w:t xml:space="preserve">virtual flows of </w:t>
      </w:r>
      <w:r w:rsidRPr="000D5617">
        <w:t>annualized</w:t>
      </w:r>
      <w:r>
        <w:t xml:space="preserve"> </w:t>
      </w:r>
      <w:r w:rsidRPr="000D5617">
        <w:t xml:space="preserve">infrastructure-related </w:t>
      </w:r>
      <w:r>
        <w:t>materials</w:t>
      </w:r>
      <w:r w:rsidRPr="000D5617">
        <w:t xml:space="preserve"> </w:t>
      </w:r>
      <w:r>
        <w:t xml:space="preserve">that </w:t>
      </w:r>
      <w:r w:rsidRPr="000D5617">
        <w:t xml:space="preserve">occur </w:t>
      </w:r>
      <w:r>
        <w:t>every</w:t>
      </w:r>
      <w:r w:rsidRPr="000D5617">
        <w:t xml:space="preserve"> year of deployment (</w:t>
      </w:r>
      <m:oMath>
        <m:r>
          <w:rPr>
            <w:rFonts w:ascii="Cambria Math" w:hAnsi="Cambria Math"/>
          </w:rPr>
          <m:t xml:space="preserve">t=0 </m:t>
        </m:r>
        <m:r>
          <w:rPr>
            <w:rFonts w:ascii="Cambria Math" w:eastAsia="Calibri" w:hAnsi="Cambria Math" w:cs="Calibri"/>
          </w:rPr>
          <m:t xml:space="preserve">∀ </m:t>
        </m:r>
        <m:r>
          <w:rPr>
            <w:rFonts w:ascii="Cambria Math" w:hAnsi="Cambria Math" w:cstheme="minorHAnsi"/>
          </w:rPr>
          <m:t>y</m:t>
        </m:r>
        <m:r>
          <w:rPr>
            <w:rFonts w:ascii="Cambria Math" w:eastAsia="Calibri" w:hAnsi="Cambria Math" w:cs="Calibri"/>
          </w:rPr>
          <m:t>∈Y</m:t>
        </m:r>
      </m:oMath>
      <w:r>
        <w:t xml:space="preserve">), </w:t>
      </w:r>
      <w:r w:rsidRPr="00B53D9D">
        <w:t>raw materials must be extracted prior to the construction of the capital goods.</w:t>
      </w:r>
      <w:r>
        <w:t xml:space="preserve"> </w:t>
      </w:r>
      <w:r w:rsidRPr="005D546C">
        <w:t xml:space="preserve">Therefore, the estimated </w:t>
      </w:r>
      <m:oMath>
        <m:sSub>
          <m:sSubPr>
            <m:ctrlPr>
              <w:rPr>
                <w:rFonts w:ascii="Cambria Math" w:hAnsi="Cambria Math"/>
                <w:i/>
              </w:rPr>
            </m:ctrlPr>
          </m:sSubPr>
          <m:e>
            <m:r>
              <w:rPr>
                <w:rFonts w:ascii="Cambria Math" w:hAnsi="Cambria Math"/>
              </w:rPr>
              <m:t>M</m:t>
            </m:r>
          </m:e>
          <m:sub>
            <m:r>
              <w:rPr>
                <w:rFonts w:ascii="Cambria Math" w:hAnsi="Cambria Math"/>
              </w:rPr>
              <m:t>i,r,y</m:t>
            </m:r>
          </m:sub>
        </m:sSub>
      </m:oMath>
      <w:r w:rsidRPr="005D546C">
        <w:t xml:space="preserve"> does not reflect the actual resource extraction in year </w:t>
      </w:r>
      <w:r w:rsidRPr="005D546C">
        <w:rPr>
          <w:i/>
          <w:iCs/>
        </w:rPr>
        <w:t>y</w:t>
      </w:r>
      <w:r w:rsidRPr="005D546C">
        <w:t xml:space="preserve">. We use </w:t>
      </w:r>
      <w:r w:rsidRPr="004D0620">
        <w:t xml:space="preserve">Equations </w:t>
      </w:r>
      <w:r w:rsidR="004D0620" w:rsidRPr="004D0620">
        <w:t>(27)</w:t>
      </w:r>
      <w:r w:rsidRPr="004D0620">
        <w:t xml:space="preserve"> and </w:t>
      </w:r>
      <w:r w:rsidR="004D0620" w:rsidRPr="004D0620">
        <w:t>(28)</w:t>
      </w:r>
      <w:r w:rsidRPr="004D0620">
        <w:t xml:space="preserve"> to</w:t>
      </w:r>
      <w:r w:rsidRPr="005D546C">
        <w:t xml:space="preserve"> overcome this limitation and estimate the annual quantities of mineral resources extracted (</w:t>
      </w:r>
      <m:oMath>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i,r,y</m:t>
            </m:r>
          </m:sub>
        </m:sSub>
      </m:oMath>
      <w:r w:rsidRPr="005D546C">
        <w:t>), which were subsequently assessed against the 2022 global mine production taken from</w:t>
      </w:r>
      <w:r w:rsidRPr="00BA2AF0">
        <w:t xml:space="preserve"> </w:t>
      </w:r>
      <w:r w:rsidRPr="00BA2AF0">
        <w:fldChar w:fldCharType="begin" w:fldLock="1"/>
      </w:r>
      <w:r w:rsidR="00971A76">
        <w:instrText xml:space="preserve"> ADDIN ZOTERO_ITEM CSL_CITATION {"citationID":"V6HG6rbM","properties":{"formattedCitation":"\\super 17\\nosupersub{}","plainCitation":"17","noteIndex":0},"citationItems":[{"id":2883,"uris":["http://www.mendeley.com/documents/?uuid=92f5904f-e750-486d-8989-75dedf0aa431","http://zotero.org/users/14213812/items/2749QCPU"],"itemData":{"id":2883,"type":"book","ISBN":"978-1-4113-4504-1","note":"DOI: 10.3133/mcs2023.","title":"Mineral commodity summaries 2023","author":[{"literal":"U.S. Geological Survey"}],"issued":{"date-parts":[["2023"]]}}}],"schema":"https://github.com/citation-style-language/schema/raw/master/csl-citation.json"} </w:instrText>
      </w:r>
      <w:r w:rsidRPr="00BA2AF0">
        <w:fldChar w:fldCharType="separate"/>
      </w:r>
      <w:r w:rsidR="00971A76" w:rsidRPr="00971A76">
        <w:rPr>
          <w:rFonts w:ascii="Calibri" w:hAnsi="Calibri" w:cs="Calibri"/>
          <w:vertAlign w:val="superscript"/>
        </w:rPr>
        <w:t>17</w:t>
      </w:r>
      <w:r w:rsidRPr="00BA2AF0">
        <w:fldChar w:fldCharType="end"/>
      </w:r>
      <w:r w:rsidRPr="00D45D0B">
        <w:t xml:space="preserve">. Equation </w:t>
      </w:r>
      <w:r w:rsidR="00D45D0B" w:rsidRPr="00D45D0B">
        <w:t>(27)</w:t>
      </w:r>
      <w:r w:rsidRPr="00BA2AF0">
        <w:t xml:space="preserve"> computes </w:t>
      </w:r>
      <w:r w:rsidRPr="005D546C">
        <w:t xml:space="preserve">the annual extraction of all mineral resources linked to capital goods across all the life cycle stages, i.e., including the infrastructure activities in the background of the foreground operating activities. It assumes that we must extract every year the resources needed to expand the CDR capacity of NETP </w:t>
      </w:r>
      <w:proofErr w:type="spellStart"/>
      <w:r w:rsidRPr="005D546C">
        <w:rPr>
          <w:i/>
          <w:iCs/>
        </w:rPr>
        <w:t>i</w:t>
      </w:r>
      <w:proofErr w:type="spellEnd"/>
      <w:r w:rsidRPr="005D546C">
        <w:t xml:space="preserve"> with respect to the global capacity installed the previous year, and that all the infrastructure activities in the foreground and background systems have equal lifetimes. </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7"/>
        <w:gridCol w:w="761"/>
      </w:tblGrid>
      <w:tr w:rsidR="005D546C" w:rsidRPr="005D546C" w14:paraId="798EBB2D" w14:textId="77777777" w:rsidTr="00624CEA">
        <w:tc>
          <w:tcPr>
            <w:tcW w:w="7797" w:type="dxa"/>
          </w:tcPr>
          <w:p w14:paraId="3A0F5FE1" w14:textId="52CB883B" w:rsidR="008D4019" w:rsidRPr="0086732B" w:rsidRDefault="00000000" w:rsidP="007A6892">
            <w:pPr>
              <w:tabs>
                <w:tab w:val="left" w:pos="1880"/>
              </w:tabs>
              <w:spacing w:line="360" w:lineRule="auto"/>
              <w:jc w:val="center"/>
              <w:rPr>
                <w:rFonts w:ascii="Calibri" w:eastAsia="Yu Mincho" w:hAnsi="Calibri" w:cs="Times New Roman"/>
              </w:rPr>
            </w:pPr>
            <m:oMathPara>
              <m:oMath>
                <m:sSub>
                  <m:sSubPr>
                    <m:ctrlPr>
                      <w:rPr>
                        <w:rFonts w:ascii="Cambria Math" w:eastAsia="Yu Mincho" w:hAnsi="Cambria Math" w:cs="Times New Roman"/>
                        <w:i/>
                      </w:rPr>
                    </m:ctrlPr>
                  </m:sSubPr>
                  <m:e>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i,r,y</m:t>
                        </m:r>
                      </m:sub>
                    </m:sSub>
                    <m:r>
                      <w:rPr>
                        <w:rFonts w:ascii="Cambria Math" w:eastAsia="Yu Mincho" w:hAnsi="Cambria Math" w:cs="Times New Roman"/>
                      </w:rPr>
                      <m:t>=M</m:t>
                    </m:r>
                  </m:e>
                  <m:sub>
                    <m:r>
                      <w:rPr>
                        <w:rFonts w:ascii="Cambria Math" w:eastAsia="Yu Mincho" w:hAnsi="Cambria Math" w:cs="Times New Roman"/>
                      </w:rPr>
                      <m:t>i,r,y</m:t>
                    </m:r>
                  </m:sub>
                </m:sSub>
                <m:r>
                  <w:rPr>
                    <w:rFonts w:ascii="Cambria Math" w:eastAsia="Yu Mincho" w:hAnsi="Cambria Math" w:cs="Times New Roman"/>
                  </w:rPr>
                  <m:t>·</m:t>
                </m:r>
                <m:f>
                  <m:fPr>
                    <m:ctrlPr>
                      <w:rPr>
                        <w:rFonts w:ascii="Cambria Math" w:eastAsia="Yu Mincho" w:hAnsi="Cambria Math" w:cs="Times New Roman"/>
                        <w:i/>
                      </w:rPr>
                    </m:ctrlPr>
                  </m:fPr>
                  <m:num>
                    <m:r>
                      <w:rPr>
                        <w:rFonts w:ascii="Cambria Math" w:eastAsia="Yu Mincho" w:hAnsi="Cambria Math" w:cs="Times New Roman"/>
                      </w:rPr>
                      <m:t>LT</m:t>
                    </m:r>
                  </m:num>
                  <m:den>
                    <m:r>
                      <w:rPr>
                        <w:rFonts w:ascii="Cambria Math" w:eastAsia="Yu Mincho" w:hAnsi="Cambria Math" w:cs="Times New Roman"/>
                      </w:rPr>
                      <m:t>AT</m:t>
                    </m:r>
                  </m:den>
                </m:f>
                <m:r>
                  <w:rPr>
                    <w:rFonts w:ascii="Cambria Math" w:eastAsia="Yu Mincho" w:hAnsi="Cambria Math" w:cs="Times New Roman"/>
                  </w:rPr>
                  <m:t>·</m:t>
                </m:r>
                <m:d>
                  <m:dPr>
                    <m:begChr m:val="|"/>
                    <m:endChr m:val="|"/>
                    <m:ctrlPr>
                      <w:rPr>
                        <w:rFonts w:ascii="Cambria Math" w:eastAsia="Yu Mincho" w:hAnsi="Cambria Math" w:cs="Times New Roman"/>
                        <w:i/>
                      </w:rPr>
                    </m:ctrlPr>
                  </m:dPr>
                  <m:e>
                    <m:f>
                      <m:fPr>
                        <m:ctrlPr>
                          <w:rPr>
                            <w:rFonts w:ascii="Cambria Math" w:eastAsia="Yu Mincho" w:hAnsi="Cambria Math" w:cs="Times New Roman"/>
                            <w:i/>
                          </w:rPr>
                        </m:ctrlPr>
                      </m:fPr>
                      <m:num>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i,s,t,y-1</m:t>
                            </m:r>
                          </m:sub>
                        </m:sSub>
                      </m:num>
                      <m:den>
                        <m:r>
                          <w:rPr>
                            <w:rFonts w:ascii="Cambria Math" w:eastAsia="Yu Mincho" w:hAnsi="Cambria Math" w:cs="Times New Roman"/>
                          </w:rPr>
                          <m:t>CD</m:t>
                        </m:r>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i,s,t,y</m:t>
                            </m:r>
                          </m:sub>
                        </m:sSub>
                      </m:den>
                    </m:f>
                  </m:e>
                </m:d>
                <m:r>
                  <w:rPr>
                    <w:rFonts w:ascii="Cambria Math" w:eastAsia="Yu Mincho" w:hAnsi="Cambria Math" w:cs="Times New Roman"/>
                  </w:rPr>
                  <m:t xml:space="preserve">   </m:t>
                </m:r>
                <m:r>
                  <w:rPr>
                    <w:rFonts w:ascii="Cambria Math" w:eastAsia="Calibri" w:hAnsi="Cambria Math" w:cs="Calibri"/>
                  </w:rPr>
                  <m:t>∀ s=C</m:t>
                </m:r>
                <m:sSub>
                  <m:sSubPr>
                    <m:ctrlPr>
                      <w:rPr>
                        <w:rFonts w:ascii="Cambria Math" w:eastAsia="Calibri" w:hAnsi="Cambria Math" w:cs="Calibri"/>
                        <w:i/>
                      </w:rPr>
                    </m:ctrlPr>
                  </m:sSubPr>
                  <m:e>
                    <m:r>
                      <w:rPr>
                        <w:rFonts w:ascii="Cambria Math" w:eastAsia="Calibri" w:hAnsi="Cambria Math" w:cs="Calibri"/>
                      </w:rPr>
                      <m:t>O</m:t>
                    </m:r>
                  </m:e>
                  <m:sub>
                    <m:r>
                      <w:rPr>
                        <w:rFonts w:ascii="Cambria Math" w:eastAsia="Calibri" w:hAnsi="Cambria Math" w:cs="Calibri"/>
                      </w:rPr>
                      <m:t>2</m:t>
                    </m:r>
                  </m:sub>
                </m:sSub>
                <m:r>
                  <w:rPr>
                    <w:rFonts w:ascii="Cambria Math" w:eastAsia="Calibri" w:hAnsi="Cambria Math" w:cs="Calibri"/>
                  </w:rPr>
                  <m:t xml:space="preserve">, </m:t>
                </m:r>
                <m:r>
                  <w:rPr>
                    <w:rFonts w:ascii="Cambria Math" w:hAnsi="Cambria Math" w:cstheme="minorHAnsi"/>
                  </w:rPr>
                  <m:t>t=0, y</m:t>
                </m:r>
                <m:r>
                  <w:rPr>
                    <w:rFonts w:ascii="Cambria Math" w:eastAsia="Calibri" w:hAnsi="Cambria Math" w:cs="Calibri"/>
                  </w:rPr>
                  <m:t>∈Y</m:t>
                </m:r>
              </m:oMath>
            </m:oMathPara>
          </w:p>
          <w:p w14:paraId="32304150" w14:textId="764CBD73" w:rsidR="00A87B64" w:rsidRPr="005D546C" w:rsidRDefault="00614953" w:rsidP="00CA647D">
            <w:pPr>
              <w:spacing w:line="360" w:lineRule="auto"/>
              <w:jc w:val="center"/>
              <w:rPr>
                <w:rFonts w:ascii="Calibri" w:eastAsia="Yu Mincho" w:hAnsi="Calibri" w:cs="Times New Roman"/>
              </w:rPr>
            </w:pPr>
            <m:oMathPara>
              <m:oMath>
                <m:r>
                  <w:rPr>
                    <w:rFonts w:ascii="Cambria Math" w:eastAsia="Calibri" w:hAnsi="Cambria Math" w:cs="Calibri"/>
                  </w:rPr>
                  <m:t>∀</m:t>
                </m:r>
                <m:r>
                  <w:rPr>
                    <w:rFonts w:ascii="Cambria Math" w:hAnsi="Cambria Math"/>
                  </w:rPr>
                  <m:t xml:space="preserve"> i,r | </m:t>
                </m:r>
                <m:d>
                  <m:dPr>
                    <m:ctrlPr>
                      <w:rPr>
                        <w:rFonts w:ascii="Cambria Math" w:hAnsi="Cambria Math"/>
                        <w:i/>
                      </w:rPr>
                    </m:ctrlPr>
                  </m:dPr>
                  <m:e>
                    <m:d>
                      <m:dPr>
                        <m:ctrlPr>
                          <w:rPr>
                            <w:rFonts w:ascii="Cambria Math" w:hAnsi="Cambria Math"/>
                            <w:i/>
                          </w:rPr>
                        </m:ctrlPr>
                      </m:dPr>
                      <m:e>
                        <m:r>
                          <w:rPr>
                            <w:rFonts w:ascii="Cambria Math" w:hAnsi="Cambria Math"/>
                          </w:rPr>
                          <m:t xml:space="preserve">( </m:t>
                        </m:r>
                        <m:r>
                          <w:rPr>
                            <w:rFonts w:ascii="Cambria Math" w:eastAsia="Calibri" w:hAnsi="Cambria Math" w:cs="Calibri"/>
                          </w:rPr>
                          <m:t>r</m:t>
                        </m:r>
                        <m:r>
                          <w:rPr>
                            <w:rFonts w:ascii="Cambria Math" w:hAnsi="Cambria Math" w:cstheme="minorHAnsi"/>
                          </w:rPr>
                          <m:t>≠K, P, Mg</m:t>
                        </m:r>
                      </m:e>
                    </m:d>
                    <m:r>
                      <w:rPr>
                        <w:rFonts w:ascii="Cambria Math" w:hAnsi="Cambria Math"/>
                      </w:rPr>
                      <m:t xml:space="preserve"> ⋀ </m:t>
                    </m:r>
                    <m:d>
                      <m:dPr>
                        <m:ctrlPr>
                          <w:rPr>
                            <w:rFonts w:ascii="Cambria Math" w:hAnsi="Cambria Math"/>
                            <w:i/>
                          </w:rPr>
                        </m:ctrlPr>
                      </m:dPr>
                      <m:e>
                        <m:r>
                          <w:rPr>
                            <w:rFonts w:ascii="Cambria Math" w:hAnsi="Cambria Math"/>
                          </w:rPr>
                          <m:t>i ∉BECCS, TERR</m:t>
                        </m:r>
                      </m:e>
                    </m:d>
                  </m:e>
                </m:d>
                <m:r>
                  <w:rPr>
                    <w:rFonts w:ascii="Cambria Math" w:hAnsi="Cambria Math"/>
                  </w:rPr>
                  <m:t xml:space="preserve"> ⋁ </m:t>
                </m:r>
                <m:r>
                  <w:rPr>
                    <w:rFonts w:ascii="Cambria Math" w:eastAsia="Calibri" w:hAnsi="Cambria Math" w:cs="Calibri"/>
                  </w:rPr>
                  <m:t>(r</m:t>
                </m:r>
                <m:r>
                  <w:rPr>
                    <w:rFonts w:ascii="Cambria Math" w:hAnsi="Cambria Math" w:cstheme="minorHAnsi"/>
                  </w:rPr>
                  <m:t>≠K ⋀</m:t>
                </m:r>
                <m:r>
                  <w:rPr>
                    <w:rFonts w:ascii="Cambria Math" w:hAnsi="Cambria Math"/>
                  </w:rPr>
                  <m:t xml:space="preserve"> i∉HTLS))</m:t>
                </m:r>
              </m:oMath>
            </m:oMathPara>
          </w:p>
        </w:tc>
        <w:tc>
          <w:tcPr>
            <w:tcW w:w="761" w:type="dxa"/>
            <w:shd w:val="clear" w:color="auto" w:fill="auto"/>
          </w:tcPr>
          <w:p w14:paraId="1D44F615" w14:textId="77777777" w:rsidR="00E03DDB" w:rsidRPr="005D546C" w:rsidRDefault="00E03DDB" w:rsidP="002C19D4">
            <w:pPr>
              <w:spacing w:line="360" w:lineRule="auto"/>
              <w:jc w:val="right"/>
              <w:rPr>
                <w:sz w:val="8"/>
                <w:szCs w:val="8"/>
                <w:lang w:val="es-ES"/>
              </w:rPr>
            </w:pPr>
          </w:p>
          <w:p w14:paraId="28B9C386" w14:textId="24A60EE9" w:rsidR="008D4019" w:rsidRPr="005D546C" w:rsidRDefault="008D4019" w:rsidP="002C19D4">
            <w:pPr>
              <w:spacing w:line="360" w:lineRule="auto"/>
              <w:jc w:val="right"/>
              <w:rPr>
                <w:sz w:val="18"/>
                <w:szCs w:val="18"/>
                <w:lang w:val="es-ES"/>
              </w:rPr>
            </w:pPr>
            <w:r w:rsidRPr="00D45D0B">
              <w:rPr>
                <w:lang w:val="es-ES"/>
              </w:rPr>
              <w:t>(</w:t>
            </w:r>
            <w:r w:rsidR="00DA2432" w:rsidRPr="00D45D0B">
              <w:rPr>
                <w:lang w:val="es-ES"/>
              </w:rPr>
              <w:t>2</w:t>
            </w:r>
            <w:r w:rsidR="004D0620" w:rsidRPr="00D45D0B">
              <w:rPr>
                <w:lang w:val="es-ES"/>
              </w:rPr>
              <w:t>7</w:t>
            </w:r>
            <w:r w:rsidRPr="00D45D0B">
              <w:rPr>
                <w:lang w:val="es-ES"/>
              </w:rPr>
              <w:t>)</w:t>
            </w:r>
          </w:p>
        </w:tc>
      </w:tr>
    </w:tbl>
    <w:p w14:paraId="7842A517" w14:textId="2674C452" w:rsidR="00410A8D" w:rsidRPr="004E16BA" w:rsidRDefault="002A214E" w:rsidP="008D7DCA">
      <w:pPr>
        <w:spacing w:before="240" w:line="360" w:lineRule="auto"/>
        <w:jc w:val="both"/>
        <w:rPr>
          <w:rFonts w:cstheme="minorHAnsi"/>
        </w:rPr>
      </w:pPr>
      <w:r>
        <w:lastRenderedPageBreak/>
        <w:t>M</w:t>
      </w:r>
      <w:r w:rsidR="008D4019" w:rsidRPr="005D546C">
        <w:t xml:space="preserve">ineral resources not related to infrastructural materials are estimated with </w:t>
      </w:r>
      <w:r w:rsidR="008D4019" w:rsidRPr="00D45D0B">
        <w:rPr>
          <w:rFonts w:cstheme="minorHAnsi"/>
        </w:rPr>
        <w:t xml:space="preserve">Equation </w:t>
      </w:r>
      <w:r w:rsidR="00D45D0B" w:rsidRPr="00D45D0B">
        <w:rPr>
          <w:rFonts w:cstheme="minorHAnsi"/>
        </w:rPr>
        <w:t>(28),</w:t>
      </w:r>
      <w:r w:rsidR="008D4019" w:rsidRPr="00D45D0B">
        <w:rPr>
          <w:rFonts w:cstheme="minorHAnsi"/>
        </w:rPr>
        <w:t xml:space="preserve"> only applied to quantify the extraction of potassium (</w:t>
      </w:r>
      <m:oMath>
        <m:r>
          <w:rPr>
            <w:rFonts w:ascii="Cambria Math" w:hAnsi="Cambria Math" w:cstheme="minorHAnsi"/>
          </w:rPr>
          <m:t>K</m:t>
        </m:r>
      </m:oMath>
      <w:r w:rsidR="008D4019" w:rsidRPr="00D45D0B">
        <w:rPr>
          <w:rFonts w:cstheme="minorHAnsi"/>
        </w:rPr>
        <w:t>), phosphorus (</w:t>
      </w:r>
      <m:oMath>
        <m:r>
          <w:rPr>
            <w:rFonts w:ascii="Cambria Math" w:hAnsi="Cambria Math" w:cstheme="minorHAnsi"/>
          </w:rPr>
          <m:t>P</m:t>
        </m:r>
      </m:oMath>
      <w:r w:rsidR="008D4019" w:rsidRPr="00D45D0B">
        <w:rPr>
          <w:rFonts w:cstheme="minorHAnsi"/>
        </w:rPr>
        <w:t>) and</w:t>
      </w:r>
      <w:r w:rsidR="008D4019" w:rsidRPr="005D546C">
        <w:rPr>
          <w:rFonts w:cstheme="minorHAnsi"/>
        </w:rPr>
        <w:t xml:space="preserve"> </w:t>
      </w:r>
      <w:r w:rsidR="008D4019" w:rsidRPr="00EB79EB">
        <w:rPr>
          <w:rFonts w:cstheme="minorHAnsi"/>
        </w:rPr>
        <w:t>magnesium (</w:t>
      </w:r>
      <m:oMath>
        <m:r>
          <w:rPr>
            <w:rFonts w:ascii="Cambria Math" w:hAnsi="Cambria Math" w:cstheme="minorHAnsi"/>
          </w:rPr>
          <m:t>Mg</m:t>
        </m:r>
      </m:oMath>
      <w:r w:rsidR="008D4019" w:rsidRPr="00EB79EB">
        <w:rPr>
          <w:rFonts w:cstheme="minorHAnsi"/>
        </w:rPr>
        <w:t>) in the</w:t>
      </w:r>
      <w:r w:rsidR="00BC1BED" w:rsidRPr="00EB79EB">
        <w:rPr>
          <w:rFonts w:cstheme="minorHAnsi"/>
        </w:rPr>
        <w:t xml:space="preserve"> Bioenergy with Carbon Capture and Storage</w:t>
      </w:r>
      <w:r w:rsidR="008D4019" w:rsidRPr="00EB79EB">
        <w:rPr>
          <w:rFonts w:cstheme="minorHAnsi"/>
        </w:rPr>
        <w:t xml:space="preserve"> </w:t>
      </w:r>
      <w:r w:rsidR="00353898" w:rsidRPr="00EB79EB">
        <w:rPr>
          <w:rFonts w:cstheme="minorHAnsi"/>
        </w:rPr>
        <w:t>(</w:t>
      </w:r>
      <m:oMath>
        <m:r>
          <w:rPr>
            <w:rFonts w:ascii="Cambria Math" w:hAnsi="Cambria Math" w:cstheme="minorHAnsi"/>
          </w:rPr>
          <m:t>BECCS</m:t>
        </m:r>
      </m:oMath>
      <w:r w:rsidR="00353898" w:rsidRPr="00EB79EB">
        <w:rPr>
          <w:rFonts w:cstheme="minorHAnsi"/>
        </w:rPr>
        <w:t>)</w:t>
      </w:r>
      <w:r w:rsidR="008D4019" w:rsidRPr="00EB79EB">
        <w:rPr>
          <w:rFonts w:cstheme="minorHAnsi"/>
        </w:rPr>
        <w:t xml:space="preserve"> and terrestrial NETPs </w:t>
      </w:r>
      <w:r w:rsidR="00EB79EB" w:rsidRPr="00EB79EB">
        <w:rPr>
          <w:rFonts w:cstheme="minorHAnsi"/>
        </w:rPr>
        <w:t>(</w:t>
      </w:r>
      <m:oMath>
        <m:r>
          <w:rPr>
            <w:rFonts w:ascii="Cambria Math" w:hAnsi="Cambria Math" w:cstheme="minorHAnsi"/>
          </w:rPr>
          <m:t>TERR</m:t>
        </m:r>
      </m:oMath>
      <w:r w:rsidR="00EB79EB" w:rsidRPr="00EB79EB">
        <w:rPr>
          <w:rFonts w:cstheme="minorHAnsi"/>
        </w:rPr>
        <w:t>)</w:t>
      </w:r>
      <w:r w:rsidR="008D4019" w:rsidRPr="00EB79EB">
        <w:rPr>
          <w:rFonts w:cstheme="minorHAnsi"/>
        </w:rPr>
        <w:t xml:space="preserve"> scenarios </w:t>
      </w:r>
      <w:r w:rsidR="008D4019" w:rsidRPr="0077503A">
        <w:rPr>
          <w:rFonts w:cstheme="minorHAnsi"/>
        </w:rPr>
        <w:t xml:space="preserve">(which demand these nutrients to meet the crop fertilizer requirements), and the extraction of </w:t>
      </w:r>
      <m:oMath>
        <m:r>
          <w:rPr>
            <w:rFonts w:ascii="Cambria Math" w:hAnsi="Cambria Math" w:cstheme="minorHAnsi"/>
          </w:rPr>
          <m:t>K</m:t>
        </m:r>
      </m:oMath>
      <w:r w:rsidR="008D4019" w:rsidRPr="0077503A">
        <w:rPr>
          <w:rFonts w:cstheme="minorHAnsi"/>
        </w:rPr>
        <w:t xml:space="preserve"> </w:t>
      </w:r>
      <w:r w:rsidR="008D4019" w:rsidRPr="00512562">
        <w:rPr>
          <w:rFonts w:cstheme="minorHAnsi"/>
        </w:rPr>
        <w:t xml:space="preserve">in the </w:t>
      </w:r>
      <w:r w:rsidR="00512562" w:rsidRPr="00512562">
        <w:rPr>
          <w:rFonts w:cstheme="minorHAnsi"/>
        </w:rPr>
        <w:t xml:space="preserve">High Temperature Liquid Sorbent </w:t>
      </w:r>
      <w:r w:rsidR="008D4019" w:rsidRPr="00512562">
        <w:rPr>
          <w:rFonts w:cstheme="minorHAnsi"/>
        </w:rPr>
        <w:t>(</w:t>
      </w:r>
      <m:oMath>
        <m:r>
          <w:rPr>
            <w:rFonts w:ascii="Cambria Math" w:hAnsi="Cambria Math" w:cstheme="minorHAnsi"/>
          </w:rPr>
          <m:t>HTLS</m:t>
        </m:r>
      </m:oMath>
      <w:r w:rsidR="008D4019" w:rsidRPr="00512562">
        <w:rPr>
          <w:rFonts w:cstheme="minorHAnsi"/>
        </w:rPr>
        <w:t xml:space="preserve">) </w:t>
      </w:r>
      <w:r w:rsidR="00A06EAF">
        <w:rPr>
          <w:rFonts w:cstheme="minorHAnsi"/>
        </w:rPr>
        <w:t xml:space="preserve">DACCS </w:t>
      </w:r>
      <w:r w:rsidR="008D4019" w:rsidRPr="0077503A">
        <w:rPr>
          <w:rFonts w:cstheme="minorHAnsi"/>
        </w:rPr>
        <w:t>scenarios consuming KOH solvent. Notably, the distinction we make between the resources related to infrastructur</w:t>
      </w:r>
      <w:r w:rsidR="00403875">
        <w:rPr>
          <w:rFonts w:cstheme="minorHAnsi"/>
        </w:rPr>
        <w:t>e</w:t>
      </w:r>
      <w:r w:rsidR="008D4019" w:rsidRPr="0077503A">
        <w:rPr>
          <w:rFonts w:cstheme="minorHAnsi"/>
        </w:rPr>
        <w:t xml:space="preserve"> and operating activities is based on the modeled foreground system; therefore, we could be miscalculating the extraction of mineral resources in some of the background activities, e.g., the mineral resources linked to the fertilizers used for bioenergy production in the background activities of the chemical NETPs scenarios will be quantified as infrastructure-related resources. However, this error is likely to be marginal since </w:t>
      </w:r>
      <w:r w:rsidR="00950332" w:rsidRPr="0077503A">
        <w:rPr>
          <w:rFonts w:cstheme="minorHAnsi"/>
        </w:rPr>
        <w:t>most</w:t>
      </w:r>
      <w:r w:rsidR="008D4019" w:rsidRPr="0077503A">
        <w:rPr>
          <w:rFonts w:cstheme="minorHAnsi"/>
        </w:rPr>
        <w:t xml:space="preserve"> mineral resources are linked to capital goods.</w:t>
      </w:r>
    </w:p>
    <w:tbl>
      <w:tblPr>
        <w:tblStyle w:val="Tablaconcuadrcula"/>
        <w:tblW w:w="8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797"/>
        <w:gridCol w:w="761"/>
      </w:tblGrid>
      <w:tr w:rsidR="005D546C" w:rsidRPr="005D546C" w14:paraId="759F47F7" w14:textId="77777777" w:rsidTr="00277094">
        <w:tc>
          <w:tcPr>
            <w:tcW w:w="7797" w:type="dxa"/>
          </w:tcPr>
          <w:p w14:paraId="146AACAC" w14:textId="06F8EA4A" w:rsidR="00277094" w:rsidRPr="00BA2AF0" w:rsidRDefault="00000000" w:rsidP="005D37FF">
            <w:pPr>
              <w:tabs>
                <w:tab w:val="left" w:pos="1880"/>
              </w:tabs>
              <w:spacing w:line="360" w:lineRule="auto"/>
              <w:jc w:val="center"/>
            </w:pPr>
            <m:oMathPara>
              <m:oMath>
                <m:sSub>
                  <m:sSubPr>
                    <m:ctrlPr>
                      <w:rPr>
                        <w:rFonts w:ascii="Cambria Math" w:eastAsia="Yu Mincho" w:hAnsi="Cambria Math" w:cs="Times New Roman"/>
                        <w:i/>
                      </w:rPr>
                    </m:ctrlPr>
                  </m:sSubPr>
                  <m:e>
                    <m:r>
                      <w:rPr>
                        <w:rFonts w:ascii="Cambria Math" w:eastAsia="Yu Mincho" w:hAnsi="Cambria Math" w:cs="Times New Roman"/>
                      </w:rPr>
                      <m:t>R</m:t>
                    </m:r>
                  </m:e>
                  <m:sub>
                    <m:r>
                      <w:rPr>
                        <w:rFonts w:ascii="Cambria Math" w:eastAsia="Yu Mincho" w:hAnsi="Cambria Math" w:cs="Times New Roman"/>
                      </w:rPr>
                      <m:t>i,r,y</m:t>
                    </m:r>
                  </m:sub>
                </m:sSub>
                <m:r>
                  <w:rPr>
                    <w:rFonts w:ascii="Cambria Math" w:eastAsia="Yu Mincho" w:hAnsi="Cambria Math" w:cs="Times New Roman"/>
                  </w:rPr>
                  <m:t>=</m:t>
                </m:r>
                <m:nary>
                  <m:naryPr>
                    <m:chr m:val="∑"/>
                    <m:limLoc m:val="undOvr"/>
                    <m:supHide m:val="1"/>
                    <m:ctrlPr>
                      <w:rPr>
                        <w:rFonts w:ascii="Cambria Math" w:eastAsia="Yu Mincho" w:hAnsi="Cambria Math" w:cs="Times New Roman"/>
                        <w:i/>
                      </w:rPr>
                    </m:ctrlPr>
                  </m:naryPr>
                  <m:sub>
                    <m:r>
                      <w:rPr>
                        <w:rFonts w:ascii="Cambria Math" w:eastAsia="Yu Mincho" w:hAnsi="Cambria Math" w:cs="Times New Roman"/>
                      </w:rPr>
                      <m:t>s</m:t>
                    </m:r>
                    <m:r>
                      <w:rPr>
                        <w:rFonts w:ascii="Cambria Math" w:eastAsia="Yu Mincho" w:hAnsi="Cambria Math" w:cs="Times New Roman"/>
                        <w:lang w:val="es-ES"/>
                      </w:rPr>
                      <m:t>∈</m:t>
                    </m:r>
                    <m:r>
                      <w:rPr>
                        <w:rFonts w:ascii="Cambria Math" w:eastAsia="Yu Mincho" w:hAnsi="Cambria Math" w:cs="Times New Roman"/>
                      </w:rPr>
                      <m:t>S</m:t>
                    </m:r>
                  </m:sub>
                  <m:sup/>
                  <m:e>
                    <m:nary>
                      <m:naryPr>
                        <m:chr m:val="∑"/>
                        <m:limLoc m:val="undOvr"/>
                        <m:supHide m:val="1"/>
                        <m:ctrlPr>
                          <w:rPr>
                            <w:rFonts w:ascii="Cambria Math" w:eastAsia="Yu Mincho" w:hAnsi="Cambria Math" w:cs="Times New Roman"/>
                            <w:i/>
                          </w:rPr>
                        </m:ctrlPr>
                      </m:naryPr>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OP</m:t>
                        </m:r>
                      </m:sub>
                      <m:sup/>
                      <m:e>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c</m:t>
                            </m:r>
                            <m:r>
                              <w:rPr>
                                <w:rFonts w:ascii="Cambria Math" w:eastAsia="Yu Mincho" w:hAnsi="Cambria Math" w:cs="Times New Roman"/>
                                <w:lang w:val="es-ES"/>
                              </w:rPr>
                              <m:t>,</m:t>
                            </m:r>
                            <m:r>
                              <w:rPr>
                                <w:rFonts w:ascii="Cambria Math" w:eastAsia="Yu Mincho" w:hAnsi="Cambria Math" w:cs="Times New Roman"/>
                              </w:rPr>
                              <m:t>i</m:t>
                            </m:r>
                            <m:r>
                              <w:rPr>
                                <w:rFonts w:ascii="Cambria Math" w:eastAsia="Yu Mincho" w:hAnsi="Cambria Math" w:cs="Times New Roman"/>
                                <w:lang w:val="es-ES"/>
                              </w:rPr>
                              <m:t>,</m:t>
                            </m:r>
                            <m:r>
                              <w:rPr>
                                <w:rFonts w:ascii="Cambria Math" w:eastAsia="Yu Mincho" w:hAnsi="Cambria Math" w:cs="Times New Roman"/>
                              </w:rPr>
                              <m:t>y</m:t>
                            </m:r>
                          </m:sub>
                        </m:sSub>
                        <m:r>
                          <w:rPr>
                            <w:rFonts w:ascii="Cambria Math" w:eastAsia="Yu Mincho" w:hAnsi="Cambria Math" w:cs="Times New Roman"/>
                            <w:lang w:val="es-ES"/>
                          </w:rPr>
                          <m:t>·</m:t>
                        </m:r>
                        <m:sSubSup>
                          <m:sSubSupPr>
                            <m:ctrlPr>
                              <w:rPr>
                                <w:rFonts w:ascii="Cambria Math" w:eastAsia="Yu Mincho" w:hAnsi="Cambria Math" w:cs="Times New Roman"/>
                                <w:i/>
                              </w:rPr>
                            </m:ctrlPr>
                          </m:sSubSupPr>
                          <m:e>
                            <m:r>
                              <w:rPr>
                                <w:rFonts w:ascii="Cambria Math" w:eastAsia="Yu Mincho" w:hAnsi="Cambria Math" w:cs="Times New Roman"/>
                              </w:rPr>
                              <m:t>EF</m:t>
                            </m:r>
                          </m:e>
                          <m:sub>
                            <m:r>
                              <w:rPr>
                                <w:rFonts w:ascii="Cambria Math" w:eastAsia="Yu Mincho" w:hAnsi="Cambria Math" w:cs="Times New Roman"/>
                              </w:rPr>
                              <m:t>a</m:t>
                            </m:r>
                            <m:r>
                              <w:rPr>
                                <w:rFonts w:ascii="Cambria Math" w:eastAsia="Yu Mincho" w:hAnsi="Cambria Math" w:cs="Times New Roman"/>
                                <w:lang w:val="es-ES"/>
                              </w:rPr>
                              <m:t>,</m:t>
                            </m:r>
                            <m:r>
                              <w:rPr>
                                <w:rFonts w:ascii="Cambria Math" w:eastAsia="Yu Mincho" w:hAnsi="Cambria Math" w:cs="Times New Roman"/>
                              </w:rPr>
                              <m:t>s</m:t>
                            </m:r>
                          </m:sub>
                          <m:sup>
                            <m:r>
                              <w:rPr>
                                <w:rFonts w:ascii="Cambria Math" w:eastAsia="Yu Mincho" w:hAnsi="Cambria Math" w:cs="Times New Roman"/>
                              </w:rPr>
                              <m:t>BG</m:t>
                            </m:r>
                          </m:sup>
                        </m:sSubSup>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x</m:t>
                            </m:r>
                          </m:e>
                          <m:sub>
                            <m:r>
                              <w:rPr>
                                <w:rFonts w:ascii="Cambria Math" w:eastAsia="Yu Mincho" w:hAnsi="Cambria Math" w:cs="Times New Roman"/>
                              </w:rPr>
                              <m:t>r,s</m:t>
                            </m:r>
                          </m:sub>
                          <m:sup>
                            <m:r>
                              <w:rPr>
                                <w:rFonts w:ascii="Cambria Math" w:eastAsia="Yu Mincho" w:hAnsi="Cambria Math" w:cs="Times New Roman"/>
                              </w:rPr>
                              <m:t>MR</m:t>
                            </m:r>
                          </m:sup>
                        </m:sSubSup>
                      </m:e>
                    </m:nary>
                    <m:r>
                      <w:rPr>
                        <w:rFonts w:ascii="Cambria Math" w:eastAsia="Yu Mincho" w:hAnsi="Cambria Math" w:cs="Times New Roman"/>
                      </w:rPr>
                      <m:t xml:space="preserve">   </m:t>
                    </m:r>
                    <m:r>
                      <w:rPr>
                        <w:rFonts w:ascii="Cambria Math" w:eastAsia="Calibri" w:hAnsi="Cambria Math" w:cs="Calibri"/>
                      </w:rPr>
                      <m:t>∀ c=end</m:t>
                    </m:r>
                    <m:r>
                      <m:rPr>
                        <m:sty m:val="bi"/>
                      </m:rPr>
                      <w:rPr>
                        <w:rFonts w:ascii="Cambria Math" w:eastAsia="Calibri" w:hAnsi="Cambria Math" w:cs="Calibri"/>
                      </w:rPr>
                      <m:t>,</m:t>
                    </m:r>
                    <m:r>
                      <w:rPr>
                        <w:rFonts w:ascii="Cambria Math" w:eastAsia="Calibri" w:hAnsi="Cambria Math" w:cs="Calibri"/>
                      </w:rPr>
                      <m:t xml:space="preserve"> y∈Y</m:t>
                    </m:r>
                  </m:e>
                </m:nary>
                <m:r>
                  <w:rPr>
                    <w:rFonts w:ascii="Cambria Math" w:eastAsia="Yu Mincho" w:hAnsi="Cambria Math" w:cs="Times New Roman"/>
                  </w:rPr>
                  <m:t xml:space="preserve"> </m:t>
                </m:r>
              </m:oMath>
            </m:oMathPara>
          </w:p>
          <w:p w14:paraId="5B6EEF84" w14:textId="0B6E991E" w:rsidR="00277094" w:rsidRPr="00BA2AF0" w:rsidRDefault="00277094" w:rsidP="005D37FF">
            <w:pPr>
              <w:tabs>
                <w:tab w:val="left" w:pos="1880"/>
              </w:tabs>
              <w:spacing w:line="360" w:lineRule="auto"/>
              <w:jc w:val="center"/>
              <w:rPr>
                <w:rFonts w:ascii="Calibri" w:eastAsia="Yu Mincho" w:hAnsi="Calibri" w:cs="Times New Roman"/>
              </w:rPr>
            </w:pPr>
            <m:oMathPara>
              <m:oMath>
                <m:r>
                  <w:rPr>
                    <w:rFonts w:ascii="Cambria Math" w:eastAsia="Calibri" w:hAnsi="Cambria Math" w:cs="Calibri"/>
                  </w:rPr>
                  <m:t>∀</m:t>
                </m:r>
                <m:r>
                  <w:rPr>
                    <w:rFonts w:ascii="Cambria Math" w:hAnsi="Cambria Math"/>
                  </w:rPr>
                  <m:t xml:space="preserve"> i,r | </m:t>
                </m:r>
                <m:d>
                  <m:dPr>
                    <m:ctrlPr>
                      <w:rPr>
                        <w:rFonts w:ascii="Cambria Math" w:hAnsi="Cambria Math"/>
                        <w:i/>
                      </w:rPr>
                    </m:ctrlPr>
                  </m:dPr>
                  <m:e>
                    <m:d>
                      <m:dPr>
                        <m:ctrlPr>
                          <w:rPr>
                            <w:rFonts w:ascii="Cambria Math" w:hAnsi="Cambria Math"/>
                            <w:i/>
                          </w:rPr>
                        </m:ctrlPr>
                      </m:dPr>
                      <m:e>
                        <m:r>
                          <w:rPr>
                            <w:rFonts w:ascii="Cambria Math" w:hAnsi="Cambria Math"/>
                          </w:rPr>
                          <m:t xml:space="preserve">( </m:t>
                        </m:r>
                        <m:r>
                          <w:rPr>
                            <w:rFonts w:ascii="Cambria Math" w:eastAsia="Calibri" w:hAnsi="Cambria Math" w:cs="Calibri"/>
                          </w:rPr>
                          <m:t>r</m:t>
                        </m:r>
                        <m:r>
                          <w:rPr>
                            <w:rFonts w:ascii="Cambria Math" w:hAnsi="Cambria Math" w:cstheme="minorHAnsi"/>
                          </w:rPr>
                          <m:t>=K, P, Mg</m:t>
                        </m:r>
                      </m:e>
                    </m:d>
                    <m:r>
                      <w:rPr>
                        <w:rFonts w:ascii="Cambria Math" w:hAnsi="Cambria Math"/>
                      </w:rPr>
                      <m:t xml:space="preserve"> ⋀ </m:t>
                    </m:r>
                    <m:d>
                      <m:dPr>
                        <m:ctrlPr>
                          <w:rPr>
                            <w:rFonts w:ascii="Cambria Math" w:hAnsi="Cambria Math"/>
                            <w:i/>
                          </w:rPr>
                        </m:ctrlPr>
                      </m:dPr>
                      <m:e>
                        <m:r>
                          <w:rPr>
                            <w:rFonts w:ascii="Cambria Math" w:hAnsi="Cambria Math"/>
                          </w:rPr>
                          <m:t>i ∈BECCS, TERR</m:t>
                        </m:r>
                      </m:e>
                    </m:d>
                  </m:e>
                </m:d>
                <m:r>
                  <w:rPr>
                    <w:rFonts w:ascii="Cambria Math" w:hAnsi="Cambria Math"/>
                  </w:rPr>
                  <m:t xml:space="preserve"> ⋁ </m:t>
                </m:r>
                <m:r>
                  <w:rPr>
                    <w:rFonts w:ascii="Cambria Math" w:eastAsia="Calibri" w:hAnsi="Cambria Math" w:cs="Calibri"/>
                  </w:rPr>
                  <m:t>(r</m:t>
                </m:r>
                <m:r>
                  <w:rPr>
                    <w:rFonts w:ascii="Cambria Math" w:hAnsi="Cambria Math" w:cstheme="minorHAnsi"/>
                  </w:rPr>
                  <m:t>=K ⋀</m:t>
                </m:r>
                <m:r>
                  <w:rPr>
                    <w:rFonts w:ascii="Cambria Math" w:hAnsi="Cambria Math"/>
                  </w:rPr>
                  <m:t xml:space="preserve"> i∈HTLS))</m:t>
                </m:r>
              </m:oMath>
            </m:oMathPara>
          </w:p>
        </w:tc>
        <w:tc>
          <w:tcPr>
            <w:tcW w:w="761" w:type="dxa"/>
            <w:shd w:val="clear" w:color="auto" w:fill="auto"/>
          </w:tcPr>
          <w:p w14:paraId="49E77B29" w14:textId="77777777" w:rsidR="00277094" w:rsidRPr="00BA2AF0" w:rsidRDefault="00277094" w:rsidP="005D37FF">
            <w:pPr>
              <w:spacing w:line="360" w:lineRule="auto"/>
              <w:jc w:val="right"/>
              <w:rPr>
                <w:sz w:val="4"/>
                <w:szCs w:val="4"/>
              </w:rPr>
            </w:pPr>
          </w:p>
          <w:p w14:paraId="506CB66D" w14:textId="43006D0B" w:rsidR="00277094" w:rsidRPr="00BA2AF0" w:rsidRDefault="00277094" w:rsidP="005D37FF">
            <w:pPr>
              <w:spacing w:line="360" w:lineRule="auto"/>
              <w:jc w:val="right"/>
              <w:rPr>
                <w:sz w:val="8"/>
                <w:szCs w:val="8"/>
                <w:lang w:val="es-ES"/>
              </w:rPr>
            </w:pPr>
            <w:r w:rsidRPr="00D45D0B">
              <w:t>(</w:t>
            </w:r>
            <w:r w:rsidR="004D0620" w:rsidRPr="00D45D0B">
              <w:t>28</w:t>
            </w:r>
            <w:r w:rsidRPr="00D45D0B">
              <w:rPr>
                <w:sz w:val="20"/>
                <w:szCs w:val="20"/>
              </w:rPr>
              <w:t>)</w:t>
            </w:r>
          </w:p>
        </w:tc>
      </w:tr>
      <w:tr w:rsidR="00BA3044" w:rsidRPr="005D546C" w14:paraId="3C4D576A" w14:textId="77777777" w:rsidTr="00277094">
        <w:tc>
          <w:tcPr>
            <w:tcW w:w="7797" w:type="dxa"/>
          </w:tcPr>
          <w:p w14:paraId="516FD341" w14:textId="77777777" w:rsidR="00BA3044" w:rsidRDefault="00BA3044" w:rsidP="005D37FF">
            <w:pPr>
              <w:tabs>
                <w:tab w:val="left" w:pos="1880"/>
              </w:tabs>
              <w:spacing w:line="360" w:lineRule="auto"/>
              <w:jc w:val="center"/>
              <w:rPr>
                <w:rFonts w:ascii="Calibri" w:eastAsia="Yu Mincho" w:hAnsi="Calibri" w:cs="Calibri"/>
              </w:rPr>
            </w:pPr>
          </w:p>
        </w:tc>
        <w:tc>
          <w:tcPr>
            <w:tcW w:w="761" w:type="dxa"/>
            <w:shd w:val="clear" w:color="auto" w:fill="auto"/>
          </w:tcPr>
          <w:p w14:paraId="4A085262" w14:textId="77777777" w:rsidR="00BA3044" w:rsidRPr="00BA2AF0" w:rsidRDefault="00BA3044" w:rsidP="005D37FF">
            <w:pPr>
              <w:spacing w:line="360" w:lineRule="auto"/>
              <w:jc w:val="right"/>
              <w:rPr>
                <w:sz w:val="4"/>
                <w:szCs w:val="4"/>
              </w:rPr>
            </w:pPr>
          </w:p>
        </w:tc>
      </w:tr>
    </w:tbl>
    <w:p w14:paraId="0466FB17" w14:textId="77777777" w:rsidR="00BA3044" w:rsidRDefault="00BA3044">
      <w:pPr>
        <w:rPr>
          <w:rFonts w:eastAsiaTheme="majorEastAsia" w:cstheme="minorHAnsi"/>
          <w:b/>
          <w:bCs/>
          <w:sz w:val="24"/>
          <w:szCs w:val="24"/>
        </w:rPr>
      </w:pPr>
      <w:bookmarkStart w:id="6" w:name="_Toc194330851"/>
      <w:r>
        <w:rPr>
          <w:rFonts w:cstheme="minorHAnsi"/>
          <w:b/>
          <w:bCs/>
          <w:sz w:val="24"/>
          <w:szCs w:val="24"/>
        </w:rPr>
        <w:br w:type="page"/>
      </w:r>
    </w:p>
    <w:p w14:paraId="1B0F683F" w14:textId="5DA7AB64" w:rsidR="00705FBA" w:rsidRPr="002E39D6" w:rsidRDefault="007B7988" w:rsidP="002E39D6">
      <w:pPr>
        <w:pStyle w:val="Ttulo1"/>
        <w:rPr>
          <w:rFonts w:asciiTheme="minorHAnsi" w:hAnsiTheme="minorHAnsi" w:cstheme="minorHAnsi"/>
          <w:b/>
          <w:bCs/>
        </w:rPr>
      </w:pPr>
      <w:r>
        <w:rPr>
          <w:rFonts w:asciiTheme="minorHAnsi" w:hAnsiTheme="minorHAnsi" w:cstheme="minorHAnsi"/>
          <w:b/>
          <w:bCs/>
          <w:color w:val="auto"/>
          <w:sz w:val="24"/>
          <w:szCs w:val="24"/>
        </w:rPr>
        <w:lastRenderedPageBreak/>
        <w:t>3</w:t>
      </w:r>
      <w:r w:rsidR="00705FBA" w:rsidRPr="00B32721">
        <w:rPr>
          <w:rFonts w:asciiTheme="minorHAnsi" w:hAnsiTheme="minorHAnsi" w:cstheme="minorHAnsi"/>
          <w:b/>
          <w:bCs/>
          <w:color w:val="auto"/>
          <w:sz w:val="24"/>
          <w:szCs w:val="24"/>
        </w:rPr>
        <w:t>. Life cycle models</w:t>
      </w:r>
      <w:bookmarkEnd w:id="6"/>
    </w:p>
    <w:p w14:paraId="482AB18F" w14:textId="71831411" w:rsidR="007770F7" w:rsidRPr="00B32721" w:rsidRDefault="007770F7" w:rsidP="00B32721">
      <w:pPr>
        <w:spacing w:before="240" w:line="360" w:lineRule="auto"/>
        <w:jc w:val="both"/>
      </w:pPr>
      <w:r w:rsidRPr="00B32721">
        <w:t xml:space="preserve">In </w:t>
      </w:r>
      <w:r w:rsidR="003E11B3" w:rsidRPr="00B32721">
        <w:t xml:space="preserve">this section we describe the </w:t>
      </w:r>
      <w:r w:rsidR="00C6367E" w:rsidRPr="00B32721">
        <w:t xml:space="preserve">studied </w:t>
      </w:r>
      <w:r w:rsidR="00B32721" w:rsidRPr="00B32721">
        <w:t>NETPs,</w:t>
      </w:r>
      <w:r w:rsidR="00C6367E" w:rsidRPr="00B32721">
        <w:t xml:space="preserve"> and </w:t>
      </w:r>
      <w:r w:rsidR="000C0B1F" w:rsidRPr="00B32721">
        <w:t xml:space="preserve">the </w:t>
      </w:r>
      <w:r w:rsidR="00584F36" w:rsidRPr="00B32721">
        <w:t>assumptions</w:t>
      </w:r>
      <w:r w:rsidR="003E11B3" w:rsidRPr="00B32721">
        <w:t xml:space="preserve"> and data </w:t>
      </w:r>
      <w:r w:rsidR="00584F36" w:rsidRPr="00B32721">
        <w:t xml:space="preserve">sources </w:t>
      </w:r>
      <w:r w:rsidR="000C0B1F" w:rsidRPr="00B32721">
        <w:t>used in our models</w:t>
      </w:r>
      <w:r w:rsidR="00584F36" w:rsidRPr="00B32721">
        <w:t xml:space="preserve">. </w:t>
      </w:r>
      <w:r w:rsidR="002B3FFA" w:rsidRPr="00B32721">
        <w:t>The life cycle inventories</w:t>
      </w:r>
      <w:r w:rsidR="000519B4" w:rsidRPr="00B32721">
        <w:t>, based on global market activities,</w:t>
      </w:r>
      <w:r w:rsidR="00E26959" w:rsidRPr="00B32721">
        <w:t xml:space="preserve"> are compiled in </w:t>
      </w:r>
      <w:r w:rsidR="00535EC4">
        <w:t xml:space="preserve">the </w:t>
      </w:r>
      <w:r w:rsidR="00E26959" w:rsidRPr="00CB1FC4">
        <w:t xml:space="preserve">Supplementary Data </w:t>
      </w:r>
      <w:r w:rsidR="00535EC4" w:rsidRPr="00CB1FC4">
        <w:t>file</w:t>
      </w:r>
      <w:r w:rsidR="00E26959" w:rsidRPr="00CB1FC4">
        <w:t>.</w:t>
      </w:r>
      <w:r w:rsidR="00E26959" w:rsidRPr="00B32721">
        <w:t xml:space="preserve"> </w:t>
      </w:r>
    </w:p>
    <w:p w14:paraId="71CA045B" w14:textId="77777777" w:rsidR="00364E62" w:rsidRDefault="00364E62" w:rsidP="0059499B">
      <w:pPr>
        <w:rPr>
          <w:b/>
          <w:bCs/>
        </w:rPr>
      </w:pPr>
    </w:p>
    <w:p w14:paraId="6AE77384" w14:textId="25D929EA" w:rsidR="00705FBA" w:rsidRPr="00904D43" w:rsidRDefault="007B7988" w:rsidP="00B04EEA">
      <w:pPr>
        <w:pStyle w:val="Ttulo2"/>
        <w:spacing w:after="240"/>
        <w:rPr>
          <w:rFonts w:asciiTheme="minorHAnsi" w:hAnsiTheme="minorHAnsi" w:cstheme="minorHAnsi"/>
          <w:b/>
          <w:bCs/>
          <w:color w:val="auto"/>
          <w:sz w:val="22"/>
          <w:szCs w:val="22"/>
        </w:rPr>
      </w:pPr>
      <w:bookmarkStart w:id="7" w:name="_Toc194330852"/>
      <w:r>
        <w:rPr>
          <w:rFonts w:asciiTheme="minorHAnsi" w:hAnsiTheme="minorHAnsi" w:cstheme="minorHAnsi"/>
          <w:b/>
          <w:bCs/>
          <w:color w:val="auto"/>
          <w:sz w:val="22"/>
          <w:szCs w:val="22"/>
        </w:rPr>
        <w:t>3</w:t>
      </w:r>
      <w:r w:rsidR="00DC3BD0" w:rsidRPr="00904D43">
        <w:rPr>
          <w:rFonts w:asciiTheme="minorHAnsi" w:hAnsiTheme="minorHAnsi" w:cstheme="minorHAnsi"/>
          <w:b/>
          <w:bCs/>
          <w:color w:val="auto"/>
          <w:sz w:val="22"/>
          <w:szCs w:val="22"/>
        </w:rPr>
        <w:t>.1 Direct Air Carbon Capture and Storage</w:t>
      </w:r>
      <w:bookmarkEnd w:id="7"/>
    </w:p>
    <w:p w14:paraId="769C2460" w14:textId="535FB77D" w:rsidR="009D328D" w:rsidRDefault="009D328D" w:rsidP="002F6054">
      <w:pPr>
        <w:spacing w:line="360" w:lineRule="auto"/>
        <w:jc w:val="both"/>
        <w:rPr>
          <w:rFonts w:cstheme="minorHAnsi"/>
        </w:rPr>
      </w:pPr>
      <w:r>
        <w:t>We focus on two DACCS archetypes</w:t>
      </w:r>
      <w:r>
        <w:rPr>
          <w:color w:val="FF0000"/>
        </w:rPr>
        <w:t xml:space="preserve">: </w:t>
      </w:r>
      <w:r w:rsidRPr="00B92027">
        <w:rPr>
          <w:rFonts w:cstheme="minorHAnsi"/>
        </w:rPr>
        <w:t>High</w:t>
      </w:r>
      <w:r w:rsidR="00096547">
        <w:rPr>
          <w:rFonts w:cstheme="minorHAnsi"/>
        </w:rPr>
        <w:t xml:space="preserve"> </w:t>
      </w:r>
      <w:r w:rsidRPr="00B92027">
        <w:rPr>
          <w:rFonts w:cstheme="minorHAnsi"/>
        </w:rPr>
        <w:t>Temperature Liquid Sorbent</w:t>
      </w:r>
      <w:r w:rsidR="00096547">
        <w:rPr>
          <w:rFonts w:cstheme="minorHAnsi"/>
        </w:rPr>
        <w:t xml:space="preserve"> (HTLS)</w:t>
      </w:r>
      <w:r>
        <w:rPr>
          <w:rFonts w:cstheme="minorHAnsi"/>
        </w:rPr>
        <w:t xml:space="preserve"> and </w:t>
      </w:r>
      <w:r w:rsidRPr="00CB1FC4">
        <w:rPr>
          <w:rFonts w:cstheme="minorHAnsi"/>
        </w:rPr>
        <w:t>Low Temperature Solid Sorbent (LTSS</w:t>
      </w:r>
      <w:r w:rsidR="00D01855">
        <w:rPr>
          <w:rFonts w:cstheme="minorHAnsi"/>
        </w:rPr>
        <w:t xml:space="preserve">) because </w:t>
      </w:r>
      <w:r w:rsidR="00424C15">
        <w:rPr>
          <w:rFonts w:cstheme="minorHAnsi"/>
        </w:rPr>
        <w:t xml:space="preserve">they </w:t>
      </w:r>
      <w:r w:rsidR="00E85422">
        <w:rPr>
          <w:rFonts w:cstheme="minorHAnsi"/>
        </w:rPr>
        <w:t xml:space="preserve">currently </w:t>
      </w:r>
      <w:r w:rsidR="00096547">
        <w:rPr>
          <w:rFonts w:cstheme="minorHAnsi"/>
        </w:rPr>
        <w:t>dominate the</w:t>
      </w:r>
      <w:r w:rsidR="001A6503">
        <w:rPr>
          <w:rFonts w:cstheme="minorHAnsi"/>
        </w:rPr>
        <w:t xml:space="preserve"> </w:t>
      </w:r>
      <w:r w:rsidR="00444F29">
        <w:rPr>
          <w:rFonts w:cstheme="minorHAnsi"/>
        </w:rPr>
        <w:t xml:space="preserve">DACCS </w:t>
      </w:r>
      <w:r w:rsidR="001A6503">
        <w:rPr>
          <w:rFonts w:cstheme="minorHAnsi"/>
        </w:rPr>
        <w:t>market</w:t>
      </w:r>
      <w:r w:rsidR="004F6122">
        <w:rPr>
          <w:rFonts w:cstheme="minorHAnsi"/>
        </w:rPr>
        <w:t xml:space="preserve"> and have</w:t>
      </w:r>
      <w:r w:rsidR="00B113AD">
        <w:rPr>
          <w:rFonts w:cstheme="minorHAnsi"/>
        </w:rPr>
        <w:t xml:space="preserve"> achieved</w:t>
      </w:r>
      <w:r w:rsidR="004F6122">
        <w:rPr>
          <w:rFonts w:cstheme="minorHAnsi"/>
        </w:rPr>
        <w:t xml:space="preserve"> the </w:t>
      </w:r>
      <w:r w:rsidR="00444F29">
        <w:rPr>
          <w:rFonts w:cstheme="minorHAnsi"/>
        </w:rPr>
        <w:t xml:space="preserve">highest </w:t>
      </w:r>
      <w:r w:rsidR="00B113AD">
        <w:rPr>
          <w:rFonts w:cstheme="minorHAnsi"/>
        </w:rPr>
        <w:t>Technology Readiness Levels (</w:t>
      </w:r>
      <w:r w:rsidR="00444F29">
        <w:rPr>
          <w:rFonts w:cstheme="minorHAnsi"/>
        </w:rPr>
        <w:t>TRLs</w:t>
      </w:r>
      <w:r w:rsidR="00B113AD">
        <w:rPr>
          <w:rFonts w:cstheme="minorHAnsi"/>
        </w:rPr>
        <w:t>)</w:t>
      </w:r>
      <w:r w:rsidR="0017575C">
        <w:rPr>
          <w:rFonts w:cstheme="minorHAnsi"/>
        </w:rPr>
        <w:t xml:space="preserve"> among DACCS technologies</w:t>
      </w:r>
      <w:r w:rsidR="00FB2BBB">
        <w:rPr>
          <w:rFonts w:cstheme="minorHAnsi"/>
        </w:rPr>
        <w:fldChar w:fldCharType="begin"/>
      </w:r>
      <w:r w:rsidR="00971A76">
        <w:rPr>
          <w:rFonts w:cstheme="minorHAnsi"/>
        </w:rPr>
        <w:instrText xml:space="preserve"> ADDIN ZOTERO_ITEM CSL_CITATION {"citationID":"RUalqbkZ","properties":{"formattedCitation":"\\super 18\\nosupersub{}","plainCitation":"18","noteIndex":0},"citationItems":[{"id":1,"uris":["http://zotero.org/users/14213812/items/M8F63ZGT"],"itemData":{"id":1,"type":"article-journal","abstract":"Most climate change mitigation scenarios restricting global warming to 1.5 °C rely heavily on negative emissions technologies and practices (NETPs). Here we updated previous literature reviews and conducted an analysis to identify the most appealing NETPs. We evaluated 36 NETPs configurations considering their technical maturity, economic feasibility, greenhouse gas removal potential, resource use, and environmental impacts. We found multiple trade-offs among these indicators, which suggests that a regionalised portfolio of NETPs exploiting their complementary strengths is the way forward. Although no single NETP is superior to the others in terms of all the indicators simultaneously, we identified 16 Pareto-efficient NETPs. Among them, six are deemed particularly promising: forestation, soil carbon sequestration (SCS), enhanced weathering with olivine and three modalities of direct air carbon capture and storage (DACCS). While the co-benefits, lower costs and higher maturity levels of forestation and SCS can propel their rapid deployment, these NETPs require continuous monitoring to reduce unintended side-effects—most notably the release of the stored carbon. Enhanced weathering also shows an overall good performance and substantial co-benefits, but its risks—especially those concerning human health—should be further investigated prior to deployment. DACCS presents significantly fewer side-effects, mainly its substantial energy demand; early investments in this NETP could reduce costs and accelerate its scale-up. Our insights can help guide future research and plan for the sustainable scale-up of NETPs, which we must set into motion within this decade.","container-title":"Environmental Research Letters","DOI":"10.1088/1748-9326/acacb3","ISSN":"1748-9326","issue":"2","journalAbbreviation":"Environ. Res. Lett.","language":"en","note":"publisher: IOP Publishing","page":"023001","source":"Institute of Physics","title":"Sustainable scale-up of negative emissions technologies and practices: where to focus","title-short":"Sustainable scale-up of negative emissions technologies and practices","volume":"18","author":[{"family":"Cobo","given":"Selene"},{"family":"Negri","given":"Valentina"},{"family":"Valente","given":"Antonio"},{"family":"Reiner","given":"David M."},{"family":"Hamelin","given":"Lorie"},{"family":"Dowell","given":"Niall Mac"},{"family":"Guillén-Gosálbez","given":"Gonzalo"}],"issued":{"date-parts":[["2023",1]]}}}],"schema":"https://github.com/citation-style-language/schema/raw/master/csl-citation.json"} </w:instrText>
      </w:r>
      <w:r w:rsidR="00FB2BBB">
        <w:rPr>
          <w:rFonts w:cstheme="minorHAnsi"/>
        </w:rPr>
        <w:fldChar w:fldCharType="separate"/>
      </w:r>
      <w:r w:rsidR="00971A76" w:rsidRPr="00971A76">
        <w:rPr>
          <w:rFonts w:ascii="Calibri" w:hAnsi="Calibri" w:cs="Calibri"/>
          <w:vertAlign w:val="superscript"/>
        </w:rPr>
        <w:t>18</w:t>
      </w:r>
      <w:r w:rsidR="00FB2BBB">
        <w:rPr>
          <w:rFonts w:cstheme="minorHAnsi"/>
        </w:rPr>
        <w:fldChar w:fldCharType="end"/>
      </w:r>
      <w:r w:rsidR="00444F29">
        <w:rPr>
          <w:rFonts w:cstheme="minorHAnsi"/>
        </w:rPr>
        <w:t xml:space="preserve">. </w:t>
      </w:r>
    </w:p>
    <w:p w14:paraId="5A4FA2B2" w14:textId="2962DB72" w:rsidR="002A69A6" w:rsidRPr="00CB1FC4" w:rsidRDefault="002F6054" w:rsidP="002F6054">
      <w:pPr>
        <w:spacing w:line="360" w:lineRule="auto"/>
        <w:jc w:val="both"/>
        <w:rPr>
          <w:rFonts w:cstheme="minorHAnsi"/>
        </w:rPr>
      </w:pPr>
      <w:r w:rsidRPr="00B92027">
        <w:t>The</w:t>
      </w:r>
      <w:r w:rsidRPr="00B92027">
        <w:rPr>
          <w:rFonts w:cstheme="minorHAnsi"/>
        </w:rPr>
        <w:t xml:space="preserve"> HTLS-DACCS system is modeled after </w:t>
      </w:r>
      <w:r>
        <w:rPr>
          <w:rFonts w:cstheme="minorHAnsi"/>
        </w:rPr>
        <w:t xml:space="preserve">the company </w:t>
      </w:r>
      <w:r w:rsidRPr="009B3767">
        <w:rPr>
          <w:rFonts w:cstheme="minorHAnsi"/>
          <w:i/>
          <w:iCs/>
        </w:rPr>
        <w:t>Carbon Engineering</w:t>
      </w:r>
      <w:r w:rsidRPr="00545D65">
        <w:rPr>
          <w:rFonts w:cstheme="minorHAnsi"/>
        </w:rPr>
        <w:t>’</w:t>
      </w:r>
      <w:r>
        <w:rPr>
          <w:rFonts w:cstheme="minorHAnsi"/>
        </w:rPr>
        <w:t>s process based on two connected chemical loops</w:t>
      </w:r>
      <w:r w:rsidR="00877D91" w:rsidRPr="00086480">
        <w:rPr>
          <w:rFonts w:cstheme="minorHAnsi"/>
        </w:rPr>
        <w:fldChar w:fldCharType="begin" w:fldLock="1"/>
      </w:r>
      <w:r w:rsidR="00971A76">
        <w:rPr>
          <w:rFonts w:cstheme="minorHAnsi"/>
        </w:rPr>
        <w:instrText xml:space="preserve"> ADDIN ZOTERO_ITEM CSL_CITATION {"citationID":"D7iTMRdL","properties":{"formattedCitation":"\\super 19\\nosupersub{}","plainCitation":"19","noteIndex":0},"citationItems":[{"id":1357,"uris":["http://www.mendeley.com/documents/?uuid=834d05c0-1de7-48d9-b23d-428a248f6afd","http://zotero.org/users/14213812/items/MKWEAZ8D"],"itemData":{"id":1357,"type":"article-journal","abstract":"We describe a process for capturing CO2 from the atmosphere in an industrial plant. The design captures </w:instrText>
      </w:r>
      <w:r w:rsidR="00971A76">
        <w:rPr>
          <w:rFonts w:ascii="Cambria Math" w:hAnsi="Cambria Math" w:cs="Cambria Math"/>
        </w:rPr>
        <w:instrText>∼</w:instrText>
      </w:r>
      <w:r w:rsidR="00971A76">
        <w:rPr>
          <w:rFonts w:cstheme="minorHAnsi"/>
        </w:rPr>
        <w:instrText xml:space="preserve">1 Mt-CO2/year in a continuous process using an aqueous KOH sorbent coupled to a calcium caustic recovery loop. We describe the design rationale, summarize performance of the major unit operations, and provide a capital cost breakdown developed with an independent consulting engineering firm. We report results from a pilot plant that provides data on performance of the major unit operations. We summarize the energy and material balance computed using an Aspen process simulation. When CO2 is delivered at 15 MPa, the design requires either 8.81 GJ of natural gas, or 5.25 GJ of gas and 366 kWhr of electricity, per ton of CO2 captured. Depending on financial assumptions, energy costs, and the specific choice of inputs and outputs, the levelized cost per ton CO2 captured from the atmosphere ranges from 94 to 232 $/t-CO2. An industrial process for large-scale capture of atmospheric CO2 (DAC) serves two roles. First, as a source of CO2 for making carbon-neutral hydrocarbon fuels, enabling carbon-free energy to be converted into high-energy-density fuels. Solar fuels, for example, may be produced at high-insolation low-cost locations from DAC-CO2 and electrolytic hydrogen using gas-to-liquids technology enabling decarbonization of difficult-to-electrify sectors such as aviation. And second, DAC with CO2 sequestration allows carbon removal. The feasibility of DAC has been disputed, in part, because publications have not provided sufficient engineering detail to allow independent evaluation of costs. We provide an engineering cost basis for a commercial DAC system for which all major components are either drawn from well-established commercial heritage or described in sufficient detail to allow assessment by third parties. This design reflects roughly 100 person-years of development by Carbon Engineering. First direct air capture paper for which all major components are either drawn from well-established commercial heritage or described in sufficient detail to allow assessment by third parties. Includes energy and materials balances, commercial engineering cost breakdown, and pilot plant data. When CO2 is delivered at 15 MPa, the design requires either 8.81 GJ of natural gas, or 5.25 GJ of gas and 366 kWhr of electricity, per ton of CO2 captured. Levelized cost per t-CO2 from atmosphere ranges from 94 to 232 $/t-CO2.","container-title":"Joule","DOI":"10.1016/j.joule.2018.05.006","ISSN":"25424351","issue":"8","note":"publisher: Elsevier Inc.","page":"1573-1594","title":"A Process for Capturing CO2 from the Atmosphere","volume":"2","author":[{"family":"Keith","given":"David W."},{"family":"Holmes","given":"Geoffrey"},{"family":"St. Angelo","given":"David"},{"family":"Heidel","given":"Kenton"}],"issued":{"date-parts":[["2018"]]}}}],"schema":"https://github.com/citation-style-language/schema/raw/master/csl-citation.json"} </w:instrText>
      </w:r>
      <w:r w:rsidR="00877D91" w:rsidRPr="00086480">
        <w:rPr>
          <w:rFonts w:cstheme="minorHAnsi"/>
        </w:rPr>
        <w:fldChar w:fldCharType="separate"/>
      </w:r>
      <w:r w:rsidR="00971A76" w:rsidRPr="00971A76">
        <w:rPr>
          <w:rFonts w:ascii="Calibri" w:hAnsi="Calibri" w:cs="Calibri"/>
          <w:vertAlign w:val="superscript"/>
        </w:rPr>
        <w:t>19</w:t>
      </w:r>
      <w:r w:rsidR="00877D91" w:rsidRPr="00086480">
        <w:rPr>
          <w:rFonts w:cstheme="minorHAnsi"/>
        </w:rPr>
        <w:fldChar w:fldCharType="end"/>
      </w:r>
      <w:r>
        <w:rPr>
          <w:rFonts w:cstheme="minorHAnsi"/>
        </w:rPr>
        <w:t>. Here, CO</w:t>
      </w:r>
      <w:r w:rsidRPr="006C1912">
        <w:rPr>
          <w:rFonts w:cstheme="minorHAnsi"/>
          <w:vertAlign w:val="subscript"/>
        </w:rPr>
        <w:t>2</w:t>
      </w:r>
      <w:r>
        <w:rPr>
          <w:rFonts w:cstheme="minorHAnsi"/>
        </w:rPr>
        <w:t xml:space="preserve"> is absorbed into a potassium hydroxide solution, thereby generating potassium carbonate that subsequently reacts with calcium hydroxide to form calcium carbonate. </w:t>
      </w:r>
      <w:r w:rsidRPr="00D1116F">
        <w:rPr>
          <w:rFonts w:cstheme="minorHAnsi"/>
        </w:rPr>
        <w:t>This is later decomposed in a calcination process releasing the captured CO</w:t>
      </w:r>
      <w:r w:rsidRPr="00D1116F">
        <w:rPr>
          <w:rFonts w:cstheme="minorHAnsi"/>
          <w:vertAlign w:val="subscript"/>
        </w:rPr>
        <w:t>2</w:t>
      </w:r>
      <w:r>
        <w:rPr>
          <w:rFonts w:cstheme="minorHAnsi"/>
        </w:rPr>
        <w:t xml:space="preserve">. We consider two </w:t>
      </w:r>
      <w:r w:rsidR="00CF3FAD">
        <w:rPr>
          <w:rFonts w:cstheme="minorHAnsi"/>
        </w:rPr>
        <w:t>systems</w:t>
      </w:r>
      <w:r>
        <w:rPr>
          <w:rFonts w:cstheme="minorHAnsi"/>
        </w:rPr>
        <w:t xml:space="preserve"> for the high temperature (</w:t>
      </w:r>
      <w:r>
        <w:t>≈</w:t>
      </w:r>
      <w:r>
        <w:rPr>
          <w:rFonts w:cstheme="minorHAnsi"/>
        </w:rPr>
        <w:t xml:space="preserve">900 </w:t>
      </w:r>
      <w:proofErr w:type="spellStart"/>
      <w:r w:rsidRPr="00D564C5">
        <w:rPr>
          <w:rFonts w:cstheme="minorHAnsi"/>
          <w:vertAlign w:val="superscript"/>
        </w:rPr>
        <w:t>o</w:t>
      </w:r>
      <w:r>
        <w:rPr>
          <w:rFonts w:cstheme="minorHAnsi"/>
        </w:rPr>
        <w:t>C</w:t>
      </w:r>
      <w:proofErr w:type="spellEnd"/>
      <w:r>
        <w:rPr>
          <w:rFonts w:cstheme="minorHAnsi"/>
        </w:rPr>
        <w:t>) calcination: oxy-fired with natural gas (emissions data from</w:t>
      </w:r>
      <w:r w:rsidR="00EE19CC">
        <w:rPr>
          <w:rFonts w:cstheme="minorHAnsi"/>
        </w:rPr>
        <w:t xml:space="preserve"> </w:t>
      </w:r>
      <w:r w:rsidR="0048368B" w:rsidRPr="00517B42">
        <w:rPr>
          <w:rFonts w:cstheme="minorHAnsi"/>
          <w:noProof/>
        </w:rPr>
        <w:fldChar w:fldCharType="begin" w:fldLock="1"/>
      </w:r>
      <w:r w:rsidR="00971A76">
        <w:rPr>
          <w:rFonts w:cstheme="minorHAnsi"/>
          <w:noProof/>
        </w:rPr>
        <w:instrText xml:space="preserve"> ADDIN ZOTERO_ITEM CSL_CITATION {"citationID":"Sxmvfr1l","properties":{"formattedCitation":"\\super 20,21\\nosupersub{}","plainCitation":"20,21","noteIndex":0},"citationItems":[{"id":1789,"uris":["http://www.mendeley.com/documents/?uuid=d7c8295c-3175-4548-81a2-37ad1284ac89","http://zotero.org/users/14213812/items/XGVPNY2Z"],"itemData":{"id":1789,"type":"chapter","container-title":"IPCC guidelines for national greenhouse gas inventories","event-place":"Hayama","publisher-place":"Hayama","title":"Chapter 2. Stationary combustion.","author":[{"family":"Gómez","given":"D.R.","dropping-particle":"et al."}],"issued":{"date-parts":[["2006"]]}}},{"id":1790,"uris":["http://www.mendeley.com/documents/?uuid=79c2878e-83de-4d13-a822-8c977968ca3f","http://zotero.org/users/14213812/items/2CEUHQZG"],"itemData":{"id":1790,"type":"chapter","container-title":"EMEP/EEA air pollutant emission inventory guidebook 2019","event-place":"Luxembourg","publisher-place":"Luxembourg","title":"Energy industries","author":[{"literal":"European Environment Agency"}],"issued":{"date-parts":[["2019"]]}}}],"schema":"https://github.com/citation-style-language/schema/raw/master/csl-citation.json"} </w:instrText>
      </w:r>
      <w:r w:rsidR="0048368B" w:rsidRPr="00517B42">
        <w:rPr>
          <w:rFonts w:cstheme="minorHAnsi"/>
          <w:noProof/>
        </w:rPr>
        <w:fldChar w:fldCharType="separate"/>
      </w:r>
      <w:r w:rsidR="00971A76" w:rsidRPr="00971A76">
        <w:rPr>
          <w:rFonts w:ascii="Calibri" w:hAnsi="Calibri" w:cs="Calibri"/>
          <w:vertAlign w:val="superscript"/>
        </w:rPr>
        <w:t>20,21</w:t>
      </w:r>
      <w:r w:rsidR="0048368B" w:rsidRPr="00517B42">
        <w:rPr>
          <w:rFonts w:cstheme="minorHAnsi"/>
          <w:noProof/>
        </w:rPr>
        <w:fldChar w:fldCharType="end"/>
      </w:r>
      <w:r>
        <w:rPr>
          <w:rFonts w:cstheme="minorHAnsi"/>
        </w:rPr>
        <w:t>) or electric</w:t>
      </w:r>
      <w:r w:rsidR="001579E8">
        <w:rPr>
          <w:rFonts w:cstheme="minorHAnsi"/>
        </w:rPr>
        <w:t>. The</w:t>
      </w:r>
      <w:r>
        <w:rPr>
          <w:rFonts w:cstheme="minorHAnsi"/>
        </w:rPr>
        <w:t xml:space="preserve"> </w:t>
      </w:r>
      <w:r w:rsidRPr="00CB1FC4">
        <w:rPr>
          <w:rFonts w:cstheme="minorHAnsi"/>
        </w:rPr>
        <w:t>electricity-to-heat efficiencies</w:t>
      </w:r>
      <w:r w:rsidR="001579E8" w:rsidRPr="00CB1FC4">
        <w:rPr>
          <w:rFonts w:cstheme="minorHAnsi"/>
        </w:rPr>
        <w:t xml:space="preserve"> in the latter</w:t>
      </w:r>
      <w:r w:rsidR="00A6466D" w:rsidRPr="00CB1FC4">
        <w:rPr>
          <w:rFonts w:cstheme="minorHAnsi"/>
        </w:rPr>
        <w:t xml:space="preserve"> are assumed to</w:t>
      </w:r>
      <w:r w:rsidRPr="00CB1FC4">
        <w:rPr>
          <w:rFonts w:cstheme="minorHAnsi"/>
        </w:rPr>
        <w:t xml:space="preserve"> rang</w:t>
      </w:r>
      <w:r w:rsidR="001579E8" w:rsidRPr="00CB1FC4">
        <w:rPr>
          <w:rFonts w:cstheme="minorHAnsi"/>
        </w:rPr>
        <w:t>e</w:t>
      </w:r>
      <w:r w:rsidRPr="00CB1FC4">
        <w:rPr>
          <w:rFonts w:cstheme="minorHAnsi"/>
        </w:rPr>
        <w:t xml:space="preserve"> from 80%</w:t>
      </w:r>
      <w:r w:rsidR="00337A22" w:rsidRPr="00CB1FC4">
        <w:rPr>
          <w:rFonts w:cstheme="minorHAnsi"/>
        </w:rPr>
        <w:fldChar w:fldCharType="begin" w:fldLock="1"/>
      </w:r>
      <w:r w:rsidR="00971A76">
        <w:rPr>
          <w:rFonts w:cstheme="minorHAnsi"/>
        </w:rPr>
        <w:instrText xml:space="preserve"> ADDIN ZOTERO_ITEM CSL_CITATION {"citationID":"QxVl0J2L","properties":{"formattedCitation":"\\super 22\\nosupersub{}","plainCitation":"22","noteIndex":0},"citationItems":[{"id":2885,"uris":["http://www.mendeley.com/documents/?uuid=6e5ccd2a-7017-30c6-9fa7-34addbca360c","http://zotero.org/users/14213812/items/GTYN2F65"],"itemData":{"id":2885,"type":"article-journal","abstract":"Direct air capture (DAC) separates carbon dioxide (CO2) from ambient air either chemically or physically. As such, it could be a potential climate mitigation tool when paired with geological sequestration of CO2 or downstream conversion to produce products with low life cycle carbon intensities. Of particular interest is the ability to pair CO2 from DAC with electrolytic hydrogen powered by renewable electricity to synthesize liquid hydrocarbons that can be used in transportation (often referred to as “e-fuels”). This presents a pathway additional to electric and fuel cell vehicles to harness renewable electricity for use in the transportation sector and may present an attractive opportunity as costs of renewable electricity and electrolysis equipment continue to fall. We conduct a life cycle assessment (LCA) of the greenhouse gas (GHG) emissions of a DAC system paired with Fischer–Tropsch synthesis (FTS) to produce transportation fuel (i.e., diesel). This is the first LCA study of a DAC-to-fuel process based on data from an operating DAC pilot plant. We estimate the system emits 0.51 gCO2e per gCO2 captured from air or 29 gCO2e per MJ FTS fuel combusted in the baseline scenario, in which the electricity emissions factor used in the process is relatively low. This carbon intensity (CI) is extremely sensitive to changes in the electricity emissions factor. We find that an electricity emissions factor of less than 139 g CO2e per kW h is required for this pathway to provide a climate benefit over conventional diesel fuel. If a low carbon source of electricity is used, this pathway can deliver transport fuels at a CI lower than conventional diesel production and several biofuel pathways. This analysis suggests that fuel synthesis facilities need to be located in regions with very low grid emissions factors, or preferentially, co-located with new-build renewable electricity.","container-title":"Sustainable Energy &amp; Fuels","DOI":"10.1039/C9SE00479C","ISSN":"2398-4902","issue":"6","note":"publisher: The Royal Society of Chemistry","page":"3129-3142","title":"A life cycle assessment of greenhouse gas emissions from direct air capture and Fischer–Tropsch fuel production","volume":"4","author":[{"family":"Liu","given":"Caroline M."},{"family":"Sandhu","given":"Navjot K."},{"family":"McCoy","given":"Sean T."},{"family":"Bergerson","given":"Joule A."}],"issued":{"date-parts":[["2020",6,2]]}}}],"schema":"https://github.com/citation-style-language/schema/raw/master/csl-citation.json"} </w:instrText>
      </w:r>
      <w:r w:rsidR="00337A22" w:rsidRPr="00CB1FC4">
        <w:rPr>
          <w:rFonts w:cstheme="minorHAnsi"/>
        </w:rPr>
        <w:fldChar w:fldCharType="separate"/>
      </w:r>
      <w:r w:rsidR="00971A76" w:rsidRPr="00971A76">
        <w:rPr>
          <w:rFonts w:ascii="Calibri" w:hAnsi="Calibri" w:cs="Calibri"/>
          <w:vertAlign w:val="superscript"/>
        </w:rPr>
        <w:t>22</w:t>
      </w:r>
      <w:r w:rsidR="00337A22" w:rsidRPr="00CB1FC4">
        <w:rPr>
          <w:rFonts w:cstheme="minorHAnsi"/>
        </w:rPr>
        <w:fldChar w:fldCharType="end"/>
      </w:r>
      <w:r w:rsidR="00337A22" w:rsidRPr="00CB1FC4">
        <w:rPr>
          <w:rFonts w:cstheme="minorHAnsi"/>
        </w:rPr>
        <w:t xml:space="preserve"> </w:t>
      </w:r>
      <w:r w:rsidRPr="00CB1FC4">
        <w:rPr>
          <w:rFonts w:cstheme="minorHAnsi"/>
        </w:rPr>
        <w:t>in 2020 to 90% in 2050</w:t>
      </w:r>
      <w:r w:rsidR="00DF7BA9" w:rsidRPr="00CB1FC4">
        <w:rPr>
          <w:rFonts w:cstheme="minorHAnsi"/>
        </w:rPr>
        <w:t xml:space="preserve">, which correspond to an annual improvement of </w:t>
      </w:r>
      <w:r w:rsidR="001579E8" w:rsidRPr="00CB1FC4">
        <w:rPr>
          <w:rFonts w:cstheme="minorHAnsi"/>
        </w:rPr>
        <w:t>0.39%</w:t>
      </w:r>
      <w:r w:rsidRPr="00CB1FC4">
        <w:rPr>
          <w:rFonts w:cstheme="minorHAnsi"/>
        </w:rPr>
        <w:t xml:space="preserve"> (</w:t>
      </w:r>
      <w:r w:rsidR="00E25DE1" w:rsidRPr="00CB1FC4">
        <w:rPr>
          <w:rFonts w:cstheme="minorHAnsi"/>
        </w:rPr>
        <w:t xml:space="preserve">Table 2.1 in the </w:t>
      </w:r>
      <w:r w:rsidRPr="00CB1FC4">
        <w:rPr>
          <w:rFonts w:cstheme="minorHAnsi"/>
        </w:rPr>
        <w:t xml:space="preserve">Supplementary Data </w:t>
      </w:r>
      <w:r w:rsidR="00E25DE1" w:rsidRPr="00CB1FC4">
        <w:rPr>
          <w:rFonts w:cstheme="minorHAnsi"/>
        </w:rPr>
        <w:t>file</w:t>
      </w:r>
      <w:r w:rsidRPr="00CB1FC4">
        <w:rPr>
          <w:rFonts w:cstheme="minorHAnsi"/>
        </w:rPr>
        <w:t xml:space="preserve">). While the process can operate continuously, we assume that the HTLS-DACCS plants have the capacity to store the intermediate chemical products during periods of renewable energy intermittency. </w:t>
      </w:r>
      <w:r w:rsidR="002A69A6" w:rsidRPr="00CB1FC4">
        <w:rPr>
          <w:rFonts w:cstheme="minorHAnsi"/>
        </w:rPr>
        <w:t>We considered start-up times of 1-3 hours for the HTLS-DACCS</w:t>
      </w:r>
      <w:r w:rsidR="00B07309" w:rsidRPr="00CB1FC4">
        <w:rPr>
          <w:rFonts w:cstheme="minorHAnsi"/>
        </w:rPr>
        <w:t xml:space="preserve"> </w:t>
      </w:r>
      <w:r w:rsidR="00CF3FAD" w:rsidRPr="00CB1FC4">
        <w:rPr>
          <w:rFonts w:cstheme="minorHAnsi"/>
        </w:rPr>
        <w:t>system</w:t>
      </w:r>
      <w:r w:rsidR="00B07309" w:rsidRPr="00CB1FC4">
        <w:rPr>
          <w:rFonts w:cstheme="minorHAnsi"/>
        </w:rPr>
        <w:t>s</w:t>
      </w:r>
      <w:r w:rsidR="002A69A6" w:rsidRPr="00CB1FC4">
        <w:rPr>
          <w:rFonts w:cstheme="minorHAnsi"/>
        </w:rPr>
        <w:t>, during which the</w:t>
      </w:r>
      <w:r w:rsidR="00E954FC" w:rsidRPr="00CB1FC4">
        <w:rPr>
          <w:rFonts w:cstheme="minorHAnsi"/>
        </w:rPr>
        <w:t xml:space="preserve"> facility is not operating </w:t>
      </w:r>
      <w:r w:rsidR="00B161F2" w:rsidRPr="00CB1FC4">
        <w:rPr>
          <w:rFonts w:cstheme="minorHAnsi"/>
        </w:rPr>
        <w:t>continuously,</w:t>
      </w:r>
      <w:r w:rsidR="00AD1827" w:rsidRPr="00CB1FC4">
        <w:rPr>
          <w:rFonts w:cstheme="minorHAnsi"/>
        </w:rPr>
        <w:t xml:space="preserve"> and the limestone and potassium </w:t>
      </w:r>
      <w:r w:rsidR="00834FBC" w:rsidRPr="00CB1FC4">
        <w:rPr>
          <w:rFonts w:cstheme="minorHAnsi"/>
        </w:rPr>
        <w:t>hydroxide</w:t>
      </w:r>
      <w:r w:rsidR="003564AF" w:rsidRPr="00CB1FC4">
        <w:rPr>
          <w:rFonts w:cstheme="minorHAnsi"/>
        </w:rPr>
        <w:t xml:space="preserve"> needed to </w:t>
      </w:r>
      <w:r w:rsidR="005C1DDF" w:rsidRPr="00CB1FC4">
        <w:rPr>
          <w:rFonts w:cstheme="minorHAnsi"/>
        </w:rPr>
        <w:t>start the chemical loop</w:t>
      </w:r>
      <w:r w:rsidR="00EC37BF" w:rsidRPr="00CB1FC4">
        <w:rPr>
          <w:rFonts w:cstheme="minorHAnsi"/>
        </w:rPr>
        <w:t xml:space="preserve"> must </w:t>
      </w:r>
      <w:r w:rsidR="00B07309" w:rsidRPr="00CB1FC4">
        <w:rPr>
          <w:rFonts w:cstheme="minorHAnsi"/>
        </w:rPr>
        <w:t>available</w:t>
      </w:r>
      <w:r w:rsidR="00616436" w:rsidRPr="00CB1FC4">
        <w:rPr>
          <w:rFonts w:cstheme="minorHAnsi"/>
        </w:rPr>
        <w:t>.</w:t>
      </w:r>
      <w:r w:rsidR="00B07309" w:rsidRPr="00CB1FC4">
        <w:rPr>
          <w:rFonts w:cstheme="minorHAnsi"/>
        </w:rPr>
        <w:t xml:space="preserve"> The initial amount</w:t>
      </w:r>
      <w:r w:rsidR="00100FBA" w:rsidRPr="00CB1FC4">
        <w:rPr>
          <w:rFonts w:cstheme="minorHAnsi"/>
        </w:rPr>
        <w:t>s</w:t>
      </w:r>
      <w:r w:rsidR="00B07309" w:rsidRPr="00CB1FC4">
        <w:rPr>
          <w:rFonts w:cstheme="minorHAnsi"/>
        </w:rPr>
        <w:t xml:space="preserve"> of these reactants</w:t>
      </w:r>
      <w:r w:rsidR="00100FBA" w:rsidRPr="00CB1FC4">
        <w:rPr>
          <w:rFonts w:cstheme="minorHAnsi"/>
        </w:rPr>
        <w:t xml:space="preserve"> are annualized over the </w:t>
      </w:r>
      <w:r w:rsidR="004C161E" w:rsidRPr="00CB1FC4">
        <w:rPr>
          <w:rFonts w:cstheme="minorHAnsi"/>
        </w:rPr>
        <w:t xml:space="preserve">assumed plant </w:t>
      </w:r>
      <w:r w:rsidR="00100FBA" w:rsidRPr="00CB1FC4">
        <w:rPr>
          <w:rFonts w:cstheme="minorHAnsi"/>
        </w:rPr>
        <w:t xml:space="preserve">lifetime </w:t>
      </w:r>
      <w:r w:rsidR="004C161E" w:rsidRPr="00CB1FC4">
        <w:rPr>
          <w:rFonts w:cstheme="minorHAnsi"/>
        </w:rPr>
        <w:t>(20 years).</w:t>
      </w:r>
      <w:r w:rsidR="00100FBA" w:rsidRPr="00CB1FC4">
        <w:rPr>
          <w:rFonts w:cstheme="minorHAnsi"/>
        </w:rPr>
        <w:t xml:space="preserve"> </w:t>
      </w:r>
      <w:r w:rsidR="00775A51" w:rsidRPr="00CB1FC4">
        <w:rPr>
          <w:rFonts w:cstheme="minorHAnsi"/>
        </w:rPr>
        <w:t>Moreover, we consi</w:t>
      </w:r>
      <w:r w:rsidR="00FD37C8" w:rsidRPr="00CB1FC4">
        <w:rPr>
          <w:rFonts w:cstheme="minorHAnsi"/>
        </w:rPr>
        <w:t>d</w:t>
      </w:r>
      <w:r w:rsidR="00775A51" w:rsidRPr="00CB1FC4">
        <w:rPr>
          <w:rFonts w:cstheme="minorHAnsi"/>
        </w:rPr>
        <w:t>er that m</w:t>
      </w:r>
      <w:r w:rsidR="00446B33" w:rsidRPr="00CB1FC4">
        <w:rPr>
          <w:rFonts w:cstheme="minorHAnsi"/>
        </w:rPr>
        <w:t xml:space="preserve">ake-up limestone and potassium hydroxide must be </w:t>
      </w:r>
      <w:r w:rsidR="00775A51" w:rsidRPr="00CB1FC4">
        <w:rPr>
          <w:rFonts w:cstheme="minorHAnsi"/>
        </w:rPr>
        <w:t xml:space="preserve">continuously </w:t>
      </w:r>
      <w:r w:rsidR="00446B33" w:rsidRPr="00CB1FC4">
        <w:rPr>
          <w:rFonts w:cstheme="minorHAnsi"/>
        </w:rPr>
        <w:t>supplied</w:t>
      </w:r>
      <w:r w:rsidR="00466160" w:rsidRPr="00CB1FC4">
        <w:rPr>
          <w:rFonts w:cstheme="minorHAnsi"/>
        </w:rPr>
        <w:fldChar w:fldCharType="begin" w:fldLock="1"/>
      </w:r>
      <w:r w:rsidR="00971A76">
        <w:rPr>
          <w:rFonts w:cstheme="minorHAnsi"/>
        </w:rPr>
        <w:instrText xml:space="preserve"> ADDIN ZOTERO_ITEM CSL_CITATION {"citationID":"CJfgIPf8","properties":{"formattedCitation":"\\super 23\\nosupersub{}","plainCitation":"23","noteIndex":0},"citationItems":[{"id":1287,"uris":["http://www.mendeley.com/documents/?uuid=4e99cf85-3e33-46f4-b463-75389433bf68","http://zotero.org/users/14213812/items/R3ZYXEG6"],"itemData":{"id":1287,"type":"report","abstract":"As understanding of the risks and damages of climate change has improved, almost all nations have committed to limit total global warming to less than 2°C over preindustrial levels, with an aspirational target of 1.5°C. Meeting a 2°C target is becoming exceedingly challenging; the global mean temperature has already risen about 1°C over the 20th century. Most climate and integrated assessment models project that the concentration of atmospheric carbon dioxide (CO2) would have to stop increasing (and perhaps start decreasing) by the second half of the century for there to be a reasonable chance of limiting warming and the associated dangerous climate impacts. Fossil fuel consumption, agriculture, land-use change, and cement production are the dominant anthropogenic sources of CO2 to the atmosphere. The focus of climate mitigation is to reduce energy sector emissions by 80-100%, requiring massive deployment of low-carbon technologies between now and 2050. Progress toward these targets could be made by deploying Negative Emissions Technologies (NETs), which remove carbon from the atmosphere and sequester it. Under the present conditions, where fossil CO2 is continuously added to the atmosphere, removing CO2 from the atmosphere and storing it has exactly the same impact on the atmosphere and climate as simultaneously preventing emission of an equal amount of CO2. NETs have been part of the portfolio to achieve net emissions reductions, at least since reforestation, afforestation, and soil sequestration were brought into the United Nations Framework Convention on Climate Change, albeit as mitigation options, more than two decades ago. Recent analyses found that deploying NETs may be less expensive and less disruptive than reducing some emissions, such as a substantial portion of agricultural and land-use emissions and some transportation emissions. In 2015, the National Academies published Climate Intervention: Carbon Dioxide Removal and Reliable Sequestration, which described and initially assessed NETs and sequestration technologies. This report acknowledged the relative paucity of research on NETs and recommended development of a research agenda that covers all aspects of NETs from fundamental science to full-scale deployment. To address this need, the National Academies convened the Committee on Developing a Research Agenda for Carbon Dioxide Removal and Sequestration to assess the benefits, risks, and “sustainable scale potential” for NETs and sequestration and to define the essential components of a research and development program, including its estimated costs and potential impact (Box S.1). The full Statement of Task is presented in Box 1.3. The committee held a series of public workshops and meetings to inform its deliberations and the writing of this report. MITIGATION","event-place":"Washinton, DC","note":"DOI: 10.17226/25259\nISBN: 9780309484527","publisher":"The National Academies Press","publisher-place":"Washinton, DC","title":"Negative Emissions Technologies and Reliable Sequestration: A Research Agenda","author":[{"literal":"National Academies of Sciences Engineering and Medicine"}],"issued":{"date-parts":[["2019"]]}}}],"schema":"https://github.com/citation-style-language/schema/raw/master/csl-citation.json"} </w:instrText>
      </w:r>
      <w:r w:rsidR="00466160" w:rsidRPr="00CB1FC4">
        <w:rPr>
          <w:rFonts w:cstheme="minorHAnsi"/>
        </w:rPr>
        <w:fldChar w:fldCharType="separate"/>
      </w:r>
      <w:r w:rsidR="00971A76" w:rsidRPr="00971A76">
        <w:rPr>
          <w:rFonts w:ascii="Calibri" w:hAnsi="Calibri" w:cs="Calibri"/>
          <w:vertAlign w:val="superscript"/>
        </w:rPr>
        <w:t>23</w:t>
      </w:r>
      <w:r w:rsidR="00466160" w:rsidRPr="00CB1FC4">
        <w:rPr>
          <w:rFonts w:cstheme="minorHAnsi"/>
        </w:rPr>
        <w:fldChar w:fldCharType="end"/>
      </w:r>
      <w:r w:rsidR="00466160" w:rsidRPr="00CB1FC4">
        <w:rPr>
          <w:rFonts w:cstheme="minorHAnsi"/>
        </w:rPr>
        <w:t>.</w:t>
      </w:r>
      <w:r w:rsidR="003A4DB4" w:rsidRPr="00CB1FC4">
        <w:rPr>
          <w:rFonts w:cstheme="minorHAnsi"/>
        </w:rPr>
        <w:t xml:space="preserve"> </w:t>
      </w:r>
    </w:p>
    <w:p w14:paraId="6CA97E6D" w14:textId="41AB2670" w:rsidR="001810DD" w:rsidRDefault="00532731" w:rsidP="006115DB">
      <w:pPr>
        <w:spacing w:line="360" w:lineRule="auto"/>
        <w:jc w:val="both"/>
        <w:rPr>
          <w:rFonts w:cstheme="minorHAnsi"/>
        </w:rPr>
      </w:pPr>
      <w:r w:rsidRPr="00CB1FC4">
        <w:rPr>
          <w:rFonts w:cstheme="minorHAnsi"/>
        </w:rPr>
        <w:t xml:space="preserve">The </w:t>
      </w:r>
      <w:r w:rsidR="00CD6B3A" w:rsidRPr="00CB1FC4">
        <w:rPr>
          <w:rFonts w:cstheme="minorHAnsi"/>
        </w:rPr>
        <w:t>modeled</w:t>
      </w:r>
      <w:r w:rsidR="00252AF7" w:rsidRPr="00CB1FC4">
        <w:rPr>
          <w:rFonts w:cstheme="minorHAnsi"/>
        </w:rPr>
        <w:t xml:space="preserve"> </w:t>
      </w:r>
      <w:r w:rsidR="00FB370B" w:rsidRPr="00CB1FC4">
        <w:rPr>
          <w:rFonts w:cstheme="minorHAnsi"/>
        </w:rPr>
        <w:t xml:space="preserve">LTSS DACCS relies on </w:t>
      </w:r>
      <w:r w:rsidR="00A023E3" w:rsidRPr="00CB1FC4">
        <w:rPr>
          <w:rFonts w:cstheme="minorHAnsi"/>
        </w:rPr>
        <w:t>the</w:t>
      </w:r>
      <w:r w:rsidR="00FB370B" w:rsidRPr="00CB1FC4">
        <w:rPr>
          <w:rFonts w:cstheme="minorHAnsi"/>
        </w:rPr>
        <w:t xml:space="preserve"> CO</w:t>
      </w:r>
      <w:r w:rsidR="00FB370B" w:rsidRPr="00CB1FC4">
        <w:rPr>
          <w:rFonts w:cstheme="minorHAnsi"/>
          <w:vertAlign w:val="subscript"/>
        </w:rPr>
        <w:t>2</w:t>
      </w:r>
      <w:r w:rsidR="00FB370B" w:rsidRPr="00CB1FC4">
        <w:rPr>
          <w:rFonts w:cstheme="minorHAnsi"/>
        </w:rPr>
        <w:t xml:space="preserve"> adsorption-desorption </w:t>
      </w:r>
      <w:r w:rsidR="00CF77DC" w:rsidRPr="00CB1FC4">
        <w:rPr>
          <w:rFonts w:cstheme="minorHAnsi"/>
        </w:rPr>
        <w:t>system</w:t>
      </w:r>
      <w:r w:rsidR="000C4699" w:rsidRPr="00CB1FC4">
        <w:rPr>
          <w:rFonts w:cstheme="minorHAnsi"/>
        </w:rPr>
        <w:t xml:space="preserve"> </w:t>
      </w:r>
      <w:r w:rsidR="00CF77DC" w:rsidRPr="00CB1FC4">
        <w:rPr>
          <w:rFonts w:cstheme="minorHAnsi"/>
        </w:rPr>
        <w:t xml:space="preserve">developed </w:t>
      </w:r>
      <w:r w:rsidR="003D660C" w:rsidRPr="00CB1FC4">
        <w:rPr>
          <w:rFonts w:cstheme="minorHAnsi"/>
        </w:rPr>
        <w:t xml:space="preserve">by </w:t>
      </w:r>
      <w:r w:rsidR="00CF77DC" w:rsidRPr="00CB1FC4">
        <w:rPr>
          <w:rFonts w:cstheme="minorHAnsi"/>
        </w:rPr>
        <w:t xml:space="preserve">the company </w:t>
      </w:r>
      <w:proofErr w:type="spellStart"/>
      <w:r w:rsidR="003D660C" w:rsidRPr="00CB1FC4">
        <w:rPr>
          <w:rFonts w:cstheme="minorHAnsi"/>
          <w:i/>
          <w:iCs/>
        </w:rPr>
        <w:t>Climeworks</w:t>
      </w:r>
      <w:proofErr w:type="spellEnd"/>
      <w:r w:rsidR="00B677D4" w:rsidRPr="00CB1FC4">
        <w:rPr>
          <w:rFonts w:cstheme="minorHAnsi"/>
        </w:rPr>
        <w:t xml:space="preserve">, operating at a regeneration temperature of 80-120 </w:t>
      </w:r>
      <w:r w:rsidR="00B677D4" w:rsidRPr="00CB1FC4">
        <w:rPr>
          <w:rFonts w:cstheme="minorHAnsi"/>
          <w:vertAlign w:val="superscript"/>
        </w:rPr>
        <w:t>o</w:t>
      </w:r>
      <w:r w:rsidR="00B677D4" w:rsidRPr="00CB1FC4">
        <w:rPr>
          <w:rFonts w:cstheme="minorHAnsi"/>
        </w:rPr>
        <w:t>C</w:t>
      </w:r>
      <w:r w:rsidR="00C15748" w:rsidRPr="00CB1FC4">
        <w:rPr>
          <w:rFonts w:cstheme="minorHAnsi"/>
          <w:i/>
          <w:iCs/>
        </w:rPr>
        <w:fldChar w:fldCharType="begin" w:fldLock="1"/>
      </w:r>
      <w:r w:rsidR="00971A76">
        <w:rPr>
          <w:rFonts w:cstheme="minorHAnsi"/>
          <w:i/>
          <w:iCs/>
        </w:rPr>
        <w:instrText xml:space="preserve"> ADDIN ZOTERO_ITEM CSL_CITATION {"citationID":"uWemlzjV","properties":{"formattedCitation":"\\super 24\\nosupersub{}","plainCitation":"24","noteIndex":0},"citationItems":[{"id":1345,"uris":["http://www.mendeley.com/documents/?uuid=3d3b9e60-66c9-403d-9e66-6f072c232f1d","http://zotero.org/users/14213812/items/584G3GQM"],"itemData":{"id":1345,"type":"article-journal","abstract":"In recent years Direct Air Capture (DAC) has established itself as one promising approache to Atmospheric Carbon dioxide Removal (CDR) also referred to as Negative Emissions. However due to the amounts likely needed to be removed CDR Technologies (CDRTs) like DAC will only become climate relevant if they reach gigaton scale fast, around the middle of this century. The paper will give a brief insight into DAC and in particular, the modular low temperature DAC technology developed by Climeworks of Switzerland. It will discuss potential co benefits, in particular in relation to the Sustainable Development Goals (SDGs) of the United Nations and conclude by suggesting some policy approaches on how a climate relevant scale could be achieved in time.","container-title":"Frontiers in Climate","DOI":"10.3389/fclim.2019.00010","issue":"November","page":"10","title":"The Role of Direct Air Capture in Mitigation of Anthropogenic Greenhouse Gas Emissions","volume":"1","author":[{"family":"Beuttler","given":"Christoph"},{"family":"Charles","given":"Louise"},{"family":"Wurzbacher","given":"Jan"}],"issued":{"date-parts":[["2019"]]}}}],"schema":"https://github.com/citation-style-language/schema/raw/master/csl-citation.json"} </w:instrText>
      </w:r>
      <w:r w:rsidR="00C15748" w:rsidRPr="00CB1FC4">
        <w:rPr>
          <w:rFonts w:cstheme="minorHAnsi"/>
          <w:i/>
          <w:iCs/>
        </w:rPr>
        <w:fldChar w:fldCharType="separate"/>
      </w:r>
      <w:r w:rsidR="00971A76" w:rsidRPr="00971A76">
        <w:rPr>
          <w:rFonts w:ascii="Calibri" w:hAnsi="Calibri" w:cs="Calibri"/>
          <w:vertAlign w:val="superscript"/>
        </w:rPr>
        <w:t>24</w:t>
      </w:r>
      <w:r w:rsidR="00C15748" w:rsidRPr="00CB1FC4">
        <w:rPr>
          <w:rFonts w:cstheme="minorHAnsi"/>
          <w:i/>
          <w:iCs/>
        </w:rPr>
        <w:fldChar w:fldCharType="end"/>
      </w:r>
      <w:r w:rsidR="00C15748" w:rsidRPr="00CB1FC4">
        <w:rPr>
          <w:rFonts w:cstheme="minorHAnsi"/>
        </w:rPr>
        <w:t>.</w:t>
      </w:r>
      <w:r w:rsidR="003A1ABB" w:rsidRPr="00CB1FC4">
        <w:rPr>
          <w:rFonts w:cstheme="minorHAnsi"/>
        </w:rPr>
        <w:t xml:space="preserve"> </w:t>
      </w:r>
      <w:r w:rsidR="000D6313" w:rsidRPr="00CB1FC4">
        <w:rPr>
          <w:rFonts w:cstheme="minorHAnsi"/>
        </w:rPr>
        <w:t>We take t</w:t>
      </w:r>
      <w:r w:rsidR="00FB370B" w:rsidRPr="00CB1FC4">
        <w:rPr>
          <w:rFonts w:cstheme="minorHAnsi"/>
        </w:rPr>
        <w:t xml:space="preserve">he adsorbent </w:t>
      </w:r>
      <w:r w:rsidR="00C45131" w:rsidRPr="00CB1FC4">
        <w:rPr>
          <w:rFonts w:cstheme="minorHAnsi"/>
        </w:rPr>
        <w:t xml:space="preserve">requirements and </w:t>
      </w:r>
      <w:r w:rsidR="00FB370B" w:rsidRPr="00CB1FC4">
        <w:rPr>
          <w:rFonts w:cstheme="minorHAnsi"/>
        </w:rPr>
        <w:t xml:space="preserve">composition from </w:t>
      </w:r>
      <w:r w:rsidR="00FB370B" w:rsidRPr="00CB1FC4">
        <w:rPr>
          <w:rFonts w:cstheme="minorHAnsi"/>
        </w:rPr>
        <w:fldChar w:fldCharType="begin" w:fldLock="1"/>
      </w:r>
      <w:r w:rsidR="0076260E">
        <w:rPr>
          <w:rFonts w:cstheme="minorHAnsi"/>
        </w:rPr>
        <w:instrText xml:space="preserve"> ADDIN ZOTERO_ITEM CSL_CITATION {"citationID":"dNMHxllP","properties":{"formattedCitation":"\\super 25,26\\nosupersub{}","plainCitation":"25,26","noteIndex":0},"citationItems":[{"id":1731,"uris":["http://www.mendeley.com/documents/?uuid=e71077b2-9bad-4cda-b031-898a7f76c821","http://zotero.org/users/14213812/items/4URFXE54"],"itemData":{"id":1731,"type":"article-journal","container-title":"Nature Energy","DOI":"10.1038/s41560-020-00771-9","page":"203-213","title":"Life-cycle assessment of an industrial direct air capture process based on temperature–vacuum swing adsorption","volume":"6","author":[{"family":"Deutz","given":"Sarah"},{"family":"Bardow","given":"André"}],"issued":{"date-parts":[["2021"]]}}},{"id":1793,"uris":["http://www.mendeley.com/documents/?uuid=922cc855-015a-4ffe-8e7c-dd8e221adf06","http://zotero.org/users/14213812/items/GUBCHFCC"],"itemData":{"id":1793,"type":"patent","authority":"World Intellectual Property Organization","number":"WO 2010/091831 Al","title":"Amine containing fibrous structure for adsorption of CO2 from atmospheric air","author":[{"family":"Gebald, C., Wurzbacher, J.A., Steinfeld","given":"A."}],"issued":{"date-parts":[["2010"]]}},"label":"page"}],"schema":"https://github.com/citation-style-language/schema/raw/master/csl-citation.json"} </w:instrText>
      </w:r>
      <w:r w:rsidR="00FB370B" w:rsidRPr="00CB1FC4">
        <w:rPr>
          <w:rFonts w:cstheme="minorHAnsi"/>
        </w:rPr>
        <w:fldChar w:fldCharType="separate"/>
      </w:r>
      <w:r w:rsidR="00C303CA" w:rsidRPr="00C303CA">
        <w:rPr>
          <w:rFonts w:ascii="Calibri" w:hAnsi="Calibri" w:cs="Calibri"/>
          <w:vertAlign w:val="superscript"/>
        </w:rPr>
        <w:t>25,26</w:t>
      </w:r>
      <w:r w:rsidR="00FB370B" w:rsidRPr="00CB1FC4">
        <w:rPr>
          <w:rFonts w:cstheme="minorHAnsi"/>
        </w:rPr>
        <w:fldChar w:fldCharType="end"/>
      </w:r>
      <w:r w:rsidR="00991EA5" w:rsidRPr="00CB1FC4">
        <w:rPr>
          <w:rFonts w:cstheme="minorHAnsi"/>
        </w:rPr>
        <w:t>.</w:t>
      </w:r>
      <w:r w:rsidR="00DE757B" w:rsidRPr="00CB1FC4">
        <w:rPr>
          <w:rFonts w:cstheme="minorHAnsi"/>
        </w:rPr>
        <w:t xml:space="preserve"> The current </w:t>
      </w:r>
      <w:r w:rsidR="00500E8E" w:rsidRPr="00CB1FC4">
        <w:rPr>
          <w:rFonts w:cstheme="minorHAnsi"/>
        </w:rPr>
        <w:t>energy demand</w:t>
      </w:r>
      <w:r w:rsidR="0061383D" w:rsidRPr="00CB1FC4">
        <w:rPr>
          <w:rFonts w:cstheme="minorHAnsi"/>
        </w:rPr>
        <w:fldChar w:fldCharType="begin" w:fldLock="1"/>
      </w:r>
      <w:r w:rsidR="0076260E">
        <w:rPr>
          <w:rFonts w:cstheme="minorHAnsi"/>
        </w:rPr>
        <w:instrText xml:space="preserve"> ADDIN ZOTERO_ITEM CSL_CITATION {"citationID":"SOojai1A","properties":{"formattedCitation":"\\super 25\\nosupersub{}","plainCitation":"25","noteIndex":0},"citationItems":[{"id":1731,"uris":["http://www.mendeley.com/documents/?uuid=e71077b2-9bad-4cda-b031-898a7f76c821","http://zotero.org/users/14213812/items/4URFXE54"],"itemData":{"id":1731,"type":"article-journal","container-title":"Nature Energy","DOI":"10.1038/s41560-020-00771-9","page":"203-213","title":"Life-cycle assessment of an industrial direct air capture process based on temperature–vacuum swing adsorption","volume":"6","author":[{"family":"Deutz","given":"Sarah"},{"family":"Bardow","given":"André"}],"issued":{"date-parts":[["2021"]]}}}],"schema":"https://github.com/citation-style-language/schema/raw/master/csl-citation.json"} </w:instrText>
      </w:r>
      <w:r w:rsidR="0061383D" w:rsidRPr="00CB1FC4">
        <w:rPr>
          <w:rFonts w:cstheme="minorHAnsi"/>
        </w:rPr>
        <w:fldChar w:fldCharType="separate"/>
      </w:r>
      <w:r w:rsidR="00971A76" w:rsidRPr="00971A76">
        <w:rPr>
          <w:rFonts w:ascii="Calibri" w:hAnsi="Calibri" w:cs="Calibri"/>
          <w:vertAlign w:val="superscript"/>
        </w:rPr>
        <w:t>25</w:t>
      </w:r>
      <w:r w:rsidR="0061383D" w:rsidRPr="00CB1FC4">
        <w:rPr>
          <w:rFonts w:cstheme="minorHAnsi"/>
        </w:rPr>
        <w:fldChar w:fldCharType="end"/>
      </w:r>
      <w:r w:rsidR="00500E8E" w:rsidRPr="00CB1FC4">
        <w:rPr>
          <w:rFonts w:cstheme="minorHAnsi"/>
        </w:rPr>
        <w:t xml:space="preserve"> is assumed </w:t>
      </w:r>
      <w:r w:rsidR="00DD243B" w:rsidRPr="00CB1FC4">
        <w:rPr>
          <w:rFonts w:cstheme="minorHAnsi"/>
        </w:rPr>
        <w:t xml:space="preserve">to progressively </w:t>
      </w:r>
      <w:r w:rsidR="006C7DFF" w:rsidRPr="00CB1FC4">
        <w:rPr>
          <w:rFonts w:cstheme="minorHAnsi"/>
        </w:rPr>
        <w:t xml:space="preserve">improve </w:t>
      </w:r>
      <w:r w:rsidR="00DD243B" w:rsidRPr="00CB1FC4">
        <w:rPr>
          <w:rFonts w:cstheme="minorHAnsi"/>
        </w:rPr>
        <w:t>over time</w:t>
      </w:r>
      <w:r w:rsidR="00500E8E" w:rsidRPr="00CB1FC4">
        <w:rPr>
          <w:rFonts w:cstheme="minorHAnsi"/>
        </w:rPr>
        <w:t xml:space="preserve"> </w:t>
      </w:r>
      <w:r w:rsidR="00E6641F" w:rsidRPr="00CB1FC4">
        <w:rPr>
          <w:rFonts w:cstheme="minorHAnsi"/>
        </w:rPr>
        <w:t xml:space="preserve">to </w:t>
      </w:r>
      <w:r w:rsidR="00CD7820" w:rsidRPr="00CB1FC4">
        <w:rPr>
          <w:rFonts w:cstheme="minorHAnsi"/>
        </w:rPr>
        <w:t xml:space="preserve">meet </w:t>
      </w:r>
      <w:r w:rsidR="0007260F" w:rsidRPr="00CB1FC4">
        <w:rPr>
          <w:rFonts w:cstheme="minorHAnsi"/>
        </w:rPr>
        <w:t>the technology’s estimated optimization potential</w:t>
      </w:r>
      <w:r w:rsidR="00CD7820" w:rsidRPr="00CB1FC4">
        <w:rPr>
          <w:rFonts w:cstheme="minorHAnsi"/>
        </w:rPr>
        <w:t xml:space="preserve"> in 2050</w:t>
      </w:r>
      <w:r w:rsidR="00983B55" w:rsidRPr="00CB1FC4">
        <w:rPr>
          <w:rFonts w:cstheme="minorHAnsi"/>
        </w:rPr>
        <w:t xml:space="preserve">, which implies </w:t>
      </w:r>
      <w:r w:rsidR="007E5723" w:rsidRPr="00CB1FC4">
        <w:rPr>
          <w:rFonts w:cstheme="minorHAnsi"/>
        </w:rPr>
        <w:t>a decrease in the</w:t>
      </w:r>
      <w:r w:rsidR="00983B55" w:rsidRPr="00CB1FC4">
        <w:rPr>
          <w:rFonts w:cstheme="minorHAnsi"/>
        </w:rPr>
        <w:t xml:space="preserve"> electricity </w:t>
      </w:r>
      <w:r w:rsidR="00427E5F" w:rsidRPr="00CB1FC4">
        <w:rPr>
          <w:rFonts w:cstheme="minorHAnsi"/>
        </w:rPr>
        <w:t xml:space="preserve">and heat </w:t>
      </w:r>
      <w:r w:rsidR="00983B55" w:rsidRPr="00CB1FC4">
        <w:rPr>
          <w:rFonts w:cstheme="minorHAnsi"/>
        </w:rPr>
        <w:t xml:space="preserve">demand </w:t>
      </w:r>
      <w:r w:rsidR="007E5723" w:rsidRPr="00CB1FC4">
        <w:rPr>
          <w:rFonts w:cstheme="minorHAnsi"/>
        </w:rPr>
        <w:t>of</w:t>
      </w:r>
      <w:r w:rsidR="00427E5F" w:rsidRPr="00CB1FC4">
        <w:rPr>
          <w:rFonts w:cstheme="minorHAnsi"/>
        </w:rPr>
        <w:t xml:space="preserve"> 1.1 and 2.6% per year</w:t>
      </w:r>
      <w:r w:rsidR="00E6641F" w:rsidRPr="00CB1FC4">
        <w:rPr>
          <w:rFonts w:cstheme="minorHAnsi"/>
        </w:rPr>
        <w:t>, respectively (</w:t>
      </w:r>
      <w:r w:rsidR="0021222D" w:rsidRPr="00CB1FC4">
        <w:rPr>
          <w:rFonts w:cstheme="minorHAnsi"/>
        </w:rPr>
        <w:t xml:space="preserve">Table 2.2 in the </w:t>
      </w:r>
      <w:r w:rsidR="00E6641F" w:rsidRPr="00CB1FC4">
        <w:rPr>
          <w:rFonts w:cstheme="minorHAnsi"/>
        </w:rPr>
        <w:t xml:space="preserve">Supplementary Data </w:t>
      </w:r>
      <w:r w:rsidR="0021222D" w:rsidRPr="00CB1FC4">
        <w:rPr>
          <w:rFonts w:cstheme="minorHAnsi"/>
        </w:rPr>
        <w:t>file</w:t>
      </w:r>
      <w:r w:rsidR="00E6641F" w:rsidRPr="00CB1FC4">
        <w:rPr>
          <w:rFonts w:cstheme="minorHAnsi"/>
        </w:rPr>
        <w:t>)</w:t>
      </w:r>
      <w:r w:rsidR="0007260F" w:rsidRPr="00CB1FC4">
        <w:rPr>
          <w:rFonts w:cstheme="minorHAnsi"/>
        </w:rPr>
        <w:t xml:space="preserve">. </w:t>
      </w:r>
      <w:r w:rsidR="00CE2798" w:rsidRPr="00CB1FC4">
        <w:rPr>
          <w:rFonts w:cstheme="minorHAnsi"/>
        </w:rPr>
        <w:t>H</w:t>
      </w:r>
      <w:r w:rsidR="00BF31A0" w:rsidRPr="00CB1FC4">
        <w:rPr>
          <w:rFonts w:cstheme="minorHAnsi"/>
        </w:rPr>
        <w:t>eat pumps are assumed to have a coefficient of performance of 2.2 and use R1234ze(E) as a working fluid.</w:t>
      </w:r>
      <w:r w:rsidR="002F5B37" w:rsidRPr="00CB1FC4">
        <w:rPr>
          <w:rFonts w:cstheme="minorHAnsi"/>
        </w:rPr>
        <w:t xml:space="preserve"> </w:t>
      </w:r>
    </w:p>
    <w:p w14:paraId="50B7EBDA" w14:textId="60197DDB" w:rsidR="00C0083E" w:rsidRDefault="001B2CFC" w:rsidP="006115DB">
      <w:pPr>
        <w:spacing w:line="360" w:lineRule="auto"/>
        <w:jc w:val="both"/>
      </w:pPr>
      <w:r w:rsidRPr="00CB1FC4">
        <w:rPr>
          <w:rFonts w:cstheme="minorHAnsi"/>
        </w:rPr>
        <w:lastRenderedPageBreak/>
        <w:t>We consider t</w:t>
      </w:r>
      <w:r w:rsidR="00CA639C" w:rsidRPr="00CB1FC4">
        <w:rPr>
          <w:rFonts w:cstheme="minorHAnsi"/>
        </w:rPr>
        <w:t>he land occupation and</w:t>
      </w:r>
      <w:r w:rsidRPr="00CB1FC4">
        <w:rPr>
          <w:rFonts w:cstheme="minorHAnsi"/>
        </w:rPr>
        <w:t xml:space="preserve"> the</w:t>
      </w:r>
      <w:r w:rsidR="00CA639C" w:rsidRPr="00CB1FC4">
        <w:rPr>
          <w:rFonts w:cstheme="minorHAnsi"/>
        </w:rPr>
        <w:t xml:space="preserve"> </w:t>
      </w:r>
      <w:r w:rsidRPr="00CB1FC4">
        <w:rPr>
          <w:rFonts w:cstheme="minorHAnsi"/>
        </w:rPr>
        <w:t xml:space="preserve">ranges in the </w:t>
      </w:r>
      <w:r w:rsidR="00CA639C" w:rsidRPr="00CB1FC4">
        <w:rPr>
          <w:rFonts w:cstheme="minorHAnsi"/>
        </w:rPr>
        <w:t>infrastructure requirements</w:t>
      </w:r>
      <w:r w:rsidR="00740523" w:rsidRPr="00CB1FC4">
        <w:rPr>
          <w:rFonts w:cstheme="minorHAnsi"/>
        </w:rPr>
        <w:t xml:space="preserve"> </w:t>
      </w:r>
      <w:r w:rsidR="00A91A0D" w:rsidRPr="00CB1FC4">
        <w:rPr>
          <w:rFonts w:cstheme="minorHAnsi"/>
        </w:rPr>
        <w:t xml:space="preserve">(Table 1.1 in </w:t>
      </w:r>
      <w:r w:rsidR="00F57173" w:rsidRPr="00CB1FC4">
        <w:rPr>
          <w:rFonts w:cstheme="minorHAnsi"/>
        </w:rPr>
        <w:t>the Supplementary Data file)</w:t>
      </w:r>
      <w:r w:rsidR="00F57173">
        <w:rPr>
          <w:rFonts w:cstheme="minorHAnsi"/>
        </w:rPr>
        <w:t xml:space="preserve"> </w:t>
      </w:r>
      <w:r w:rsidRPr="00F41291">
        <w:rPr>
          <w:rFonts w:cstheme="minorHAnsi"/>
        </w:rPr>
        <w:t xml:space="preserve">provided by </w:t>
      </w:r>
      <w:r w:rsidRPr="00F41291">
        <w:rPr>
          <w:rFonts w:cstheme="minorHAnsi"/>
        </w:rPr>
        <w:fldChar w:fldCharType="begin" w:fldLock="1"/>
      </w:r>
      <w:r w:rsidR="00971A76">
        <w:rPr>
          <w:rFonts w:cstheme="minorHAnsi"/>
        </w:rPr>
        <w:instrText xml:space="preserve"> ADDIN ZOTERO_ITEM CSL_CITATION {"citationID":"SniBlQh2","properties":{"formattedCitation":"\\super 27\\nosupersub{}","plainCitation":"27","noteIndex":0},"citationItems":[{"id":2836,"uris":["http://www.mendeley.com/documents/?uuid=8c9d227e-261c-40d9-a646-55381e320034","http://zotero.org/users/14213812/items/RMFW2GSD"],"itemData":{"id":2836,"type":"report","abstract":"This paper discusses the expected environmental impacts (local and distributed) of building and operating Direct Air Capture (DAC) plants in the United States. It provides considerations related to decision-making and DAC siting, including responsible scaling and equitable distribution of benefits, as well as policy and procedural recommendations. The paper was written in collaboration between World Resources Institute and the University of Pennsylvania.","note":"container-title: World Resources Institute\nDOI: 10.46830/wriwp.21.00058\nissue: May","title":"Direct Air Capture: Assessing Impacts to Enable Responsible Scaling","author":[{"family":"Lebling","given":"Katie"},{"family":"Leslie-Bole","given":"Haley"},{"family":"Psarras","given":"Peter"},{"family":"Bridgwater","given":"Elizabeth"},{"family":"Byrum","given":"Zachary"},{"family":"Pilorgé","given":"Hélène"}],"issued":{"date-parts":[["2022"]]}}}],"schema":"https://github.com/citation-style-language/schema/raw/master/csl-citation.json"} </w:instrText>
      </w:r>
      <w:r w:rsidRPr="00F41291">
        <w:rPr>
          <w:rFonts w:cstheme="minorHAnsi"/>
        </w:rPr>
        <w:fldChar w:fldCharType="separate"/>
      </w:r>
      <w:r w:rsidR="00971A76" w:rsidRPr="00971A76">
        <w:rPr>
          <w:rFonts w:ascii="Calibri" w:hAnsi="Calibri" w:cs="Calibri"/>
          <w:vertAlign w:val="superscript"/>
        </w:rPr>
        <w:t>27</w:t>
      </w:r>
      <w:r w:rsidRPr="00F41291">
        <w:rPr>
          <w:rFonts w:cstheme="minorHAnsi"/>
        </w:rPr>
        <w:fldChar w:fldCharType="end"/>
      </w:r>
      <w:r w:rsidRPr="00F41291">
        <w:rPr>
          <w:rFonts w:cstheme="minorHAnsi"/>
        </w:rPr>
        <w:t xml:space="preserve"> for</w:t>
      </w:r>
      <w:r w:rsidR="00CA639C" w:rsidRPr="00F41291">
        <w:rPr>
          <w:rFonts w:cstheme="minorHAnsi"/>
        </w:rPr>
        <w:t xml:space="preserve"> all DACCS </w:t>
      </w:r>
      <w:r w:rsidR="00CF3FAD">
        <w:rPr>
          <w:rFonts w:cstheme="minorHAnsi"/>
        </w:rPr>
        <w:t>system</w:t>
      </w:r>
      <w:r w:rsidR="00CA639C" w:rsidRPr="00F41291">
        <w:rPr>
          <w:rFonts w:cstheme="minorHAnsi"/>
        </w:rPr>
        <w:t>s</w:t>
      </w:r>
      <w:r w:rsidR="00004592" w:rsidRPr="00F41291">
        <w:rPr>
          <w:rFonts w:cstheme="minorHAnsi"/>
        </w:rPr>
        <w:t xml:space="preserve">. </w:t>
      </w:r>
      <w:r w:rsidR="002F5B37" w:rsidRPr="00F41291">
        <w:rPr>
          <w:rFonts w:cstheme="minorHAnsi"/>
        </w:rPr>
        <w:t>We</w:t>
      </w:r>
      <w:r w:rsidR="00004592" w:rsidRPr="00F41291">
        <w:rPr>
          <w:rFonts w:cstheme="minorHAnsi"/>
        </w:rPr>
        <w:t xml:space="preserve"> </w:t>
      </w:r>
      <w:r w:rsidR="00004592">
        <w:rPr>
          <w:rFonts w:cstheme="minorHAnsi"/>
        </w:rPr>
        <w:t>assume</w:t>
      </w:r>
      <w:r w:rsidR="002F5B37">
        <w:rPr>
          <w:rFonts w:cstheme="minorHAnsi"/>
        </w:rPr>
        <w:t xml:space="preserve"> that </w:t>
      </w:r>
      <w:r w:rsidR="006C7DB6">
        <w:rPr>
          <w:rFonts w:cstheme="minorHAnsi"/>
        </w:rPr>
        <w:t xml:space="preserve">all </w:t>
      </w:r>
      <w:r w:rsidR="00906F1D" w:rsidRPr="00B92027">
        <w:t>the DACCS plants are located next to the sequestration site</w:t>
      </w:r>
      <w:r w:rsidR="0000105F">
        <w:t xml:space="preserve"> and t</w:t>
      </w:r>
      <w:r w:rsidR="00906F1D" w:rsidRPr="00B92027">
        <w:t>he captured CO</w:t>
      </w:r>
      <w:r w:rsidR="00906F1D" w:rsidRPr="00B92027">
        <w:rPr>
          <w:vertAlign w:val="subscript"/>
        </w:rPr>
        <w:t>2</w:t>
      </w:r>
      <w:r w:rsidR="00906F1D" w:rsidRPr="00B92027">
        <w:t xml:space="preserve"> </w:t>
      </w:r>
      <w:r w:rsidR="00906F1D">
        <w:t>is</w:t>
      </w:r>
      <w:r w:rsidR="00906F1D" w:rsidRPr="00B92027">
        <w:t xml:space="preserve"> compressed to 150</w:t>
      </w:r>
      <w:r w:rsidR="00790861">
        <w:t xml:space="preserve"> bar</w:t>
      </w:r>
      <w:r w:rsidR="00797901">
        <w:t xml:space="preserve"> </w:t>
      </w:r>
      <w:r w:rsidR="006050A2" w:rsidRPr="00C005DF">
        <w:t>(which entails an electricity consumption of 132 kwh/</w:t>
      </w:r>
      <w:r w:rsidR="00D300A7" w:rsidRPr="00C005DF">
        <w:t>t</w:t>
      </w:r>
      <w:r w:rsidR="005C1A2A" w:rsidRPr="00C005DF">
        <w:t>CO</w:t>
      </w:r>
      <w:r w:rsidR="005C1A2A" w:rsidRPr="00C005DF">
        <w:rPr>
          <w:vertAlign w:val="subscript"/>
        </w:rPr>
        <w:t>2</w:t>
      </w:r>
      <w:r w:rsidR="006050A2" w:rsidRPr="00C005DF">
        <w:t>)</w:t>
      </w:r>
      <w:r w:rsidR="0000105F" w:rsidRPr="00C005DF">
        <w:fldChar w:fldCharType="begin" w:fldLock="1"/>
      </w:r>
      <w:r w:rsidR="00971A76">
        <w:instrText xml:space="preserve"> ADDIN ZOTERO_ITEM CSL_CITATION {"citationID":"45KzGUiz","properties":{"formattedCitation":"\\super 19\\nosupersub{}","plainCitation":"19","noteIndex":0},"citationItems":[{"id":1357,"uris":["http://www.mendeley.com/documents/?uuid=834d05c0-1de7-48d9-b23d-428a248f6afd","http://zotero.org/users/14213812/items/MKWEAZ8D"],"itemData":{"id":1357,"type":"article-journal","abstract":"We describe a process for capturing CO2 from the atmosphere in an industrial plant. The design captures </w:instrText>
      </w:r>
      <w:r w:rsidR="00971A76">
        <w:rPr>
          <w:rFonts w:ascii="Cambria Math" w:hAnsi="Cambria Math" w:cs="Cambria Math"/>
        </w:rPr>
        <w:instrText>∼</w:instrText>
      </w:r>
      <w:r w:rsidR="00971A76">
        <w:instrText xml:space="preserve">1 Mt-CO2/year in a continuous process using an aqueous KOH sorbent coupled to a calcium caustic recovery loop. We describe the design rationale, summarize performance of the major unit operations, and provide a capital cost breakdown developed with an independent consulting engineering firm. We report results from a pilot plant that provides data on performance of the major unit operations. We summarize the energy and material balance computed using an Aspen process simulation. When CO2 is delivered at 15 MPa, the design requires either 8.81 GJ of natural gas, or 5.25 GJ of gas and 366 kWhr of electricity, per ton of CO2 captured. Depending on financial assumptions, energy costs, and the specific choice of inputs and outputs, the levelized cost per ton CO2 captured from the atmosphere ranges from 94 to 232 $/t-CO2. An industrial process for large-scale capture of atmospheric CO2 (DAC) serves two roles. First, as a source of CO2 for making carbon-neutral hydrocarbon fuels, enabling carbon-free energy to be converted into high-energy-density fuels. Solar fuels, for example, may be produced at high-insolation low-cost locations from DAC-CO2 and electrolytic hydrogen using gas-to-liquids technology enabling decarbonization of difficult-to-electrify sectors such as aviation. And second, DAC with CO2 sequestration allows carbon removal. The feasibility of DAC has been disputed, in part, because publications have not provided sufficient engineering detail to allow independent evaluation of costs. We provide an engineering cost basis for a commercial DAC system for which all major components are either drawn from well-established commercial heritage or described in sufficient detail to allow assessment by third parties. This design reflects roughly 100 person-years of development by Carbon Engineering. First direct air capture paper for which all major components are either drawn from well-established commercial heritage or described in sufficient detail to allow assessment by third parties. Includes energy and materials balances, commercial engineering cost breakdown, and pilot plant data. When CO2 is delivered at 15 MPa, the design requires either 8.81 GJ of natural gas, or 5.25 GJ of gas and 366 kWhr of electricity, per ton of CO2 captured. Levelized cost per t-CO2 from atmosphere ranges from 94 to 232 $/t-CO2.","container-title":"Joule","DOI":"10.1016/j.joule.2018.05.006","ISSN":"25424351","issue":"8","note":"publisher: Elsevier Inc.","page":"1573-1594","title":"A Process for Capturing CO2 from the Atmosphere","volume":"2","author":[{"family":"Keith","given":"David W."},{"family":"Holmes","given":"Geoffrey"},{"family":"St. Angelo","given":"David"},{"family":"Heidel","given":"Kenton"}],"issued":{"date-parts":[["2018"]]}}}],"schema":"https://github.com/citation-style-language/schema/raw/master/csl-citation.json"} </w:instrText>
      </w:r>
      <w:r w:rsidR="0000105F" w:rsidRPr="00C005DF">
        <w:fldChar w:fldCharType="separate"/>
      </w:r>
      <w:r w:rsidR="00971A76" w:rsidRPr="00971A76">
        <w:rPr>
          <w:rFonts w:ascii="Calibri" w:hAnsi="Calibri" w:cs="Calibri"/>
          <w:vertAlign w:val="superscript"/>
        </w:rPr>
        <w:t>19</w:t>
      </w:r>
      <w:r w:rsidR="0000105F" w:rsidRPr="00C005DF">
        <w:fldChar w:fldCharType="end"/>
      </w:r>
      <w:r w:rsidR="00906F1D" w:rsidRPr="00C005DF">
        <w:t xml:space="preserve"> prior to </w:t>
      </w:r>
      <w:r w:rsidR="0046160A" w:rsidRPr="00C005DF">
        <w:t>being injected</w:t>
      </w:r>
      <w:r w:rsidR="00906F1D" w:rsidRPr="00C005DF">
        <w:t xml:space="preserve"> into the geological</w:t>
      </w:r>
      <w:r w:rsidR="00790861" w:rsidRPr="00C005DF">
        <w:t xml:space="preserve"> reservoir</w:t>
      </w:r>
      <w:r w:rsidR="006071BF" w:rsidRPr="00C005DF">
        <w:t>.</w:t>
      </w:r>
      <w:r w:rsidR="00EE4811" w:rsidRPr="00C005DF">
        <w:t xml:space="preserve"> </w:t>
      </w:r>
      <w:r w:rsidR="00EE4811" w:rsidRPr="0028573E">
        <w:t>The compressor fugitive emissions are taken from</w:t>
      </w:r>
      <w:r w:rsidR="005C6A6E" w:rsidRPr="0028573E">
        <w:t xml:space="preserve"> </w:t>
      </w:r>
      <w:r w:rsidR="00EC3F8A" w:rsidRPr="0028573E">
        <w:fldChar w:fldCharType="begin" w:fldLock="1"/>
      </w:r>
      <w:r w:rsidR="00971A76">
        <w:instrText xml:space="preserve"> ADDIN ZOTERO_ITEM CSL_CITATION {"citationID":"GY4G9ntX","properties":{"formattedCitation":"\\super 28\\nosupersub{}","plainCitation":"28","noteIndex":0},"citationItems":[{"id":1444,"uris":["http://www.mendeley.com/documents/?uuid=180d59d0-eb8a-4657-a8e9-9a64160d6cb7","http://zotero.org/users/14213812/items/66TCDPKI"],"itemData":{"id":1444,"type":"article-journal","abstract":"In this study the methodology of life cycle assessment has been used to assess the environmental impacts of three pulverized coal fired electricity supply chains with and without carbon capture and storage (CCS) on a cradle to grave basis. The chain with CCS comprises post-combustion CO2 capture with monoethanolamine, compression, transport by pipeline and storage in a geological reservoir. The two reference chains represent sub-critical and state-of-the-art ultra supercritical pulverized coal fired electricity generation. For the three chains we have constructed a detailed greenhouse gas (GHG) balance, and disclosed environmental trade-offs and co-benefits due to CO2 capture, transport and storage. Results show that, due to CCS, the GHG emissions per kWh are reduced substantially to 243 g/kWh. This is a reduction of 78 and 71% compared to the sub-critical and state-of-the-art power plant, respectively. The removal of CO2 is partially offset by increased GHG emissions in up- and downstream processes, to a small extent (0.7 g/kWh) caused by the CCS infrastructure. An environmental co-benefit is expected following from the deeper reduction of hydrogen fluoride and hydrogen chloride emissions. Most notable environmental trade-offs are the increase in human toxicity, ozone layer depletion and fresh water ecotoxicity potential for which the CCS chain is outperformed by both other chains. The state-of-the-art power plant without CCS also shows a better score for the eutrophication, acidification and photochemical oxidation potential despite the deeper reduction of SOx and NOx in the CCS power plant. These reductions are offset by increased emissions in the life cycle due to the energy penalty and a factor five increase in NH3 emissions. © 2008 Elsevier Ltd. All rights reserved.","container-title":"International Journal of Greenhouse Gas Control","DOI":"10.1016/j.ijggc.2008.06.008","ISSN":"17505836","issue":"4","page":"448-467","title":"Life cycle assessment of a pulverized coal power plant with post-combustion capture, transport and storage of CO2","volume":"2","author":[{"family":"Koornneef","given":"Joris"},{"family":"Keulen","given":"Tim","non-dropping-particle":"van"},{"family":"Faaij","given":"André"},{"family":"Turkenburg","given":"Wim"}],"issued":{"date-parts":[["2008"]]}}}],"schema":"https://github.com/citation-style-language/schema/raw/master/csl-citation.json"} </w:instrText>
      </w:r>
      <w:r w:rsidR="00EC3F8A" w:rsidRPr="0028573E">
        <w:fldChar w:fldCharType="separate"/>
      </w:r>
      <w:r w:rsidR="00971A76" w:rsidRPr="00971A76">
        <w:rPr>
          <w:rFonts w:ascii="Calibri" w:hAnsi="Calibri" w:cs="Calibri"/>
          <w:vertAlign w:val="superscript"/>
        </w:rPr>
        <w:t>28</w:t>
      </w:r>
      <w:r w:rsidR="00EC3F8A" w:rsidRPr="0028573E">
        <w:fldChar w:fldCharType="end"/>
      </w:r>
      <w:r w:rsidR="00EC3F8A" w:rsidRPr="0028573E">
        <w:t>.</w:t>
      </w:r>
      <w:r w:rsidR="00906F1D" w:rsidRPr="00B92027">
        <w:rPr>
          <w:vertAlign w:val="superscript"/>
        </w:rPr>
        <w:t xml:space="preserve"> </w:t>
      </w:r>
      <w:r w:rsidR="00472FDD">
        <w:t>Regarding the energy sources</w:t>
      </w:r>
      <w:r w:rsidR="007C1CE2">
        <w:t xml:space="preserve">, </w:t>
      </w:r>
      <w:r w:rsidR="000633B3" w:rsidRPr="000633B3">
        <w:t>HTLS-DACCS can 1) be entirely powered by natural gas, 2) use natural gas to meet the heat demand and take electricity from the global average grid mix or renewable energy sources (solar photovoltaic or wind)</w:t>
      </w:r>
      <w:r w:rsidR="005A2B2A">
        <w:t xml:space="preserve"> to cover the power demand</w:t>
      </w:r>
      <w:r w:rsidR="000633B3" w:rsidRPr="000633B3">
        <w:t>, or 3) rely only on electricity from the grid or renewables. LTSS-DACCS uses either a heat pump</w:t>
      </w:r>
      <w:r w:rsidR="00E03860">
        <w:t xml:space="preserve"> powered by electricity</w:t>
      </w:r>
      <w:r w:rsidR="000633B3" w:rsidRPr="000633B3">
        <w:t xml:space="preserve"> or excess geothermal energy to provide heat, while the grid or renewable energy sources supply electricity.</w:t>
      </w:r>
    </w:p>
    <w:p w14:paraId="58761A1C" w14:textId="77777777" w:rsidR="00CB1FC4" w:rsidRPr="006115DB" w:rsidRDefault="00CB1FC4" w:rsidP="006115DB">
      <w:pPr>
        <w:spacing w:line="360" w:lineRule="auto"/>
        <w:jc w:val="both"/>
        <w:rPr>
          <w:rFonts w:cstheme="minorHAnsi"/>
        </w:rPr>
      </w:pPr>
    </w:p>
    <w:p w14:paraId="7F702413" w14:textId="483FC9C3" w:rsidR="00DC3BD0" w:rsidRPr="00904D43" w:rsidRDefault="007B7988" w:rsidP="00B04EEA">
      <w:pPr>
        <w:pStyle w:val="Ttulo2"/>
        <w:spacing w:after="240"/>
        <w:rPr>
          <w:rFonts w:asciiTheme="minorHAnsi" w:hAnsiTheme="minorHAnsi" w:cstheme="minorHAnsi"/>
          <w:b/>
          <w:bCs/>
          <w:color w:val="auto"/>
          <w:sz w:val="22"/>
          <w:szCs w:val="22"/>
        </w:rPr>
      </w:pPr>
      <w:bookmarkStart w:id="8" w:name="_Toc194330853"/>
      <w:r>
        <w:rPr>
          <w:rFonts w:asciiTheme="minorHAnsi" w:hAnsiTheme="minorHAnsi" w:cstheme="minorHAnsi"/>
          <w:b/>
          <w:bCs/>
          <w:color w:val="auto"/>
          <w:sz w:val="22"/>
          <w:szCs w:val="22"/>
        </w:rPr>
        <w:t>3</w:t>
      </w:r>
      <w:r w:rsidR="00DC3BD0" w:rsidRPr="00904D43">
        <w:rPr>
          <w:rFonts w:asciiTheme="minorHAnsi" w:hAnsiTheme="minorHAnsi" w:cstheme="minorHAnsi"/>
          <w:b/>
          <w:bCs/>
          <w:color w:val="auto"/>
          <w:sz w:val="22"/>
          <w:szCs w:val="22"/>
        </w:rPr>
        <w:t>.2 Ocean liming</w:t>
      </w:r>
      <w:bookmarkEnd w:id="8"/>
    </w:p>
    <w:p w14:paraId="4E8370F9" w14:textId="23EE6EAC" w:rsidR="00B155B1" w:rsidRPr="00AE1A8A" w:rsidRDefault="00AC631D" w:rsidP="009177A7">
      <w:pPr>
        <w:spacing w:line="360" w:lineRule="auto"/>
        <w:jc w:val="both"/>
        <w:rPr>
          <w:lang w:val="en-GB"/>
        </w:rPr>
      </w:pPr>
      <w:r>
        <w:t xml:space="preserve">This NETP relies on the addition </w:t>
      </w:r>
      <w:r w:rsidR="00780CBD">
        <w:t>of calcium oxide particles to the open ocean</w:t>
      </w:r>
      <w:r w:rsidR="007E7E89">
        <w:t xml:space="preserve"> surface</w:t>
      </w:r>
      <w:r w:rsidR="009177A7">
        <w:t>. These</w:t>
      </w:r>
      <w:r w:rsidR="00617ABE">
        <w:t xml:space="preserve"> react with the dissolved CO</w:t>
      </w:r>
      <w:r w:rsidR="00617ABE" w:rsidRPr="00D439B8">
        <w:rPr>
          <w:vertAlign w:val="subscript"/>
        </w:rPr>
        <w:t>2</w:t>
      </w:r>
      <w:r w:rsidR="00617ABE">
        <w:t xml:space="preserve"> </w:t>
      </w:r>
      <w:r w:rsidR="00D439B8">
        <w:t xml:space="preserve">to </w:t>
      </w:r>
      <w:r w:rsidR="00617ABE">
        <w:t>form bicarbonate anions</w:t>
      </w:r>
      <w:r w:rsidR="00B03B7D">
        <w:t>,</w:t>
      </w:r>
      <w:r w:rsidR="002B4FAC">
        <w:t xml:space="preserve"> </w:t>
      </w:r>
      <w:r w:rsidR="00576F7A">
        <w:t xml:space="preserve">thereby </w:t>
      </w:r>
      <w:r w:rsidR="00B03B7D">
        <w:t>e</w:t>
      </w:r>
      <w:proofErr w:type="spellStart"/>
      <w:r w:rsidR="00D439B8">
        <w:rPr>
          <w:lang w:val="en-GB"/>
        </w:rPr>
        <w:t>n</w:t>
      </w:r>
      <w:r w:rsidR="00B03B7D">
        <w:rPr>
          <w:lang w:val="en-GB"/>
        </w:rPr>
        <w:t>hancing</w:t>
      </w:r>
      <w:proofErr w:type="spellEnd"/>
      <w:r w:rsidR="00576F7A">
        <w:rPr>
          <w:lang w:val="en-GB"/>
        </w:rPr>
        <w:t xml:space="preserve"> the ocean</w:t>
      </w:r>
      <w:r w:rsidR="001851F7">
        <w:rPr>
          <w:lang w:val="en-GB"/>
        </w:rPr>
        <w:t>’s CO</w:t>
      </w:r>
      <w:r w:rsidR="001851F7" w:rsidRPr="001851F7">
        <w:rPr>
          <w:vertAlign w:val="subscript"/>
          <w:lang w:val="en-GB"/>
        </w:rPr>
        <w:t>2</w:t>
      </w:r>
      <w:r w:rsidR="00576F7A">
        <w:rPr>
          <w:lang w:val="en-GB"/>
        </w:rPr>
        <w:t xml:space="preserve"> uptake rate</w:t>
      </w:r>
      <w:r w:rsidR="004E3210">
        <w:rPr>
          <w:lang w:val="en-GB"/>
        </w:rPr>
        <w:t>s</w:t>
      </w:r>
      <w:r w:rsidR="00D439B8">
        <w:rPr>
          <w:lang w:val="en-GB"/>
        </w:rPr>
        <w:t>.</w:t>
      </w:r>
      <w:r w:rsidR="001851F7">
        <w:rPr>
          <w:lang w:val="en-GB"/>
        </w:rPr>
        <w:t xml:space="preserve"> </w:t>
      </w:r>
      <w:r w:rsidR="00DE7CA6">
        <w:rPr>
          <w:lang w:val="en-GB"/>
        </w:rPr>
        <w:t>The limestone calciner</w:t>
      </w:r>
      <w:r w:rsidR="0014742F">
        <w:rPr>
          <w:lang w:val="en-GB"/>
        </w:rPr>
        <w:t xml:space="preserve"> needed to produce calcium oxide</w:t>
      </w:r>
      <w:r w:rsidR="00016141">
        <w:rPr>
          <w:lang w:val="en-GB"/>
        </w:rPr>
        <w:t>–located next to the shore–</w:t>
      </w:r>
      <w:r w:rsidR="00DE7CA6">
        <w:rPr>
          <w:lang w:val="en-GB"/>
        </w:rPr>
        <w:t>is either ox</w:t>
      </w:r>
      <w:r w:rsidR="0014742F">
        <w:rPr>
          <w:lang w:val="en-GB"/>
        </w:rPr>
        <w:t xml:space="preserve">y-fired or </w:t>
      </w:r>
      <w:r w:rsidR="007226AB">
        <w:rPr>
          <w:lang w:val="en-GB"/>
        </w:rPr>
        <w:t>electric</w:t>
      </w:r>
      <w:r w:rsidR="00C41DAF">
        <w:rPr>
          <w:lang w:val="en-GB"/>
        </w:rPr>
        <w:t xml:space="preserve"> </w:t>
      </w:r>
      <w:r w:rsidR="00D726E4">
        <w:rPr>
          <w:lang w:val="en-GB"/>
        </w:rPr>
        <w:t>(</w:t>
      </w:r>
      <w:r w:rsidR="0082691B">
        <w:rPr>
          <w:lang w:val="en-GB"/>
        </w:rPr>
        <w:t>as that used in the HTLS-DACCS scenarios</w:t>
      </w:r>
      <w:r w:rsidR="00D726E4">
        <w:rPr>
          <w:lang w:val="en-GB"/>
        </w:rPr>
        <w:t>)</w:t>
      </w:r>
      <w:r w:rsidR="00292D86">
        <w:rPr>
          <w:lang w:val="en-GB"/>
        </w:rPr>
        <w:t>, and</w:t>
      </w:r>
      <w:r w:rsidR="002261B3">
        <w:rPr>
          <w:lang w:val="en-GB"/>
        </w:rPr>
        <w:t xml:space="preserve"> </w:t>
      </w:r>
      <w:r w:rsidR="002261B3" w:rsidRPr="00705166">
        <w:rPr>
          <w:lang w:val="en-GB"/>
        </w:rPr>
        <w:t>the CO</w:t>
      </w:r>
      <w:r w:rsidR="002261B3" w:rsidRPr="00705166">
        <w:rPr>
          <w:vertAlign w:val="subscript"/>
          <w:lang w:val="en-GB"/>
        </w:rPr>
        <w:t>2</w:t>
      </w:r>
      <w:r w:rsidR="002261B3" w:rsidRPr="00705166">
        <w:rPr>
          <w:lang w:val="en-GB"/>
        </w:rPr>
        <w:t xml:space="preserve"> generated in the calcination process is s</w:t>
      </w:r>
      <w:r w:rsidR="00C820FA" w:rsidRPr="00705166">
        <w:rPr>
          <w:lang w:val="en-GB"/>
        </w:rPr>
        <w:t xml:space="preserve">ent to a geological </w:t>
      </w:r>
      <w:r w:rsidR="00996774" w:rsidRPr="00705166">
        <w:rPr>
          <w:lang w:val="en-GB"/>
        </w:rPr>
        <w:t>reservoir</w:t>
      </w:r>
      <w:r w:rsidR="00DB4B50" w:rsidRPr="00705166">
        <w:rPr>
          <w:lang w:val="en-GB"/>
        </w:rPr>
        <w:t xml:space="preserve"> located </w:t>
      </w:r>
      <w:r w:rsidR="00437F84" w:rsidRPr="00705166">
        <w:rPr>
          <w:lang w:val="en-GB"/>
        </w:rPr>
        <w:t xml:space="preserve">200-600 km from the industrial </w:t>
      </w:r>
      <w:r w:rsidR="00771100" w:rsidRPr="00705166">
        <w:rPr>
          <w:lang w:val="en-GB"/>
        </w:rPr>
        <w:t>site.</w:t>
      </w:r>
      <w:r w:rsidR="006278E1">
        <w:rPr>
          <w:lang w:val="en-GB"/>
        </w:rPr>
        <w:t xml:space="preserve"> The </w:t>
      </w:r>
      <w:r w:rsidR="00D7136E">
        <w:rPr>
          <w:lang w:val="en-GB"/>
        </w:rPr>
        <w:t>electricity requirements for the CO</w:t>
      </w:r>
      <w:r w:rsidR="00D7136E" w:rsidRPr="00862A49">
        <w:rPr>
          <w:vertAlign w:val="subscript"/>
          <w:lang w:val="en-GB"/>
        </w:rPr>
        <w:t>2</w:t>
      </w:r>
      <w:r w:rsidR="00D7136E">
        <w:rPr>
          <w:lang w:val="en-GB"/>
        </w:rPr>
        <w:t xml:space="preserve"> compression and recompression</w:t>
      </w:r>
      <w:r w:rsidR="00E65793">
        <w:rPr>
          <w:lang w:val="en-GB"/>
        </w:rPr>
        <w:t>, and the CO</w:t>
      </w:r>
      <w:r w:rsidR="00E65793" w:rsidRPr="00862A49">
        <w:rPr>
          <w:vertAlign w:val="subscript"/>
          <w:lang w:val="en-GB"/>
        </w:rPr>
        <w:t>2</w:t>
      </w:r>
      <w:r w:rsidR="00E65793">
        <w:rPr>
          <w:lang w:val="en-GB"/>
        </w:rPr>
        <w:t xml:space="preserve"> fugitive emissions </w:t>
      </w:r>
      <w:r w:rsidR="00940AB8">
        <w:rPr>
          <w:lang w:val="en-GB"/>
        </w:rPr>
        <w:t>associated with the CO</w:t>
      </w:r>
      <w:r w:rsidR="00940AB8" w:rsidRPr="00862A49">
        <w:rPr>
          <w:vertAlign w:val="subscript"/>
          <w:lang w:val="en-GB"/>
        </w:rPr>
        <w:t>2</w:t>
      </w:r>
      <w:r w:rsidR="00940AB8">
        <w:rPr>
          <w:lang w:val="en-GB"/>
        </w:rPr>
        <w:t xml:space="preserve"> compression and</w:t>
      </w:r>
      <w:r w:rsidR="00050483">
        <w:rPr>
          <w:lang w:val="en-GB"/>
        </w:rPr>
        <w:t xml:space="preserve"> pipe</w:t>
      </w:r>
      <w:r w:rsidR="00DC0933">
        <w:rPr>
          <w:lang w:val="en-GB"/>
        </w:rPr>
        <w:t>l</w:t>
      </w:r>
      <w:r w:rsidR="00050483">
        <w:rPr>
          <w:lang w:val="en-GB"/>
        </w:rPr>
        <w:t>ine</w:t>
      </w:r>
      <w:r w:rsidR="00940AB8">
        <w:rPr>
          <w:lang w:val="en-GB"/>
        </w:rPr>
        <w:t xml:space="preserve"> transport</w:t>
      </w:r>
      <w:r w:rsidR="00D7136E">
        <w:rPr>
          <w:lang w:val="en-GB"/>
        </w:rPr>
        <w:t xml:space="preserve"> are taken from</w:t>
      </w:r>
      <w:r w:rsidR="001B033B">
        <w:rPr>
          <w:lang w:val="en-GB"/>
        </w:rPr>
        <w:t xml:space="preserve"> </w:t>
      </w:r>
      <w:r w:rsidR="003F571D">
        <w:fldChar w:fldCharType="begin" w:fldLock="1"/>
      </w:r>
      <w:r w:rsidR="00971A76">
        <w:instrText xml:space="preserve"> ADDIN ZOTERO_ITEM CSL_CITATION {"citationID":"H9E04DH2","properties":{"formattedCitation":"\\super 28\\nosupersub{}","plainCitation":"28","noteIndex":0},"citationItems":[{"id":1444,"uris":["http://www.mendeley.com/documents/?uuid=180d59d0-eb8a-4657-a8e9-9a64160d6cb7","http://zotero.org/users/14213812/items/66TCDPKI"],"itemData":{"id":1444,"type":"article-journal","abstract":"In this study the methodology of life cycle assessment has been used to assess the environmental impacts of three pulverized coal fired electricity supply chains with and without carbon capture and storage (CCS) on a cradle to grave basis. The chain with CCS comprises post-combustion CO2 capture with monoethanolamine, compression, transport by pipeline and storage in a geological reservoir. The two reference chains represent sub-critical and state-of-the-art ultra supercritical pulverized coal fired electricity generation. For the three chains we have constructed a detailed greenhouse gas (GHG) balance, and disclosed environmental trade-offs and co-benefits due to CO2 capture, transport and storage. Results show that, due to CCS, the GHG emissions per kWh are reduced substantially to 243 g/kWh. This is a reduction of 78 and 71% compared to the sub-critical and state-of-the-art power plant, respectively. The removal of CO2 is partially offset by increased GHG emissions in up- and downstream processes, to a small extent (0.7 g/kWh) caused by the CCS infrastructure. An environmental co-benefit is expected following from the deeper reduction of hydrogen fluoride and hydrogen chloride emissions. Most notable environmental trade-offs are the increase in human toxicity, ozone layer depletion and fresh water ecotoxicity potential for which the CCS chain is outperformed by both other chains. The state-of-the-art power plant without CCS also shows a better score for the eutrophication, acidification and photochemical oxidation potential despite the deeper reduction of SOx and NOx in the CCS power plant. These reductions are offset by increased emissions in the life cycle due to the energy penalty and a factor five increase in NH3 emissions. © 2008 Elsevier Ltd. All rights reserved.","container-title":"International Journal of Greenhouse Gas Control","DOI":"10.1016/j.ijggc.2008.06.008","ISSN":"17505836","issue":"4","page":"448-467","title":"Life cycle assessment of a pulverized coal power plant with post-combustion capture, transport and storage of CO2","volume":"2","author":[{"family":"Koornneef","given":"Joris"},{"family":"Keulen","given":"Tim","non-dropping-particle":"van"},{"family":"Faaij","given":"André"},{"family":"Turkenburg","given":"Wim"}],"issued":{"date-parts":[["2008"]]}}}],"schema":"https://github.com/citation-style-language/schema/raw/master/csl-citation.json"} </w:instrText>
      </w:r>
      <w:r w:rsidR="003F571D">
        <w:fldChar w:fldCharType="separate"/>
      </w:r>
      <w:r w:rsidR="00971A76" w:rsidRPr="00971A76">
        <w:rPr>
          <w:rFonts w:ascii="Calibri" w:hAnsi="Calibri" w:cs="Calibri"/>
          <w:vertAlign w:val="superscript"/>
        </w:rPr>
        <w:t>28</w:t>
      </w:r>
      <w:r w:rsidR="003F571D">
        <w:fldChar w:fldCharType="end"/>
      </w:r>
      <w:r w:rsidR="003F571D">
        <w:rPr>
          <w:lang w:val="en-GB"/>
        </w:rPr>
        <w:t>.</w:t>
      </w:r>
      <w:r w:rsidR="00771100">
        <w:rPr>
          <w:lang w:val="en-GB"/>
        </w:rPr>
        <w:t xml:space="preserve"> </w:t>
      </w:r>
      <w:r w:rsidR="00AE1A8A">
        <w:rPr>
          <w:lang w:val="en-GB"/>
        </w:rPr>
        <w:t xml:space="preserve">The </w:t>
      </w:r>
      <w:r w:rsidR="00B155B1">
        <w:rPr>
          <w:lang w:val="en-GB"/>
        </w:rPr>
        <w:t xml:space="preserve">electricity needed in the particle </w:t>
      </w:r>
      <w:r w:rsidR="00237AB9">
        <w:rPr>
          <w:lang w:val="en-GB"/>
        </w:rPr>
        <w:t xml:space="preserve">grinding operations is provided </w:t>
      </w:r>
      <w:r w:rsidR="004F044A">
        <w:rPr>
          <w:rFonts w:cstheme="minorHAnsi"/>
          <w:lang w:val="en-GB"/>
        </w:rPr>
        <w:t>in</w:t>
      </w:r>
      <w:r w:rsidR="003C57C5">
        <w:rPr>
          <w:rFonts w:cstheme="minorHAnsi"/>
          <w:lang w:val="en-GB"/>
        </w:rPr>
        <w:t xml:space="preserve"> </w:t>
      </w:r>
      <w:r w:rsidR="001A3159">
        <w:rPr>
          <w:rFonts w:cstheme="minorHAnsi"/>
          <w:lang w:val="en-GB"/>
        </w:rPr>
        <w:fldChar w:fldCharType="begin" w:fldLock="1"/>
      </w:r>
      <w:r w:rsidR="00971A76">
        <w:rPr>
          <w:rFonts w:cstheme="minorHAnsi"/>
          <w:lang w:val="en-GB"/>
        </w:rPr>
        <w:instrText xml:space="preserve"> ADDIN ZOTERO_ITEM CSL_CITATION {"citationID":"EkHkRp0q","properties":{"formattedCitation":"\\super 29\\nosupersub{}","plainCitation":"29","noteIndex":0},"citationItems":[{"id":1303,"uris":["http://www.mendeley.com/documents/?uuid=fe57d6c1-2859-4023-9c39-552ce4efaf25","http://zotero.org/users/14213812/items/MMNPZDLS"],"itemData":{"id":1303,"type":"article-journal","abstract":"The relationship between the level of atmospheric CO2 (carbon dioxide) and the impacts of climate change is uncertain, but a safe concentration may be surpassed this century. Therefore, it is necessary to develop technologies that can accelerate CO2 removal from the atmosphere. This paper explores the engineering challenges of a technology that manipulates the carbonate system in seawater by the addition of calcium oxide powder (CaO; lime), resulting in a net sequestration of atmospheric CO2 into the ocean (ocean liming; OL). Every tonne of CO2 sequestered requires between 1.4 and 1.7tof limestone to be crushed, calcined, and distributed. Approximately 1tof CO2 would be created from this activity, of which 80% is a high purity gas (pCO298%) amenable to geological storage. It is estimated that the thermal and electrical energy requirements for OL would be 0.6-5.6and 0.1-1.2GJtCO2-1 captured respectively. A preliminary economic assessment suggests that OL could cost approximately US$72-159t-1 of CO2. The additional CO2 burden of OL makes it a poor alternative to point source mitigation. However, it may provide a means to mitigate some diffuse emissions and reduce atmospheric concentrations. © 2013 Elsevier Ltd.","container-title":"Energy","DOI":"10.1016/j.energy.2013.08.006","ISSN":"03605442","note":"publisher: Elsevier Ltd","page":"442-452","title":"Engineering challenges of ocean liming","volume":"60","author":[{"family":"Renforth","given":"P."},{"family":"Jenkins","given":"B. G."},{"family":"Kruger","given":"T."}],"issued":{"date-parts":[["2013"]]}}}],"schema":"https://github.com/citation-style-language/schema/raw/master/csl-citation.json"} </w:instrText>
      </w:r>
      <w:r w:rsidR="001A3159">
        <w:rPr>
          <w:rFonts w:cstheme="minorHAnsi"/>
          <w:lang w:val="en-GB"/>
        </w:rPr>
        <w:fldChar w:fldCharType="separate"/>
      </w:r>
      <w:r w:rsidR="00971A76" w:rsidRPr="00971A76">
        <w:rPr>
          <w:rFonts w:ascii="Calibri" w:hAnsi="Calibri" w:cs="Calibri"/>
          <w:vertAlign w:val="superscript"/>
        </w:rPr>
        <w:t>29</w:t>
      </w:r>
      <w:r w:rsidR="001A3159">
        <w:rPr>
          <w:rFonts w:cstheme="minorHAnsi"/>
          <w:lang w:val="en-GB"/>
        </w:rPr>
        <w:fldChar w:fldCharType="end"/>
      </w:r>
      <w:r w:rsidR="003C57C5">
        <w:rPr>
          <w:rFonts w:cstheme="minorHAnsi"/>
          <w:lang w:val="en-GB"/>
        </w:rPr>
        <w:t>.</w:t>
      </w:r>
      <w:r w:rsidR="0069039E">
        <w:rPr>
          <w:rFonts w:cstheme="minorHAnsi"/>
          <w:lang w:val="en-GB"/>
        </w:rPr>
        <w:t xml:space="preserve"> </w:t>
      </w:r>
    </w:p>
    <w:p w14:paraId="10E78E66" w14:textId="6467AAAB" w:rsidR="004F2B19" w:rsidRDefault="001C2F07" w:rsidP="004F2B19">
      <w:pPr>
        <w:spacing w:line="360" w:lineRule="auto"/>
        <w:jc w:val="both"/>
      </w:pPr>
      <w:r>
        <w:rPr>
          <w:lang w:val="en-GB"/>
        </w:rPr>
        <w:t>C</w:t>
      </w:r>
      <w:r w:rsidR="008E6B4D">
        <w:rPr>
          <w:lang w:val="en-GB"/>
        </w:rPr>
        <w:t>ontainer ship</w:t>
      </w:r>
      <w:r>
        <w:rPr>
          <w:lang w:val="en-GB"/>
        </w:rPr>
        <w:t>s</w:t>
      </w:r>
      <w:r w:rsidR="00D62A29">
        <w:rPr>
          <w:lang w:val="en-GB"/>
        </w:rPr>
        <w:t xml:space="preserve"> with a load capacity of 43 kt</w:t>
      </w:r>
      <w:r w:rsidR="002E78C0">
        <w:rPr>
          <w:lang w:val="en-GB"/>
        </w:rPr>
        <w:fldChar w:fldCharType="begin" w:fldLock="1"/>
      </w:r>
      <w:r w:rsidR="00971A76">
        <w:rPr>
          <w:lang w:val="en-GB"/>
        </w:rPr>
        <w:instrText xml:space="preserve"> ADDIN ZOTERO_ITEM CSL_CITATION {"citationID":"siluLnDg","properties":{"formattedCitation":"\\super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rsidR="002E78C0">
        <w:rPr>
          <w:lang w:val="en-GB"/>
        </w:rPr>
        <w:fldChar w:fldCharType="separate"/>
      </w:r>
      <w:r w:rsidR="00971A76" w:rsidRPr="00971A76">
        <w:rPr>
          <w:rFonts w:ascii="Calibri" w:hAnsi="Calibri" w:cs="Calibri"/>
          <w:vertAlign w:val="superscript"/>
        </w:rPr>
        <w:t>16</w:t>
      </w:r>
      <w:r w:rsidR="002E78C0">
        <w:rPr>
          <w:lang w:val="en-GB"/>
        </w:rPr>
        <w:fldChar w:fldCharType="end"/>
      </w:r>
      <w:r w:rsidR="00504D2A">
        <w:rPr>
          <w:lang w:val="en-GB"/>
        </w:rPr>
        <w:t xml:space="preserve"> </w:t>
      </w:r>
      <w:r w:rsidR="00DF5318">
        <w:rPr>
          <w:lang w:val="en-GB"/>
        </w:rPr>
        <w:t xml:space="preserve">progressively release the alkaline material in the seawater </w:t>
      </w:r>
      <w:r w:rsidR="00504D2A">
        <w:rPr>
          <w:lang w:val="en-GB"/>
        </w:rPr>
        <w:t xml:space="preserve">during </w:t>
      </w:r>
      <w:r w:rsidR="00374E02">
        <w:rPr>
          <w:lang w:val="en-GB"/>
        </w:rPr>
        <w:t>their</w:t>
      </w:r>
      <w:r w:rsidR="00504D2A">
        <w:rPr>
          <w:lang w:val="en-GB"/>
        </w:rPr>
        <w:t xml:space="preserve"> round-trip from the port to a maximum distance of 200 nautical miles</w:t>
      </w:r>
      <w:r w:rsidR="00BF3DC6">
        <w:rPr>
          <w:lang w:val="en-GB"/>
        </w:rPr>
        <w:t xml:space="preserve"> (</w:t>
      </w:r>
      <w:r w:rsidR="004779D3">
        <w:rPr>
          <w:lang w:val="en-GB"/>
        </w:rPr>
        <w:t xml:space="preserve">i.e., </w:t>
      </w:r>
      <w:r w:rsidR="00BA4A27">
        <w:rPr>
          <w:lang w:val="en-GB"/>
        </w:rPr>
        <w:t>within the</w:t>
      </w:r>
      <w:r w:rsidR="00BF3DC6">
        <w:rPr>
          <w:lang w:val="en-GB"/>
        </w:rPr>
        <w:t xml:space="preserve"> exclusive economic zone)</w:t>
      </w:r>
      <w:r w:rsidR="002E2CC4">
        <w:rPr>
          <w:lang w:val="en-GB"/>
        </w:rPr>
        <w:t xml:space="preserve"> and a minimum distance of </w:t>
      </w:r>
      <w:r w:rsidR="00683874">
        <w:rPr>
          <w:lang w:val="en-GB"/>
        </w:rPr>
        <w:t>179 nautical miles (</w:t>
      </w:r>
      <w:r w:rsidR="00854365">
        <w:rPr>
          <w:lang w:val="en-GB"/>
        </w:rPr>
        <w:t xml:space="preserve">which corresponds to a </w:t>
      </w:r>
      <w:r w:rsidR="000654E3">
        <w:rPr>
          <w:lang w:val="en-GB"/>
        </w:rPr>
        <w:t>particle release rate of 0.5 t/s in a round trip</w:t>
      </w:r>
      <w:r w:rsidR="00754294">
        <w:rPr>
          <w:lang w:val="en-GB"/>
        </w:rPr>
        <w:t xml:space="preserve"> at a speed of 15 knots</w:t>
      </w:r>
      <w:r w:rsidR="00683874">
        <w:rPr>
          <w:lang w:val="en-GB"/>
        </w:rPr>
        <w:t>)</w:t>
      </w:r>
      <w:r w:rsidR="00504D2A">
        <w:rPr>
          <w:lang w:val="en-GB"/>
        </w:rPr>
        <w:t xml:space="preserve">. </w:t>
      </w:r>
      <w:r w:rsidR="004B18E9">
        <w:rPr>
          <w:lang w:val="en-GB"/>
        </w:rPr>
        <w:t>We consider that 1.4-1.7 mol CO</w:t>
      </w:r>
      <w:r w:rsidR="004B18E9" w:rsidRPr="0090551A">
        <w:rPr>
          <w:vertAlign w:val="subscript"/>
          <w:lang w:val="en-GB"/>
        </w:rPr>
        <w:t>2</w:t>
      </w:r>
      <w:r w:rsidR="004B18E9">
        <w:rPr>
          <w:lang w:val="en-GB"/>
        </w:rPr>
        <w:t xml:space="preserve"> are </w:t>
      </w:r>
      <w:r w:rsidR="008239D8">
        <w:rPr>
          <w:lang w:val="en-GB"/>
        </w:rPr>
        <w:t>drawn into the ocean</w:t>
      </w:r>
      <w:r w:rsidR="007731E7">
        <w:rPr>
          <w:lang w:val="en-GB"/>
        </w:rPr>
        <w:t xml:space="preserve"> per mol calcium oxide</w:t>
      </w:r>
      <w:r w:rsidR="00C349D0">
        <w:rPr>
          <w:lang w:val="en-GB"/>
        </w:rPr>
        <w:t xml:space="preserve"> released</w:t>
      </w:r>
      <w:r w:rsidR="00C53ABA">
        <w:rPr>
          <w:lang w:val="en-GB"/>
        </w:rPr>
        <w:fldChar w:fldCharType="begin" w:fldLock="1"/>
      </w:r>
      <w:r w:rsidR="00B4317C">
        <w:rPr>
          <w:lang w:val="en-GB"/>
        </w:rPr>
        <w:instrText xml:space="preserve"> ADDIN ZOTERO_ITEM CSL_CITATION {"citationID":"aV56YIc9","properties":{"formattedCitation":"\\super 30\\nosupersub{}","plainCitation":"30","noteIndex":0},"citationItems":[{"id":"z2fanENt/o6N713cy","uris":["http://www.mendeley.com/documents/?uuid=83be6592-cb99-363b-8fbd-3a8774ef4a23"],"itemData":{"DOI":"10.1002/2016RG000533","ISSN":"19449208","abstract":"Over the coming century humanity may need to find reservoirs to store several trillions of tons of carbon dioxide (CO2) emitted from fossil fuel combustion, which would otherwise cause dangerous climate change if it were left in the atmosphere. Carbon storage in the ocean as bicarbonate ions (by increasing ocean alkalinity) has received very little attention. Yet recent work suggests sufficient capacity to sequester copious quantities of CO2. It may be possible to sequester hundreds of billions to trillions of tons of C without surpassing postindustrial average carbonate saturation states in the surface ocean. When globally distributed, the impact of elevated alkalinity is potentially small and may help ameliorate the effects of ocean acidification. However, the local impact around addition sites may be more acute but is specific to the mineral and technology. The alkalinity of the ocean increases naturally because of rock weathering in which &gt;1.5 mol of carbon are removed from the atmosphere for every mole of magnesium or calcium dissolved from silicate minerals (e.g., wollastonite, olivine, and anorthite) and 0.5 mol for carbonate minerals (e.g., calcite and dolomite). These processes are responsible for naturally sequestering 0.5 billion tons of CO2 per year. Alkalinity is reduced in the ocean through carbonate mineral precipitation, which is almost exclusively formed from biological activity. Most of the previous work on the biological response to changes in carbonate chemistry have focused on acidifying conditions. More research is required to understand carbonate precipitation at elevated alkalinity to constrain the longevity of carbon storage. A range of technologies have been proposed to increase ocean alkalinity (accelerated weathering of limestone, enhanced weathering, electrochemical promoted weathering, and ocean liming), the cost of which may be comparable to alternative carbon sequestration proposals (e.g., $20–100 tCO2−1). There are still many unanswered technical, environmental, social, and ethical questions, but the scale of the carbon sequestration challenge warrants research to address these.","author":[{"dropping-particle":"","family":"Renforth","given":"Phil","non-dropping-particle":"","parse-names":false,"suffix":""},{"dropping-particle":"","family":"Henderson","given":"Gideon","non-dropping-particle":"","parse-names":false,"suffix":""}],"container-title":"Reviews of Geophysics","id":"ITEM-1","issue":"3","issued":{"date-parts":[["2017","9","1"]]},"page":"636-674","publisher":"Blackwell Publishing Ltd","title":"Assessing ocean alkalinity for carbon sequestration","type":"article-journal","volume":"55"}}],"schema":"https://github.com/citation-style-language/schema/raw/master/csl-citation.json"} </w:instrText>
      </w:r>
      <w:r w:rsidR="00C53ABA">
        <w:rPr>
          <w:lang w:val="en-GB"/>
        </w:rPr>
        <w:fldChar w:fldCharType="separate"/>
      </w:r>
      <w:r w:rsidR="00971A76" w:rsidRPr="00971A76">
        <w:rPr>
          <w:rFonts w:ascii="Calibri" w:hAnsi="Calibri" w:cs="Calibri"/>
          <w:vertAlign w:val="superscript"/>
        </w:rPr>
        <w:t>30</w:t>
      </w:r>
      <w:r w:rsidR="00C53ABA">
        <w:rPr>
          <w:lang w:val="en-GB"/>
        </w:rPr>
        <w:fldChar w:fldCharType="end"/>
      </w:r>
      <w:r w:rsidR="00C974FB">
        <w:rPr>
          <w:lang w:val="en-GB"/>
        </w:rPr>
        <w:t xml:space="preserve">. </w:t>
      </w:r>
      <w:r w:rsidR="006B24EC">
        <w:t xml:space="preserve">Since CDR occurs </w:t>
      </w:r>
      <w:r w:rsidR="008F4252">
        <w:t>less than</w:t>
      </w:r>
      <w:r w:rsidR="006B24EC">
        <w:t xml:space="preserve"> one year after the alkalinity addition (depending on the local oceanographic properties)</w:t>
      </w:r>
      <w:r w:rsidR="00163585">
        <w:fldChar w:fldCharType="begin" w:fldLock="1"/>
      </w:r>
      <w:r w:rsidR="00971A76">
        <w:instrText xml:space="preserve"> ADDIN ZOTERO_ITEM CSL_CITATION {"citationID":"XZZoHlho","properties":{"formattedCitation":"\\super 31\\nosupersub{}","plainCitation":"31","noteIndex":0},"citationItems":[{"id":2248,"uris":["http://www.mendeley.com/documents/?uuid=85c00344-03a6-4ca0-85bc-6bf5add3a1e8","http://zotero.org/users/14213812/items/7KRKU6SS"],"itemData":{"id":2248,"type":"book","event-place":"Washinton, DC","ISBN":"978-0-309-08761-2","note":"DOI: 10.17226/26278","publisher":"The National Academies Press","publisher-place":"Washinton, DC","title":"A Research Strategy for Ocean-based Carbon Dioxide Removal and Sequestration","author":[{"literal":"National Academies of Sciences Engineering and Medicine"}],"issued":{"date-parts":[["2021"]]}}}],"schema":"https://github.com/citation-style-language/schema/raw/master/csl-citation.json"} </w:instrText>
      </w:r>
      <w:r w:rsidR="00163585">
        <w:fldChar w:fldCharType="separate"/>
      </w:r>
      <w:r w:rsidR="00971A76" w:rsidRPr="00971A76">
        <w:rPr>
          <w:rFonts w:ascii="Calibri" w:hAnsi="Calibri" w:cs="Calibri"/>
          <w:vertAlign w:val="superscript"/>
        </w:rPr>
        <w:t>31</w:t>
      </w:r>
      <w:r w:rsidR="00163585">
        <w:fldChar w:fldCharType="end"/>
      </w:r>
      <w:r w:rsidR="006B24EC">
        <w:t xml:space="preserve"> </w:t>
      </w:r>
      <w:r w:rsidR="006B24EC" w:rsidRPr="006B24EC">
        <w:t xml:space="preserve">our model does not consider dynamic characterization factors to account for </w:t>
      </w:r>
      <w:r w:rsidR="00515C61">
        <w:t xml:space="preserve">CDR </w:t>
      </w:r>
      <w:r w:rsidR="006B24EC" w:rsidRPr="006B24EC">
        <w:t>delays.</w:t>
      </w:r>
      <w:r w:rsidR="006B24EC">
        <w:t xml:space="preserve"> </w:t>
      </w:r>
      <w:r w:rsidR="004F2B19">
        <w:br w:type="page"/>
      </w:r>
    </w:p>
    <w:p w14:paraId="79AEE029" w14:textId="7DC961C5" w:rsidR="00834427" w:rsidRPr="00B752C4" w:rsidRDefault="007B7988" w:rsidP="00B04EEA">
      <w:pPr>
        <w:pStyle w:val="Ttulo2"/>
        <w:spacing w:after="240"/>
        <w:rPr>
          <w:rFonts w:asciiTheme="minorHAnsi" w:hAnsiTheme="minorHAnsi" w:cstheme="minorHAnsi"/>
          <w:i/>
          <w:iCs/>
          <w:color w:val="auto"/>
          <w:sz w:val="22"/>
          <w:szCs w:val="22"/>
        </w:rPr>
      </w:pPr>
      <w:bookmarkStart w:id="9" w:name="_Toc194330854"/>
      <w:r>
        <w:rPr>
          <w:rFonts w:asciiTheme="minorHAnsi" w:hAnsiTheme="minorHAnsi" w:cstheme="minorHAnsi"/>
          <w:b/>
          <w:bCs/>
          <w:color w:val="auto"/>
          <w:sz w:val="22"/>
          <w:szCs w:val="22"/>
        </w:rPr>
        <w:lastRenderedPageBreak/>
        <w:t>3</w:t>
      </w:r>
      <w:r w:rsidR="00834427" w:rsidRPr="00C73D01">
        <w:rPr>
          <w:rFonts w:asciiTheme="minorHAnsi" w:hAnsiTheme="minorHAnsi" w:cstheme="minorHAnsi"/>
          <w:b/>
          <w:bCs/>
          <w:color w:val="auto"/>
          <w:sz w:val="22"/>
          <w:szCs w:val="22"/>
        </w:rPr>
        <w:t>.3 Enhanced weathering</w:t>
      </w:r>
      <w:bookmarkEnd w:id="9"/>
    </w:p>
    <w:p w14:paraId="5EBB26F3" w14:textId="59F5AA7C" w:rsidR="00E50249" w:rsidRPr="00BC188A" w:rsidRDefault="00947848" w:rsidP="00BC188A">
      <w:pPr>
        <w:spacing w:line="360" w:lineRule="auto"/>
        <w:jc w:val="both"/>
        <w:rPr>
          <w:i/>
          <w:iCs/>
        </w:rPr>
      </w:pPr>
      <w:r>
        <w:rPr>
          <w:rFonts w:cstheme="minorHAnsi"/>
        </w:rPr>
        <w:t xml:space="preserve">The enhanced weathering scenarios accelerate natural weathering processes by grinding rocks containing silicate minerals (dunite and basalt) and spreading them over coastal </w:t>
      </w:r>
      <w:r w:rsidRPr="00B729B9">
        <w:rPr>
          <w:rFonts w:cstheme="minorHAnsi"/>
        </w:rPr>
        <w:t>or inland areas.</w:t>
      </w:r>
      <w:r w:rsidR="00AA3595">
        <w:rPr>
          <w:rFonts w:cstheme="minorHAnsi"/>
        </w:rPr>
        <w:t xml:space="preserve"> For the latter, we assume an equal distribution </w:t>
      </w:r>
      <w:r w:rsidR="00435B93">
        <w:rPr>
          <w:rFonts w:cstheme="minorHAnsi"/>
        </w:rPr>
        <w:t>(50/50%) between croplands and forestlands.</w:t>
      </w:r>
      <w:r>
        <w:rPr>
          <w:rFonts w:cstheme="minorHAnsi"/>
        </w:rPr>
        <w:t xml:space="preserve"> </w:t>
      </w:r>
      <w:r w:rsidR="00BC188A" w:rsidRPr="00BC188A">
        <w:t>The rock materials are dissolved in the presence of water, reacting with CO</w:t>
      </w:r>
      <w:r w:rsidR="00BC188A" w:rsidRPr="00BC188A">
        <w:rPr>
          <w:vertAlign w:val="subscript"/>
        </w:rPr>
        <w:t>2</w:t>
      </w:r>
      <w:r w:rsidR="00685470" w:rsidRPr="00EB19F6">
        <w:rPr>
          <w:rFonts w:cstheme="minorHAnsi"/>
        </w:rPr>
        <w:t xml:space="preserve"> </w:t>
      </w:r>
      <w:r w:rsidR="00E35C20" w:rsidRPr="00EB19F6">
        <w:rPr>
          <w:rFonts w:cstheme="minorHAnsi"/>
        </w:rPr>
        <w:t xml:space="preserve">(reaction </w:t>
      </w:r>
      <w:r w:rsidR="0048518E">
        <w:rPr>
          <w:rFonts w:cstheme="minorHAnsi"/>
        </w:rPr>
        <w:t>below</w:t>
      </w:r>
      <w:r w:rsidR="00FB4396" w:rsidRPr="00EB19F6">
        <w:rPr>
          <w:rFonts w:cstheme="minorHAnsi"/>
        </w:rPr>
        <w:t xml:space="preserve">, where </w:t>
      </w:r>
      <m:oMath>
        <m:r>
          <w:rPr>
            <w:rFonts w:ascii="Cambria Math" w:hAnsi="Cambria Math" w:cstheme="minorHAnsi"/>
          </w:rPr>
          <m:t>Me</m:t>
        </m:r>
      </m:oMath>
      <w:r w:rsidR="00FB4396" w:rsidRPr="00EB19F6">
        <w:rPr>
          <w:rFonts w:cstheme="minorHAnsi"/>
        </w:rPr>
        <w:t xml:space="preserve"> </w:t>
      </w:r>
      <w:r w:rsidR="00F34442" w:rsidRPr="00EB19F6">
        <w:rPr>
          <w:rFonts w:cstheme="minorHAnsi"/>
        </w:rPr>
        <w:t>represents a divalent metal</w:t>
      </w:r>
      <w:r w:rsidR="00E35C20" w:rsidRPr="00EB19F6">
        <w:rPr>
          <w:rFonts w:cstheme="minorHAnsi"/>
        </w:rPr>
        <w:t>)</w:t>
      </w:r>
      <w:r w:rsidR="003A08E7">
        <w:rPr>
          <w:rFonts w:cstheme="minorHAnsi"/>
        </w:rPr>
        <w:t xml:space="preserve"> and</w:t>
      </w:r>
      <w:r w:rsidR="0042453B">
        <w:rPr>
          <w:rFonts w:cstheme="minorHAnsi"/>
        </w:rPr>
        <w:t xml:space="preserve"> </w:t>
      </w:r>
      <w:r w:rsidR="0042453B" w:rsidRPr="003C217C">
        <w:rPr>
          <w:rFonts w:cstheme="minorHAnsi"/>
        </w:rPr>
        <w:t xml:space="preserve">driving the transfer of </w:t>
      </w:r>
      <w:r w:rsidR="009F7AB4">
        <w:rPr>
          <w:rFonts w:cstheme="minorHAnsi"/>
        </w:rPr>
        <w:t xml:space="preserve">additional </w:t>
      </w:r>
      <w:r w:rsidR="002B334F">
        <w:rPr>
          <w:rFonts w:cstheme="minorHAnsi"/>
        </w:rPr>
        <w:t xml:space="preserve">atmospheric </w:t>
      </w:r>
      <w:r w:rsidR="0042453B" w:rsidRPr="003C217C">
        <w:rPr>
          <w:rFonts w:cstheme="minorHAnsi"/>
        </w:rPr>
        <w:t>CO</w:t>
      </w:r>
      <w:r w:rsidR="0042453B" w:rsidRPr="003C217C">
        <w:rPr>
          <w:rFonts w:cstheme="minorHAnsi"/>
          <w:vertAlign w:val="subscript"/>
        </w:rPr>
        <w:t>2</w:t>
      </w:r>
      <w:r w:rsidR="0042453B" w:rsidRPr="003C217C">
        <w:rPr>
          <w:rFonts w:cstheme="minorHAnsi"/>
        </w:rPr>
        <w:t xml:space="preserve"> to the wa</w:t>
      </w:r>
      <w:r w:rsidR="00F43C47" w:rsidRPr="003C217C">
        <w:rPr>
          <w:rFonts w:cstheme="minorHAnsi"/>
        </w:rPr>
        <w:t>ter</w:t>
      </w:r>
      <w:r w:rsidR="002B76C4">
        <w:rPr>
          <w:rFonts w:cstheme="minorHAnsi"/>
        </w:rPr>
        <w:fldChar w:fldCharType="begin" w:fldLock="1"/>
      </w:r>
      <w:r w:rsidR="00971A76">
        <w:rPr>
          <w:rFonts w:cstheme="minorHAnsi"/>
        </w:rPr>
        <w:instrText xml:space="preserve"> ADDIN ZOTERO_ITEM CSL_CITATION {"citationID":"9kAuUZMs","properties":{"formattedCitation":"\\super 32,33\\nosupersub{}","plainCitation":"32,33","noteIndex":0},"citationItems":[{"id":2693,"uris":["http://www.mendeley.com/documents/?uuid=fdfab05c-afed-4bee-8bd6-f1a9aa49af13","http://zotero.org/users/14213812/items/36AC5J6F"],"itemData":{"id":2693,"type":"article-journal","abstract":"Chemical weathering is an integral part of both the rock and carbon cycles and is being affected by changes in land use, particularly as a result of agricultural practices such as tilling, mineral fertilization, or liming to adjust soil pH. These human activities have already altered the terrestrial chemical cycles and land-ocean flux of major elements, although the extent remains difficult to quantify. When deployed on a grand scale, Enhanced Weathering (a form of mineral fertilization), the application of finely ground minerals over the land surface, could be used to remove CO&lt;inf&gt;2&lt;/inf&gt; from the atmosphere. The release of cations during the dissolution of such silicate minerals would convert dissolved CO&lt;inf&gt;2&lt;/inf&gt; to bicarbonate, increasing the alkalinity and pH of natural waters. Some products of mineral dissolution would precipitate in soils or be taken up by ecosystems, but a significant portion would be transported to the coastal zone and the open ocean, where the increase in alkalinity would partially counteract \"ocean acidification\" associated with the current marked increase in atmospheric CO&lt;inf&gt;2&lt;/inf&gt;. Other elements released during this mineral dissolution, like Si, P, or K, could stimulate biological productivity, further helping to remove CO&lt;inf&gt;2&lt;/inf&gt; from the atmosphere. On land, the terrestrial carbon pool would likely increase in response to Enhanced Weathering in areas where ecosystem growth rates are currently limited by one of the nutrients that would be released during mineral dissolution. In the ocean, the biological carbon pumps (which export organic matter and CaCO&lt;inf&gt;3&lt;/inf&gt; to the deep ocean) may be altered by the resulting influx of nutrients and alkalinity to the ocean. This review merges current interdisciplinary knowledge about Enhanced Weathering, the processes involved, and the applicability as well as some of the consequences and risks of applying the method. Key Points Enhanced Weathering impacts the C-cycle, NPP and ocean acidity Enhanced Weathering alters besides the C-cycle further nutrient cycles The rock for crop concept is already applied as Enhanced Weathering © 2013. American Geophysical Union. All Rights Reserved.","container-title":"Reviews of Geophysics","DOI":"10.1002/rog.20004","ISSN":"19449208","issue":"2","page":"113-149","title":"Enhanced chemical weathering as a geoengineering strategy to reduce atmospheric carbon dioxide, supply nutrients, and mitigate ocean acidification","volume":"51","author":[{"family":"Hartmann","given":"Jens"},{"family":"West","given":"A. Joshua"},{"family":"Renforth","given":"Phil"},{"family":"Köhler","given":"Peter"},{"family":"De La Rocha","given":"Christina L."},{"family":"Wolf-Gladrow","given":"Dieter A."},{"family":"Dürr","given":"Hans H."},{"family":"Scheffran","given":"Jürgen"}],"issued":{"date-parts":[["2013"]]}}},{"id":1299,"uris":["http://www.mendeley.com/documents/?uuid=d1b5c7bb-3fa1-48fc-b9de-734c8806985e","http://zotero.org/users/14213812/items/5AEBZSM4"],"itemData":{"id":1299,"type":"article-journal","abstract":"7 billion tonnes of alkaline materials are produced globally each year as a product or by-product of industrial activity. The aqueous dissolution of these materials creates high pH solutions that dissolves CO 2 to store carbon in the form of solid carbonate minerals or dissolved bicarbonate ions. Here we show that these materials have a carbon dioxide storage potential of 2.9–8.5 billion tonnes per year by 2100, and may contribute a substantial proportion of the negative emissions required to limit global temperature change to &lt;2 °C.","container-title":"Nature Communications","DOI":"10.1038/s41467-019-09475-5","ISSN":"20411723","issue":"1","note":"PMID: 30923316\npublisher: Springer US","page":"1401","title":"The negative emission potential of alkaline materials","volume":"10","author":[{"family":"Renforth","given":"Phil"}],"issued":{"date-parts":[["2019"]]}}}],"schema":"https://github.com/citation-style-language/schema/raw/master/csl-citation.json"} </w:instrText>
      </w:r>
      <w:r w:rsidR="002B76C4">
        <w:rPr>
          <w:rFonts w:cstheme="minorHAnsi"/>
        </w:rPr>
        <w:fldChar w:fldCharType="separate"/>
      </w:r>
      <w:r w:rsidR="00971A76" w:rsidRPr="00971A76">
        <w:rPr>
          <w:rFonts w:ascii="Calibri" w:hAnsi="Calibri" w:cs="Calibri"/>
          <w:vertAlign w:val="superscript"/>
        </w:rPr>
        <w:t>32,33</w:t>
      </w:r>
      <w:r w:rsidR="002B76C4">
        <w:rPr>
          <w:rFonts w:cstheme="minorHAnsi"/>
        </w:rPr>
        <w:fldChar w:fldCharType="end"/>
      </w:r>
      <w:r w:rsidR="004C6BA0">
        <w:rPr>
          <w:rFonts w:cstheme="minorHAnsi"/>
        </w:rPr>
        <w:t>.</w:t>
      </w:r>
      <w:r w:rsidR="009C7A59" w:rsidRPr="003C217C">
        <w:rPr>
          <w:rFonts w:cstheme="minorHAnsi"/>
        </w:rPr>
        <w:t xml:space="preserve"> Runoff transports the</w:t>
      </w:r>
      <w:r w:rsidR="00F43C47" w:rsidRPr="003C217C">
        <w:rPr>
          <w:rFonts w:cstheme="minorHAnsi"/>
        </w:rPr>
        <w:t xml:space="preserve"> produced bicarbonate</w:t>
      </w:r>
      <w:r w:rsidR="009C7A59" w:rsidRPr="00EB19F6">
        <w:rPr>
          <w:rFonts w:cstheme="minorHAnsi"/>
        </w:rPr>
        <w:t xml:space="preserve"> </w:t>
      </w:r>
      <w:r w:rsidR="002A2280">
        <w:rPr>
          <w:rFonts w:cstheme="minorHAnsi"/>
        </w:rPr>
        <w:t>ani</w:t>
      </w:r>
      <w:r w:rsidR="009C7A59" w:rsidRPr="00EB19F6">
        <w:rPr>
          <w:rFonts w:cstheme="minorHAnsi"/>
        </w:rPr>
        <w:t>ons to the oceans, where their residence time exceeds 100,000 years</w:t>
      </w:r>
      <w:r w:rsidR="00BC3280">
        <w:rPr>
          <w:rFonts w:cstheme="minorHAnsi"/>
        </w:rPr>
        <w:fldChar w:fldCharType="begin" w:fldLock="1"/>
      </w:r>
      <w:r w:rsidR="00971A76">
        <w:rPr>
          <w:rFonts w:cstheme="minorHAnsi"/>
        </w:rPr>
        <w:instrText xml:space="preserve"> ADDIN ZOTERO_ITEM CSL_CITATION {"citationID":"j2moWxd1","properties":{"formattedCitation":"\\super 34\\nosupersub{}","plainCitation":"34","noteIndex":0},"citationItems":[{"id":2028,"uris":["http://www.mendeley.com/documents/?uuid=5b2d2226-6c64-42cc-b96f-860a00bd4ba4","http://zotero.org/users/14213812/items/IQLU8EC3"],"itemData":{"id":2028,"type":"article-journal","abstract":"Meeting the net-zero carbon emissions commitments of major economies by mid-century requires large-scale deployment of negative emission technologies (NETs). Terrestrial enhanced rock weathering on croplands (ERW) is a NET with co-benefits for agriculture, soils and ocean acidification that creates opportunities for generating income unaffected by diminishing carbon taxes as emissions approach net-zero. Here we show that ERW deployment with croplands to deliver net 2 Gt CO2 yr-1 removal approximately doubles the probability of meeting the Paris 1.5 °C target at 2100 from 23% to 42% in a high mitigation Representative Concentration Pathway 2.6 baseline climate. Carbon removal via carbon capture and storage (CCS) at the same rate had an equivalent effect. Co-deployment of ERW and CCS tripled the chances of meeting a 1.5 °C target (from 23% to 67%), and may be sufficient to reverse about one third of the surface ocean acidification effect caused by increases in atmospheric CO2 over the past 200 years. ERW increased the percentage of coral reefs above an aragonite saturation threshold of 3.5 from 16% to 39% at 2100, higher than CCS, highlighting a co-benefit for marine calcifying ecosystems. However, the degree of ocean state recovery in our simulations is highly uncertain and ERW deployment cannot substitute for near-term rapid CO2 emissions reductions.","container-title":"Environmental Research Letters","DOI":"10.1088/1748-9326/ac1818","ISSN":"17489326","issue":"9","page":"094005","title":"The role of enhanced rock weathering deployment with agriculture in limiting future warming and protecting coral reefs","volume":"16","author":[{"family":"Vakilifard","given":"Negar"},{"family":"Kantzas","given":"Euripides P"},{"family":"Edwards","given":"Neil R"},{"family":"Holden","given":"Philip B"},{"family":"Beerling","given":"David J"}],"issued":{"date-parts":[["2021"]]}}}],"schema":"https://github.com/citation-style-language/schema/raw/master/csl-citation.json"} </w:instrText>
      </w:r>
      <w:r w:rsidR="00BC3280">
        <w:rPr>
          <w:rFonts w:cstheme="minorHAnsi"/>
        </w:rPr>
        <w:fldChar w:fldCharType="separate"/>
      </w:r>
      <w:r w:rsidR="00971A76" w:rsidRPr="00971A76">
        <w:rPr>
          <w:rFonts w:ascii="Calibri" w:hAnsi="Calibri" w:cs="Calibri"/>
          <w:vertAlign w:val="superscript"/>
        </w:rPr>
        <w:t>34</w:t>
      </w:r>
      <w:r w:rsidR="00BC3280">
        <w:rPr>
          <w:rFonts w:cstheme="minorHAnsi"/>
        </w:rPr>
        <w:fldChar w:fldCharType="end"/>
      </w:r>
      <w:r w:rsidR="00BC3280">
        <w:rPr>
          <w:rFonts w:cstheme="minorHAnsi"/>
        </w:rPr>
        <w:t>.</w:t>
      </w:r>
    </w:p>
    <w:tbl>
      <w:tblPr>
        <w:tblStyle w:val="Tablaconcuadrcula"/>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tblGrid>
      <w:tr w:rsidR="0048518E" w:rsidRPr="00F43C47" w14:paraId="20C5B250" w14:textId="77777777" w:rsidTr="00E52997">
        <w:tc>
          <w:tcPr>
            <w:tcW w:w="8500" w:type="dxa"/>
          </w:tcPr>
          <w:p w14:paraId="1C4223A4" w14:textId="670A96A0" w:rsidR="0048518E" w:rsidRPr="00F43C47" w:rsidRDefault="0048518E" w:rsidP="00BC188A">
            <w:pPr>
              <w:spacing w:line="360" w:lineRule="auto"/>
              <w:jc w:val="both"/>
              <w:rPr>
                <w:rFonts w:cstheme="minorHAnsi"/>
              </w:rPr>
            </w:pPr>
            <m:oMathPara>
              <m:oMath>
                <m:r>
                  <w:rPr>
                    <w:rFonts w:ascii="Cambria Math" w:hAnsi="Cambria Math" w:cstheme="minorHAnsi"/>
                    <w:lang w:val="es-ES"/>
                  </w:rPr>
                  <m:t>M</m:t>
                </m:r>
                <m:sSub>
                  <m:sSubPr>
                    <m:ctrlPr>
                      <w:rPr>
                        <w:rFonts w:ascii="Cambria Math" w:hAnsi="Cambria Math" w:cstheme="minorHAnsi"/>
                        <w:i/>
                        <w:lang w:val="es-ES"/>
                      </w:rPr>
                    </m:ctrlPr>
                  </m:sSubPr>
                  <m:e>
                    <m:r>
                      <w:rPr>
                        <w:rFonts w:ascii="Cambria Math" w:hAnsi="Cambria Math" w:cstheme="minorHAnsi"/>
                        <w:lang w:val="es-ES"/>
                      </w:rPr>
                      <m:t>e</m:t>
                    </m:r>
                  </m:e>
                  <m:sub>
                    <m:r>
                      <w:rPr>
                        <w:rFonts w:ascii="Cambria Math" w:hAnsi="Cambria Math" w:cstheme="minorHAnsi"/>
                      </w:rPr>
                      <m:t>2</m:t>
                    </m:r>
                  </m:sub>
                </m:sSub>
                <m:r>
                  <w:rPr>
                    <w:rFonts w:ascii="Cambria Math" w:hAnsi="Cambria Math" w:cstheme="minorHAnsi"/>
                    <w:lang w:val="es-ES"/>
                  </w:rPr>
                  <m:t>Si</m:t>
                </m:r>
                <m:sSub>
                  <m:sSubPr>
                    <m:ctrlPr>
                      <w:rPr>
                        <w:rFonts w:ascii="Cambria Math" w:hAnsi="Cambria Math" w:cstheme="minorHAnsi"/>
                        <w:i/>
                        <w:lang w:val="es-ES"/>
                      </w:rPr>
                    </m:ctrlPr>
                  </m:sSubPr>
                  <m:e>
                    <m:r>
                      <w:rPr>
                        <w:rFonts w:ascii="Cambria Math" w:hAnsi="Cambria Math" w:cstheme="minorHAnsi"/>
                        <w:lang w:val="es-ES"/>
                      </w:rPr>
                      <m:t>O</m:t>
                    </m:r>
                  </m:e>
                  <m:sub>
                    <m:r>
                      <w:rPr>
                        <w:rFonts w:ascii="Cambria Math" w:hAnsi="Cambria Math" w:cstheme="minorHAnsi"/>
                      </w:rPr>
                      <m:t>4</m:t>
                    </m:r>
                  </m:sub>
                </m:sSub>
                <m:r>
                  <w:rPr>
                    <w:rFonts w:ascii="Cambria Math" w:hAnsi="Cambria Math" w:cstheme="minorHAnsi"/>
                  </w:rPr>
                  <m:t>+4</m:t>
                </m:r>
                <m:r>
                  <w:rPr>
                    <w:rFonts w:ascii="Cambria Math" w:hAnsi="Cambria Math" w:cstheme="minorHAnsi"/>
                    <w:lang w:val="es-ES"/>
                  </w:rPr>
                  <m:t>C</m:t>
                </m:r>
                <m:sSub>
                  <m:sSubPr>
                    <m:ctrlPr>
                      <w:rPr>
                        <w:rFonts w:ascii="Cambria Math" w:hAnsi="Cambria Math" w:cstheme="minorHAnsi"/>
                        <w:i/>
                        <w:lang w:val="es-ES"/>
                      </w:rPr>
                    </m:ctrlPr>
                  </m:sSubPr>
                  <m:e>
                    <m:r>
                      <w:rPr>
                        <w:rFonts w:ascii="Cambria Math" w:hAnsi="Cambria Math" w:cstheme="minorHAnsi"/>
                        <w:lang w:val="es-ES"/>
                      </w:rPr>
                      <m:t>O</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lang w:val="es-ES"/>
                      </w:rPr>
                    </m:ctrlPr>
                  </m:sSubPr>
                  <m:e>
                    <m:r>
                      <w:rPr>
                        <w:rFonts w:ascii="Cambria Math" w:hAnsi="Cambria Math" w:cstheme="minorHAnsi"/>
                      </w:rPr>
                      <m:t>4</m:t>
                    </m:r>
                    <m:r>
                      <w:rPr>
                        <w:rFonts w:ascii="Cambria Math" w:hAnsi="Cambria Math" w:cstheme="minorHAnsi"/>
                        <w:lang w:val="es-ES"/>
                      </w:rPr>
                      <m:t>H</m:t>
                    </m:r>
                  </m:e>
                  <m:sub>
                    <m:r>
                      <w:rPr>
                        <w:rFonts w:ascii="Cambria Math" w:hAnsi="Cambria Math" w:cstheme="minorHAnsi"/>
                      </w:rPr>
                      <m:t>2</m:t>
                    </m:r>
                  </m:sub>
                </m:sSub>
                <m:r>
                  <w:rPr>
                    <w:rFonts w:ascii="Cambria Math" w:hAnsi="Cambria Math" w:cstheme="minorHAnsi"/>
                    <w:lang w:val="es-ES"/>
                  </w:rPr>
                  <m:t>O</m:t>
                </m:r>
                <m:r>
                  <w:rPr>
                    <w:rFonts w:ascii="Cambria Math" w:hAnsi="Cambria Math" w:cstheme="minorHAnsi"/>
                  </w:rPr>
                  <m:t>→2</m:t>
                </m:r>
                <m:r>
                  <w:rPr>
                    <w:rFonts w:ascii="Cambria Math" w:hAnsi="Cambria Math" w:cstheme="minorHAnsi"/>
                    <w:lang w:val="es-ES"/>
                  </w:rPr>
                  <m:t>M</m:t>
                </m:r>
                <m:sSup>
                  <m:sSupPr>
                    <m:ctrlPr>
                      <w:rPr>
                        <w:rFonts w:ascii="Cambria Math" w:hAnsi="Cambria Math" w:cstheme="minorHAnsi"/>
                        <w:i/>
                        <w:lang w:val="es-ES"/>
                      </w:rPr>
                    </m:ctrlPr>
                  </m:sSupPr>
                  <m:e>
                    <m:r>
                      <w:rPr>
                        <w:rFonts w:ascii="Cambria Math" w:hAnsi="Cambria Math" w:cstheme="minorHAnsi"/>
                        <w:lang w:val="es-ES"/>
                      </w:rPr>
                      <m:t>e</m:t>
                    </m:r>
                  </m:e>
                  <m:sup>
                    <m:r>
                      <w:rPr>
                        <w:rFonts w:ascii="Cambria Math" w:hAnsi="Cambria Math" w:cstheme="minorHAnsi"/>
                      </w:rPr>
                      <m:t>2+</m:t>
                    </m:r>
                  </m:sup>
                </m:sSup>
                <m:r>
                  <w:rPr>
                    <w:rFonts w:ascii="Cambria Math" w:hAnsi="Cambria Math" w:cstheme="minorHAnsi"/>
                  </w:rPr>
                  <m:t>+4</m:t>
                </m:r>
                <m:r>
                  <w:rPr>
                    <w:rFonts w:ascii="Cambria Math" w:hAnsi="Cambria Math" w:cstheme="minorHAnsi"/>
                    <w:lang w:val="es-ES"/>
                  </w:rPr>
                  <m:t>HC</m:t>
                </m:r>
                <m:sSubSup>
                  <m:sSubSupPr>
                    <m:ctrlPr>
                      <w:rPr>
                        <w:rFonts w:ascii="Cambria Math" w:hAnsi="Cambria Math" w:cstheme="minorHAnsi"/>
                        <w:i/>
                        <w:lang w:val="es-ES"/>
                      </w:rPr>
                    </m:ctrlPr>
                  </m:sSubSupPr>
                  <m:e>
                    <m:r>
                      <w:rPr>
                        <w:rFonts w:ascii="Cambria Math" w:hAnsi="Cambria Math" w:cstheme="minorHAnsi"/>
                        <w:lang w:val="es-ES"/>
                      </w:rPr>
                      <m:t>O</m:t>
                    </m:r>
                  </m:e>
                  <m:sub>
                    <m:r>
                      <w:rPr>
                        <w:rFonts w:ascii="Cambria Math" w:hAnsi="Cambria Math" w:cstheme="minorHAnsi"/>
                      </w:rPr>
                      <m:t>3</m:t>
                    </m:r>
                  </m:sub>
                  <m:sup>
                    <m:r>
                      <w:rPr>
                        <w:rFonts w:ascii="Cambria Math" w:hAnsi="Cambria Math" w:cstheme="minorHAnsi"/>
                      </w:rPr>
                      <m:t>-</m:t>
                    </m:r>
                  </m:sup>
                </m:sSubSup>
                <m:r>
                  <w:rPr>
                    <w:rFonts w:ascii="Cambria Math" w:hAnsi="Cambria Math" w:cstheme="minorHAnsi"/>
                  </w:rPr>
                  <m:t>+</m:t>
                </m:r>
                <m:sSub>
                  <m:sSubPr>
                    <m:ctrlPr>
                      <w:rPr>
                        <w:rFonts w:ascii="Cambria Math" w:hAnsi="Cambria Math" w:cstheme="minorHAnsi"/>
                        <w:i/>
                        <w:lang w:val="es-ES"/>
                      </w:rPr>
                    </m:ctrlPr>
                  </m:sSubPr>
                  <m:e>
                    <m:r>
                      <w:rPr>
                        <w:rFonts w:ascii="Cambria Math" w:hAnsi="Cambria Math" w:cstheme="minorHAnsi"/>
                        <w:lang w:val="es-ES"/>
                      </w:rPr>
                      <m:t>H</m:t>
                    </m:r>
                  </m:e>
                  <m:sub>
                    <m:r>
                      <w:rPr>
                        <w:rFonts w:ascii="Cambria Math" w:hAnsi="Cambria Math" w:cstheme="minorHAnsi"/>
                      </w:rPr>
                      <m:t>4</m:t>
                    </m:r>
                  </m:sub>
                </m:sSub>
                <m:r>
                  <w:rPr>
                    <w:rFonts w:ascii="Cambria Math" w:hAnsi="Cambria Math" w:cstheme="minorHAnsi"/>
                    <w:lang w:val="es-ES"/>
                  </w:rPr>
                  <m:t>Si</m:t>
                </m:r>
                <m:sSub>
                  <m:sSubPr>
                    <m:ctrlPr>
                      <w:rPr>
                        <w:rFonts w:ascii="Cambria Math" w:hAnsi="Cambria Math" w:cstheme="minorHAnsi"/>
                        <w:i/>
                        <w:lang w:val="es-ES"/>
                      </w:rPr>
                    </m:ctrlPr>
                  </m:sSubPr>
                  <m:e>
                    <m:r>
                      <w:rPr>
                        <w:rFonts w:ascii="Cambria Math" w:hAnsi="Cambria Math" w:cstheme="minorHAnsi"/>
                        <w:lang w:val="es-ES"/>
                      </w:rPr>
                      <m:t>O</m:t>
                    </m:r>
                  </m:e>
                  <m:sub>
                    <m:r>
                      <w:rPr>
                        <w:rFonts w:ascii="Cambria Math" w:hAnsi="Cambria Math" w:cstheme="minorHAnsi"/>
                      </w:rPr>
                      <m:t>4</m:t>
                    </m:r>
                  </m:sub>
                </m:sSub>
              </m:oMath>
            </m:oMathPara>
          </w:p>
        </w:tc>
      </w:tr>
    </w:tbl>
    <w:p w14:paraId="193414A5" w14:textId="6292AEFD" w:rsidR="002F31C5" w:rsidRPr="00E25C4F" w:rsidRDefault="00E87A29" w:rsidP="002F31C5">
      <w:pPr>
        <w:spacing w:before="240" w:line="360" w:lineRule="auto"/>
        <w:jc w:val="both"/>
        <w:rPr>
          <w:rFonts w:cstheme="minorHAnsi"/>
        </w:rPr>
      </w:pPr>
      <w:r w:rsidRPr="00F412E5">
        <w:rPr>
          <w:rFonts w:cstheme="minorHAnsi"/>
        </w:rPr>
        <w:t>The enhanced weathering life cycle inventories are estimated with</w:t>
      </w:r>
      <w:r w:rsidR="00C01B14" w:rsidRPr="00F412E5">
        <w:rPr>
          <w:rFonts w:cstheme="minorHAnsi"/>
        </w:rPr>
        <w:t xml:space="preserve"> two sets of data (</w:t>
      </w:r>
      <m:oMath>
        <m:r>
          <w:rPr>
            <w:rFonts w:ascii="Cambria Math" w:hAnsi="Cambria Math" w:cstheme="minorHAnsi"/>
          </w:rPr>
          <m:t>d</m:t>
        </m:r>
      </m:oMath>
      <w:r w:rsidR="00C01B14" w:rsidRPr="00F412E5">
        <w:rPr>
          <w:rFonts w:cstheme="minorHAnsi"/>
        </w:rPr>
        <w:t>): experimental (</w:t>
      </w:r>
      <m:oMath>
        <m:r>
          <w:rPr>
            <w:rFonts w:ascii="Cambria Math" w:hAnsi="Cambria Math" w:cstheme="minorHAnsi"/>
          </w:rPr>
          <m:t>exp</m:t>
        </m:r>
      </m:oMath>
      <w:r w:rsidR="00C01B14" w:rsidRPr="00F412E5">
        <w:rPr>
          <w:rFonts w:cstheme="minorHAnsi"/>
        </w:rPr>
        <w:t>) and theoretical (</w:t>
      </w:r>
      <m:oMath>
        <m:r>
          <w:rPr>
            <w:rFonts w:ascii="Cambria Math" w:hAnsi="Cambria Math" w:cstheme="minorHAnsi"/>
          </w:rPr>
          <m:t>th</m:t>
        </m:r>
      </m:oMath>
      <w:r w:rsidR="00C01B14" w:rsidRPr="00F412E5">
        <w:rPr>
          <w:rFonts w:cstheme="minorHAnsi"/>
        </w:rPr>
        <w:t>)</w:t>
      </w:r>
      <w:r w:rsidR="00776985">
        <w:rPr>
          <w:rFonts w:cstheme="minorHAnsi"/>
        </w:rPr>
        <w:t xml:space="preserve">, differentiating between the type of rock </w:t>
      </w:r>
      <w:r w:rsidR="00336A19">
        <w:rPr>
          <w:rFonts w:cstheme="minorHAnsi"/>
          <w:i/>
          <w:iCs/>
        </w:rPr>
        <w:t>n</w:t>
      </w:r>
      <w:r w:rsidR="00776985">
        <w:rPr>
          <w:rFonts w:cstheme="minorHAnsi"/>
        </w:rPr>
        <w:t xml:space="preserve"> </w:t>
      </w:r>
      <w:r w:rsidR="00A61A2F">
        <w:rPr>
          <w:rFonts w:cstheme="minorHAnsi"/>
        </w:rPr>
        <w:t xml:space="preserve">(basalt or dunite) </w:t>
      </w:r>
      <w:r w:rsidR="00776985">
        <w:rPr>
          <w:rFonts w:cstheme="minorHAnsi"/>
        </w:rPr>
        <w:t xml:space="preserve">and the location </w:t>
      </w:r>
      <w:r w:rsidR="00776985" w:rsidRPr="00D439C7">
        <w:rPr>
          <w:rFonts w:cstheme="minorHAnsi"/>
          <w:i/>
          <w:iCs/>
        </w:rPr>
        <w:t>l</w:t>
      </w:r>
      <w:r w:rsidR="00776985">
        <w:rPr>
          <w:rFonts w:cstheme="minorHAnsi"/>
        </w:rPr>
        <w:t xml:space="preserve"> of the rock application</w:t>
      </w:r>
      <w:r w:rsidR="00A61A2F">
        <w:rPr>
          <w:rFonts w:cstheme="minorHAnsi"/>
        </w:rPr>
        <w:t xml:space="preserve"> (inland </w:t>
      </w:r>
      <w:r w:rsidR="00D439C7">
        <w:rPr>
          <w:rFonts w:cstheme="minorHAnsi"/>
        </w:rPr>
        <w:t>or coastal)</w:t>
      </w:r>
      <w:r w:rsidR="00C01B14" w:rsidRPr="00F412E5">
        <w:rPr>
          <w:rFonts w:cstheme="minorHAnsi"/>
        </w:rPr>
        <w:t>.</w:t>
      </w:r>
      <w:r w:rsidR="00077DC4" w:rsidRPr="00F412E5">
        <w:rPr>
          <w:rFonts w:cstheme="minorHAnsi"/>
        </w:rPr>
        <w:t xml:space="preserve"> </w:t>
      </w:r>
      <w:r w:rsidR="00803A1D" w:rsidRPr="00F412E5">
        <w:rPr>
          <w:rFonts w:cstheme="minorHAnsi"/>
        </w:rPr>
        <w:t>To calculate</w:t>
      </w:r>
      <w:r w:rsidR="00803A1D" w:rsidRPr="00F602E7">
        <w:rPr>
          <w:rFonts w:cstheme="minorHAnsi"/>
        </w:rPr>
        <w:t xml:space="preserve"> the mass of rock</w:t>
      </w:r>
      <w:r w:rsidR="00803A1D">
        <w:rPr>
          <w:rFonts w:cstheme="minorHAnsi"/>
        </w:rPr>
        <w:t xml:space="preserve"> that must be initially applied to the so</w:t>
      </w:r>
      <w:r w:rsidR="00803A1D" w:rsidRPr="00944734">
        <w:rPr>
          <w:rFonts w:cstheme="minorHAnsi"/>
        </w:rPr>
        <w:t>il (</w:t>
      </w:r>
      <m:oMath>
        <m:r>
          <w:rPr>
            <w:rFonts w:ascii="Cambria Math" w:hAnsi="Cambria Math" w:cstheme="minorHAnsi"/>
          </w:rPr>
          <m:t>R</m:t>
        </m:r>
        <m:sSubSup>
          <m:sSubSupPr>
            <m:ctrlPr>
              <w:rPr>
                <w:rFonts w:ascii="Cambria Math" w:hAnsi="Cambria Math" w:cstheme="minorHAnsi"/>
                <w:i/>
                <w:kern w:val="2"/>
                <w14:ligatures w14:val="standardContextual"/>
              </w:rPr>
            </m:ctrlPr>
          </m:sSubSupPr>
          <m:e>
            <m:r>
              <w:rPr>
                <w:rFonts w:ascii="Cambria Math" w:hAnsi="Cambria Math" w:cstheme="minorHAnsi"/>
              </w:rPr>
              <m:t>M</m:t>
            </m:r>
            <m:ctrlPr>
              <w:rPr>
                <w:rFonts w:ascii="Cambria Math" w:hAnsi="Cambria Math" w:cstheme="minorHAnsi"/>
                <w:i/>
              </w:rPr>
            </m:ctrlPr>
          </m:e>
          <m:sub>
            <m:r>
              <w:rPr>
                <w:rFonts w:ascii="Cambria Math" w:hAnsi="Cambria Math" w:cstheme="minorHAnsi"/>
              </w:rPr>
              <m:t>d,l,n,p</m:t>
            </m:r>
          </m:sub>
          <m:sup>
            <m:r>
              <w:rPr>
                <w:rFonts w:ascii="Cambria Math" w:hAnsi="Cambria Math" w:cstheme="minorHAnsi"/>
              </w:rPr>
              <m:t>0</m:t>
            </m:r>
          </m:sup>
        </m:sSubSup>
      </m:oMath>
      <w:r w:rsidR="00803A1D" w:rsidRPr="00A93102">
        <w:rPr>
          <w:rFonts w:cstheme="minorHAnsi"/>
        </w:rPr>
        <w:t>) in the inland and coastal enhanced weathering scenarios</w:t>
      </w:r>
      <w:r w:rsidR="00F9548B">
        <w:rPr>
          <w:rFonts w:cstheme="minorHAnsi"/>
        </w:rPr>
        <w:t xml:space="preserve"> </w:t>
      </w:r>
      <w:r w:rsidR="00803A1D" w:rsidRPr="00A93102">
        <w:rPr>
          <w:rFonts w:cstheme="minorHAnsi"/>
        </w:rPr>
        <w:t>based on experimental</w:t>
      </w:r>
      <w:r w:rsidR="00A81A09">
        <w:rPr>
          <w:rFonts w:cstheme="minorHAnsi"/>
        </w:rPr>
        <w:t xml:space="preserve"> data</w:t>
      </w:r>
      <w:r w:rsidR="00803A1D" w:rsidRPr="00E25C4F">
        <w:rPr>
          <w:rFonts w:cstheme="minorHAnsi"/>
        </w:rPr>
        <w:t xml:space="preserve">, we used Equation </w:t>
      </w:r>
      <w:r w:rsidR="00846819" w:rsidRPr="00E25C4F">
        <w:rPr>
          <w:rFonts w:cstheme="minorHAnsi"/>
        </w:rPr>
        <w:t>(29),</w:t>
      </w:r>
      <w:r w:rsidR="00803A1D" w:rsidRPr="00E25C4F">
        <w:rPr>
          <w:rFonts w:cstheme="minorHAnsi"/>
        </w:rPr>
        <w:t xml:space="preserve"> where </w:t>
      </w:r>
      <m:oMath>
        <m:r>
          <w:rPr>
            <w:rFonts w:ascii="Cambria Math" w:hAnsi="Cambria Math" w:cstheme="minorHAnsi"/>
          </w:rPr>
          <m:t>CD</m:t>
        </m:r>
        <m:sSup>
          <m:sSupPr>
            <m:ctrlPr>
              <w:rPr>
                <w:rFonts w:ascii="Cambria Math" w:hAnsi="Cambria Math" w:cstheme="minorHAnsi"/>
                <w:i/>
              </w:rPr>
            </m:ctrlPr>
          </m:sSupPr>
          <m:e>
            <m:r>
              <w:rPr>
                <w:rFonts w:ascii="Cambria Math" w:hAnsi="Cambria Math" w:cstheme="minorHAnsi"/>
              </w:rPr>
              <m:t>R</m:t>
            </m:r>
          </m:e>
          <m:sup>
            <m:r>
              <w:rPr>
                <w:rFonts w:ascii="Cambria Math" w:hAnsi="Cambria Math" w:cstheme="minorHAnsi"/>
              </w:rPr>
              <m:t>EW</m:t>
            </m:r>
          </m:sup>
        </m:sSup>
      </m:oMath>
      <w:r w:rsidR="00803A1D" w:rsidRPr="00E25C4F">
        <w:rPr>
          <w:rFonts w:cstheme="minorHAnsi"/>
        </w:rPr>
        <w:t xml:space="preserve"> represents the amount of CO</w:t>
      </w:r>
      <w:r w:rsidR="00803A1D" w:rsidRPr="00E25C4F">
        <w:rPr>
          <w:rFonts w:cstheme="minorHAnsi"/>
          <w:vertAlign w:val="subscript"/>
        </w:rPr>
        <w:t>2</w:t>
      </w:r>
      <w:r w:rsidR="00803A1D" w:rsidRPr="00E25C4F">
        <w:rPr>
          <w:rFonts w:cstheme="minorHAnsi"/>
        </w:rPr>
        <w:t xml:space="preserve"> to be removed</w:t>
      </w:r>
      <w:r w:rsidR="009741FA" w:rsidRPr="00E25C4F">
        <w:rPr>
          <w:rFonts w:cstheme="minorHAnsi"/>
        </w:rPr>
        <w:t xml:space="preserve"> </w:t>
      </w:r>
      <w:r w:rsidR="00803A1D" w:rsidRPr="00E25C4F">
        <w:rPr>
          <w:rFonts w:cstheme="minorHAnsi"/>
        </w:rPr>
        <w:t>within one</w:t>
      </w:r>
      <w:r w:rsidR="00803A1D" w:rsidRPr="00E25C4F">
        <w:rPr>
          <w:rFonts w:ascii="Calibri" w:eastAsia="Calibri" w:hAnsi="Calibri" w:cs="Calibri"/>
        </w:rPr>
        <w:t xml:space="preserve"> year</w:t>
      </w:r>
      <w:r w:rsidR="00032A09" w:rsidRPr="00E25C4F">
        <w:rPr>
          <w:rFonts w:ascii="Calibri" w:eastAsia="Calibri" w:hAnsi="Calibri" w:cs="Calibri"/>
        </w:rPr>
        <w:t xml:space="preserve"> (g</w:t>
      </w:r>
      <w:r w:rsidR="008D1912" w:rsidRPr="00E25C4F">
        <w:rPr>
          <w:rFonts w:ascii="Calibri" w:eastAsia="Calibri" w:hAnsi="Calibri" w:cs="Calibri"/>
        </w:rPr>
        <w:t>/year</w:t>
      </w:r>
      <w:r w:rsidR="00032A09" w:rsidRPr="00E25C4F">
        <w:rPr>
          <w:rFonts w:ascii="Calibri" w:eastAsia="Calibri" w:hAnsi="Calibri" w:cs="Calibri"/>
        </w:rPr>
        <w:t>)</w:t>
      </w:r>
      <w:r w:rsidR="00803A1D" w:rsidRPr="00E25C4F">
        <w:rPr>
          <w:rFonts w:cstheme="minorHAnsi"/>
        </w:rPr>
        <w:t xml:space="preserve">, </w:t>
      </w:r>
      <m:oMath>
        <m:r>
          <w:rPr>
            <w:rFonts w:ascii="Cambria Math" w:hAnsi="Cambria Math" w:cstheme="minorHAnsi"/>
          </w:rPr>
          <m:t>W</m:t>
        </m:r>
        <m:sSubSup>
          <m:sSubSupPr>
            <m:ctrlPr>
              <w:rPr>
                <w:rFonts w:ascii="Cambria Math" w:hAnsi="Cambria Math" w:cstheme="minorHAnsi"/>
                <w:i/>
                <w:kern w:val="2"/>
                <w14:ligatures w14:val="standardContextual"/>
              </w:rPr>
            </m:ctrlPr>
          </m:sSubSupPr>
          <m:e>
            <m:r>
              <w:rPr>
                <w:rFonts w:ascii="Cambria Math" w:hAnsi="Cambria Math" w:cstheme="minorHAnsi"/>
                <w:kern w:val="2"/>
                <w14:ligatures w14:val="standardContextual"/>
              </w:rPr>
              <m:t>R</m:t>
            </m:r>
          </m:e>
          <m:sub>
            <m:r>
              <w:rPr>
                <w:rFonts w:ascii="Cambria Math" w:hAnsi="Cambria Math" w:cstheme="minorHAnsi"/>
                <w:kern w:val="2"/>
                <w14:ligatures w14:val="standardContextual"/>
              </w:rPr>
              <m:t>d,l,n</m:t>
            </m:r>
          </m:sub>
          <m:sup>
            <m:r>
              <w:rPr>
                <w:rFonts w:ascii="Cambria Math" w:hAnsi="Cambria Math" w:cstheme="minorHAnsi"/>
                <w:kern w:val="2"/>
                <w14:ligatures w14:val="standardContextual"/>
              </w:rPr>
              <m:t>ALK</m:t>
            </m:r>
          </m:sup>
        </m:sSubSup>
      </m:oMath>
      <w:r w:rsidR="00803A1D" w:rsidRPr="00E25C4F">
        <w:rPr>
          <w:rFonts w:cstheme="minorHAnsi"/>
          <w:kern w:val="2"/>
          <w14:ligatures w14:val="standardContextual"/>
        </w:rPr>
        <w:t xml:space="preserve"> is the alkalinity dissolution rate (mol/m</w:t>
      </w:r>
      <w:r w:rsidR="00803A1D" w:rsidRPr="00E25C4F">
        <w:rPr>
          <w:rFonts w:cstheme="minorHAnsi"/>
          <w:kern w:val="2"/>
          <w:vertAlign w:val="superscript"/>
          <w14:ligatures w14:val="standardContextual"/>
        </w:rPr>
        <w:t>2</w:t>
      </w:r>
      <w:r w:rsidR="00803A1D" w:rsidRPr="00E25C4F">
        <w:rPr>
          <w:rFonts w:cstheme="minorHAnsi"/>
          <w:kern w:val="2"/>
          <w14:ligatures w14:val="standardContextual"/>
        </w:rPr>
        <w:t xml:space="preserve">/s),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803A1D" w:rsidRPr="00E25C4F">
        <w:rPr>
          <w:rFonts w:cstheme="minorHAnsi"/>
          <w:kern w:val="2"/>
          <w14:ligatures w14:val="standardContextual"/>
        </w:rPr>
        <w:t xml:space="preserve"> is the rock specific surface area (m</w:t>
      </w:r>
      <w:r w:rsidR="00803A1D" w:rsidRPr="00E25C4F">
        <w:rPr>
          <w:rFonts w:cstheme="minorHAnsi"/>
          <w:kern w:val="2"/>
          <w:vertAlign w:val="superscript"/>
          <w14:ligatures w14:val="standardContextual"/>
        </w:rPr>
        <w:t>2</w:t>
      </w:r>
      <w:r w:rsidR="00803A1D" w:rsidRPr="00E25C4F">
        <w:rPr>
          <w:rFonts w:cstheme="minorHAnsi"/>
          <w:kern w:val="2"/>
          <w14:ligatures w14:val="standardContextual"/>
        </w:rPr>
        <w:t xml:space="preserve">/g), </w:t>
      </w:r>
      <m:oMath>
        <m:r>
          <w:rPr>
            <w:rFonts w:ascii="Cambria Math" w:hAnsi="Cambria Math" w:cstheme="minorHAnsi"/>
          </w:rPr>
          <m:t>spy</m:t>
        </m:r>
      </m:oMath>
      <w:r w:rsidR="00803A1D" w:rsidRPr="00E25C4F">
        <w:rPr>
          <w:rFonts w:cstheme="minorHAnsi"/>
          <w:kern w:val="2"/>
          <w14:ligatures w14:val="standardContextual"/>
        </w:rPr>
        <w:t xml:space="preserve"> is the number of seconds in a year, and </w:t>
      </w:r>
      <m:oMath>
        <m:r>
          <w:rPr>
            <w:rFonts w:ascii="Cambria Math" w:hAnsi="Cambria Math" w:cstheme="minorHAnsi"/>
          </w:rPr>
          <m:t>M</m:t>
        </m:r>
        <m:sSup>
          <m:sSupPr>
            <m:ctrlPr>
              <w:rPr>
                <w:rFonts w:ascii="Cambria Math" w:hAnsi="Cambria Math" w:cstheme="minorHAnsi"/>
                <w:i/>
                <w:kern w:val="2"/>
                <w14:ligatures w14:val="standardContextual"/>
              </w:rPr>
            </m:ctrlPr>
          </m:sSupPr>
          <m:e>
            <m:r>
              <w:rPr>
                <w:rFonts w:ascii="Cambria Math" w:hAnsi="Cambria Math" w:cstheme="minorHAnsi"/>
                <w:kern w:val="2"/>
                <w14:ligatures w14:val="standardContextual"/>
              </w:rPr>
              <m:t>M</m:t>
            </m:r>
          </m:e>
          <m:sup>
            <m:r>
              <w:rPr>
                <w:rFonts w:ascii="Cambria Math" w:hAnsi="Cambria Math" w:cstheme="minorHAnsi"/>
                <w:kern w:val="2"/>
                <w14:ligatures w14:val="standardContextual"/>
              </w:rPr>
              <m:t>C</m:t>
            </m:r>
            <m:sSub>
              <m:sSubPr>
                <m:ctrlPr>
                  <w:rPr>
                    <w:rFonts w:ascii="Cambria Math" w:hAnsi="Cambria Math" w:cstheme="minorHAnsi"/>
                    <w:i/>
                    <w:kern w:val="2"/>
                    <w14:ligatures w14:val="standardContextual"/>
                  </w:rPr>
                </m:ctrlPr>
              </m:sSubPr>
              <m:e>
                <m:r>
                  <w:rPr>
                    <w:rFonts w:ascii="Cambria Math" w:hAnsi="Cambria Math" w:cstheme="minorHAnsi"/>
                    <w:kern w:val="2"/>
                    <w14:ligatures w14:val="standardContextual"/>
                  </w:rPr>
                  <m:t>O</m:t>
                </m:r>
              </m:e>
              <m:sub>
                <m:r>
                  <w:rPr>
                    <w:rFonts w:ascii="Cambria Math" w:hAnsi="Cambria Math" w:cstheme="minorHAnsi"/>
                    <w:kern w:val="2"/>
                    <w14:ligatures w14:val="standardContextual"/>
                  </w:rPr>
                  <m:t>2</m:t>
                </m:r>
              </m:sub>
            </m:sSub>
          </m:sup>
        </m:sSup>
      </m:oMath>
      <w:r w:rsidR="00803A1D" w:rsidRPr="00E25C4F">
        <w:rPr>
          <w:rFonts w:cstheme="minorHAnsi"/>
          <w:kern w:val="2"/>
          <w14:ligatures w14:val="standardContextual"/>
        </w:rPr>
        <w:t xml:space="preserve"> is the CO</w:t>
      </w:r>
      <w:r w:rsidR="00803A1D" w:rsidRPr="00E25C4F">
        <w:rPr>
          <w:rFonts w:cstheme="minorHAnsi"/>
          <w:kern w:val="2"/>
          <w:vertAlign w:val="subscript"/>
          <w14:ligatures w14:val="standardContextual"/>
        </w:rPr>
        <w:t>2</w:t>
      </w:r>
      <w:r w:rsidR="00803A1D" w:rsidRPr="00E25C4F">
        <w:rPr>
          <w:rFonts w:cstheme="minorHAnsi"/>
          <w:kern w:val="2"/>
          <w14:ligatures w14:val="standardContextual"/>
        </w:rPr>
        <w:t xml:space="preserve"> molecular mass (g/mol). </w:t>
      </w:r>
      <w:r w:rsidR="00A4009D" w:rsidRPr="00E25C4F">
        <w:rPr>
          <w:rFonts w:cstheme="minorHAnsi"/>
          <w:kern w:val="2"/>
          <w14:ligatures w14:val="standardContextual"/>
        </w:rPr>
        <w:t xml:space="preserve">Previous studies have found that </w:t>
      </w:r>
      <w:r w:rsidR="00A4009D" w:rsidRPr="00E25C4F">
        <w:rPr>
          <w:bCs/>
        </w:rPr>
        <w:t>the dissolution of the silicate minerals is the rate limiting step of the weathering reactions</w:t>
      </w:r>
      <w:r w:rsidR="00A4009D" w:rsidRPr="00E25C4F">
        <w:rPr>
          <w:bCs/>
        </w:rPr>
        <w:fldChar w:fldCharType="begin" w:fldLock="1"/>
      </w:r>
      <w:r w:rsidR="00971A76">
        <w:rPr>
          <w:bCs/>
        </w:rPr>
        <w:instrText xml:space="preserve"> ADDIN ZOTERO_ITEM CSL_CITATION {"citationID":"oCyLl3z9","properties":{"formattedCitation":"\\super 35\\nosupersub{}","plainCitation":"35","noteIndex":0},"citationItems":[{"id":1373,"uris":["http://www.mendeley.com/documents/?uuid=c63a57b8-e1ad-49af-bb79-be06e010334c","http://zotero.org/users/14213812/items/VTVS4VXM"],"itemData":{"id":1373,"type":"article-journal","abstract":"Qualitative proposals to control atmospheric CO2 concentrations by spreading crushed olivine rock along the Earth's coastlines, thereby accelerating weathering reactions, are presently attracting considerable attention. This paper provides a critical evaluation of the concept, demonstrating quantitatively whether or not it can contribute significantly to CO2 sequestration. The feasibility of the concept depends on the rate of olivine dissolution, the sequestration capacity of the dominant reaction, and its CO2 footprint. Kinetics calculations show that offsetting 30% of worldwide 1990 CO2 emissions by beach weathering means distributing of 5.0 Gt of olivine per year. For mean seawater temperatures of 15-25 °C, olivine sand (300 μm grain size) takes 700-2100 years to reach the necessary steady state sequestration rate and is therefore of little practical value. To obtain useful, steady state CO2 uptake rates within 15-20 years requires grain sizes &lt;10 μm. However, the preparation and movement of the required material poses major economic, infrastructural and public health questions. We conclude that coastal spreading of olivine is not a viable method of CO2 sequestration on the scale needed. The method certainly cannot replace CCS technologies as a means of controlling atmospheric CO2 concentrations. © 2009 Elsevier Ltd. All rights reserved.","container-title":"International Journal of Greenhouse Gas Control","DOI":"10.1016/j.ijggc.2009.07.001","ISSN":"17505836","issue":"6","page":"757-767","title":"Coastal spreading of olivine to control atmospheric CO2 concentrations: A critical analysis of viability","volume":"3","author":[{"family":"Hangx","given":"Suzanne J.T."},{"family":"Spiers","given":"Christopher J."}],"issued":{"date-parts":[["2009"]]}}}],"schema":"https://github.com/citation-style-language/schema/raw/master/csl-citation.json"} </w:instrText>
      </w:r>
      <w:r w:rsidR="00A4009D" w:rsidRPr="00E25C4F">
        <w:rPr>
          <w:bCs/>
        </w:rPr>
        <w:fldChar w:fldCharType="separate"/>
      </w:r>
      <w:r w:rsidR="00971A76" w:rsidRPr="00971A76">
        <w:rPr>
          <w:rFonts w:ascii="Calibri" w:hAnsi="Calibri" w:cs="Calibri"/>
          <w:vertAlign w:val="superscript"/>
        </w:rPr>
        <w:t>35</w:t>
      </w:r>
      <w:r w:rsidR="00A4009D" w:rsidRPr="00E25C4F">
        <w:rPr>
          <w:bCs/>
        </w:rPr>
        <w:fldChar w:fldCharType="end"/>
      </w:r>
      <w:r w:rsidR="00E62A97" w:rsidRPr="00E25C4F">
        <w:rPr>
          <w:bCs/>
        </w:rPr>
        <w:t>; h</w:t>
      </w:r>
      <w:r w:rsidR="00A4009D" w:rsidRPr="00E25C4F">
        <w:rPr>
          <w:bCs/>
        </w:rPr>
        <w:t xml:space="preserve">ence, </w:t>
      </w:r>
      <w:r w:rsidR="00A4009D" w:rsidRPr="00E25C4F">
        <w:rPr>
          <w:rFonts w:cstheme="minorHAnsi"/>
          <w:kern w:val="2"/>
          <w14:ligatures w14:val="standardContextual"/>
        </w:rPr>
        <w:t>w</w:t>
      </w:r>
      <w:r w:rsidR="002F31C5" w:rsidRPr="00E25C4F">
        <w:rPr>
          <w:bCs/>
        </w:rPr>
        <w:t xml:space="preserve">e assumed that the dissolved minerals can immediately react with </w:t>
      </w:r>
      <w:r w:rsidR="00E62A97" w:rsidRPr="00E25C4F">
        <w:rPr>
          <w:bCs/>
        </w:rPr>
        <w:t xml:space="preserve">the dissolved </w:t>
      </w:r>
      <w:r w:rsidR="002F31C5" w:rsidRPr="00E25C4F">
        <w:rPr>
          <w:bCs/>
        </w:rPr>
        <w:t>CO</w:t>
      </w:r>
      <w:r w:rsidR="002F31C5" w:rsidRPr="00E25C4F">
        <w:rPr>
          <w:bCs/>
          <w:vertAlign w:val="subscript"/>
        </w:rPr>
        <w:t>2</w:t>
      </w:r>
      <w:r w:rsidR="00586B81" w:rsidRPr="00E25C4F">
        <w:rPr>
          <w:bCs/>
        </w:rPr>
        <w:t>.</w:t>
      </w:r>
      <w:r w:rsidR="002F31C5" w:rsidRPr="00E25C4F">
        <w:t xml:space="preserve"> </w:t>
      </w:r>
      <w:r w:rsidR="002F31C5" w:rsidRPr="00E25C4F">
        <w:rPr>
          <w:rFonts w:cstheme="minorHAnsi"/>
        </w:rPr>
        <w:t>We adjust</w:t>
      </w:r>
      <w:r w:rsidR="002C7F21" w:rsidRPr="00E25C4F">
        <w:rPr>
          <w:rFonts w:cstheme="minorHAnsi"/>
        </w:rPr>
        <w:t>ed</w:t>
      </w:r>
      <w:r w:rsidR="002F31C5" w:rsidRPr="00E25C4F">
        <w:rPr>
          <w:rFonts w:cstheme="minorHAnsi"/>
        </w:rPr>
        <w:t xml:space="preserve"> the stoichiometric CDR (one mole of atmospheric CO</w:t>
      </w:r>
      <w:r w:rsidR="002F31C5" w:rsidRPr="00E25C4F">
        <w:rPr>
          <w:rFonts w:cstheme="minorHAnsi"/>
          <w:vertAlign w:val="subscript"/>
        </w:rPr>
        <w:t>2</w:t>
      </w:r>
      <w:r w:rsidR="002F31C5" w:rsidRPr="00E25C4F">
        <w:rPr>
          <w:rFonts w:cstheme="minorHAnsi"/>
        </w:rPr>
        <w:t xml:space="preserve"> reacts with one mole of alkalinity released from the rock) with a CDR efficiency factor (</w:t>
      </w:r>
      <m:oMath>
        <m:r>
          <w:rPr>
            <w:rFonts w:ascii="Cambria Math" w:hAnsi="Cambria Math" w:cstheme="minorHAnsi"/>
          </w:rPr>
          <m:t>w</m:t>
        </m:r>
      </m:oMath>
      <w:r w:rsidR="002F31C5" w:rsidRPr="00E25C4F">
        <w:rPr>
          <w:rFonts w:cstheme="minorHAnsi"/>
        </w:rPr>
        <w:t xml:space="preserve">) of </w:t>
      </w:r>
      <w:r w:rsidR="00BB1EF0" w:rsidRPr="00E25C4F">
        <w:rPr>
          <w:rFonts w:cstheme="minorHAnsi"/>
        </w:rPr>
        <w:t>0.</w:t>
      </w:r>
      <w:r w:rsidR="002F31C5" w:rsidRPr="00E25C4F">
        <w:rPr>
          <w:rFonts w:cstheme="minorHAnsi"/>
        </w:rPr>
        <w:t>80</w:t>
      </w:r>
      <w:r w:rsidR="002F31C5" w:rsidRPr="00E25C4F">
        <w:rPr>
          <w:rFonts w:cstheme="minorHAnsi"/>
        </w:rPr>
        <w:fldChar w:fldCharType="begin" w:fldLock="1"/>
      </w:r>
      <w:r w:rsidR="00971A76">
        <w:rPr>
          <w:rFonts w:cstheme="minorHAnsi"/>
        </w:rPr>
        <w:instrText xml:space="preserve"> ADDIN ZOTERO_ITEM CSL_CITATION {"citationID":"5GAGZ5bc","properties":{"formattedCitation":"\\super 36,37\\nosupersub{}","plainCitation":"36,37","noteIndex":0},"citationItems":[{"id":2521,"uris":["http://www.mendeley.com/documents/?uuid=eedbd0d4-db6f-425b-8ed4-5fd32ebf2386","http://zotero.org/users/14213812/items/GJBTTQWQ"],"itemData":{"id":2521,"type":"article-journal","abstract":"The weathering of silicates is a major control on atmospheric &lt;span classCombining double low line\"inline-formula\"&gt;CO2&lt;/span&gt; at geologic timescales. It was proposed to enhance this process to actively remove &lt;span classCombining double low line\"inline-formula\"&gt;CO2&lt;/span&gt; from the atmosphere. While there are some studies that propose and theoretically analyze the application of rock powder to agricultural land, results from field experiments are still scarce.","container-title":"Biogeosciences","DOI":"10.5194/bg-17-103-2020","ISSN":"17264189","issue":"1","page":"103-119","title":"Enhanced Weathering and related element fluxes - A cropland mesocosm approach","volume":"17","author":[{"family":"Amann","given":"Thorben"},{"family":"Hartmann","given":"Jens"},{"family":"Struyf","given":"Eric"},{"family":"De Oliveira Garcia","given":"Wagner"},{"family":"Fischer","given":"Elke K."},{"family":"Janssens","given":"Ivan"},{"family":"Meire","given":"Patrick"},{"family":"Schoelynck","given":"Jonas"}],"issued":{"date-parts":[["2020"]]}}},{"id":2713,"uris":["http://www.mendeley.com/documents/?uuid=7edb158e-fb8c-4f56-a343-62b3b7949511","http://zotero.org/users/14213812/items/4277QQFS"],"itemData":{"id":2713,"type":"article-journal","container-title":"Applied Geochemistry","DOI":"10.1016/j.apgeochem.2022.105482","ISSN":"08832927","issue":"July","note":"publisher: Elsevier Ltd","page":"105482","title":"Soil core study indicates limited CO2 removal by enhanced weathering in dry croplands in the UK","volume":"147","author":[{"family":"Buckingham","given":"F."},{"family":"Henderson","given":"G.M."},{"family":"Holdship","given":"P."},{"family":"Renforth","given":"P."}],"issued":{"date-parts":[["2022"]]}}}],"schema":"https://github.com/citation-style-language/schema/raw/master/csl-citation.json"} </w:instrText>
      </w:r>
      <w:r w:rsidR="002F31C5" w:rsidRPr="00E25C4F">
        <w:rPr>
          <w:rFonts w:cstheme="minorHAnsi"/>
        </w:rPr>
        <w:fldChar w:fldCharType="separate"/>
      </w:r>
      <w:r w:rsidR="00971A76" w:rsidRPr="00971A76">
        <w:rPr>
          <w:rFonts w:ascii="Calibri" w:hAnsi="Calibri" w:cs="Calibri"/>
          <w:vertAlign w:val="superscript"/>
        </w:rPr>
        <w:t>36,37</w:t>
      </w:r>
      <w:r w:rsidR="002F31C5" w:rsidRPr="00E25C4F">
        <w:rPr>
          <w:rFonts w:cstheme="minorHAnsi"/>
        </w:rPr>
        <w:fldChar w:fldCharType="end"/>
      </w:r>
      <w:r w:rsidR="002F31C5" w:rsidRPr="00E25C4F">
        <w:rPr>
          <w:rFonts w:cstheme="minorHAnsi"/>
        </w:rPr>
        <w:t>, which accounts for the conversion of some bicarbonate anions to carbonate anions that occurs under conditions of excess alkalinity and releases part of the sequestered CO</w:t>
      </w:r>
      <w:r w:rsidR="002F31C5" w:rsidRPr="00E25C4F">
        <w:rPr>
          <w:rFonts w:cstheme="minorHAnsi"/>
          <w:vertAlign w:val="subscript"/>
        </w:rPr>
        <w:t>2</w:t>
      </w:r>
      <w:r w:rsidR="002F31C5" w:rsidRPr="00E25C4F">
        <w:rPr>
          <w:rFonts w:cstheme="minorHAnsi"/>
        </w:rPr>
        <w:fldChar w:fldCharType="begin" w:fldLock="1"/>
      </w:r>
      <w:r w:rsidR="00971A76">
        <w:rPr>
          <w:rFonts w:cstheme="minorHAnsi"/>
        </w:rPr>
        <w:instrText xml:space="preserve"> ADDIN ZOTERO_ITEM CSL_CITATION {"citationID":"i0kPlZIB","properties":{"formattedCitation":"\\super 33\\nosupersub{}","plainCitation":"33","noteIndex":0},"citationItems":[{"id":1299,"uris":["http://www.mendeley.com/documents/?uuid=d1b5c7bb-3fa1-48fc-b9de-734c8806985e","http://zotero.org/users/14213812/items/5AEBZSM4"],"itemData":{"id":1299,"type":"article-journal","abstract":"7 billion tonnes of alkaline materials are produced globally each year as a product or by-product of industrial activity. The aqueous dissolution of these materials creates high pH solutions that dissolves CO 2 to store carbon in the form of solid carbonate minerals or dissolved bicarbonate ions. Here we show that these materials have a carbon dioxide storage potential of 2.9–8.5 billion tonnes per year by 2100, and may contribute a substantial proportion of the negative emissions required to limit global temperature change to &lt;2 °C.","container-title":"Nature Communications","DOI":"10.1038/s41467-019-09475-5","ISSN":"20411723","issue":"1","note":"PMID: 30923316\npublisher: Springer US","page":"1401","title":"The negative emission potential of alkaline materials","volume":"10","author":[{"family":"Renforth","given":"Phil"}],"issued":{"date-parts":[["2019"]]}}}],"schema":"https://github.com/citation-style-language/schema/raw/master/csl-citation.json"} </w:instrText>
      </w:r>
      <w:r w:rsidR="002F31C5" w:rsidRPr="00E25C4F">
        <w:rPr>
          <w:rFonts w:cstheme="minorHAnsi"/>
        </w:rPr>
        <w:fldChar w:fldCharType="separate"/>
      </w:r>
      <w:r w:rsidR="00971A76" w:rsidRPr="00971A76">
        <w:rPr>
          <w:rFonts w:ascii="Calibri" w:hAnsi="Calibri" w:cs="Calibri"/>
          <w:vertAlign w:val="superscript"/>
        </w:rPr>
        <w:t>33</w:t>
      </w:r>
      <w:r w:rsidR="002F31C5" w:rsidRPr="00E25C4F">
        <w:rPr>
          <w:rFonts w:cstheme="minorHAnsi"/>
        </w:rPr>
        <w:fldChar w:fldCharType="end"/>
      </w:r>
      <w:r w:rsidR="002F31C5" w:rsidRPr="00E25C4F">
        <w:rPr>
          <w:rFonts w:cstheme="minorHAnsi"/>
        </w:rPr>
        <w:t>.</w:t>
      </w:r>
    </w:p>
    <w:p w14:paraId="5C5406FA" w14:textId="34168B66" w:rsidR="00DF59DD" w:rsidRPr="00713D64" w:rsidRDefault="00D978CB" w:rsidP="00DF59DD">
      <w:pPr>
        <w:spacing w:before="240" w:line="360" w:lineRule="auto"/>
        <w:jc w:val="both"/>
        <w:rPr>
          <w:rFonts w:cstheme="minorHAnsi"/>
          <w:kern w:val="2"/>
          <w14:ligatures w14:val="standardContextual"/>
        </w:rPr>
      </w:pPr>
      <w:r w:rsidRPr="00E25C4F">
        <w:rPr>
          <w:rFonts w:cstheme="minorHAnsi"/>
        </w:rPr>
        <w:t xml:space="preserve">In the scenarios based on theoretical </w:t>
      </w:r>
      <w:r w:rsidR="00B0271F" w:rsidRPr="00E25C4F">
        <w:rPr>
          <w:rFonts w:cstheme="minorHAnsi"/>
        </w:rPr>
        <w:t>data</w:t>
      </w:r>
      <w:r w:rsidRPr="00E25C4F">
        <w:rPr>
          <w:rFonts w:cstheme="minorHAnsi"/>
        </w:rPr>
        <w:t xml:space="preserve">, we estimated </w:t>
      </w:r>
      <m:oMath>
        <m:r>
          <w:rPr>
            <w:rFonts w:ascii="Cambria Math" w:hAnsi="Cambria Math" w:cstheme="minorHAnsi"/>
          </w:rPr>
          <m:t>R</m:t>
        </m:r>
        <m:sSubSup>
          <m:sSubSupPr>
            <m:ctrlPr>
              <w:rPr>
                <w:rFonts w:ascii="Cambria Math" w:hAnsi="Cambria Math" w:cstheme="minorHAnsi"/>
                <w:i/>
                <w:kern w:val="2"/>
                <w14:ligatures w14:val="standardContextual"/>
              </w:rPr>
            </m:ctrlPr>
          </m:sSubSupPr>
          <m:e>
            <m:r>
              <w:rPr>
                <w:rFonts w:ascii="Cambria Math" w:hAnsi="Cambria Math" w:cstheme="minorHAnsi"/>
              </w:rPr>
              <m:t>M</m:t>
            </m:r>
            <m:ctrlPr>
              <w:rPr>
                <w:rFonts w:ascii="Cambria Math" w:hAnsi="Cambria Math" w:cstheme="minorHAnsi"/>
                <w:i/>
              </w:rPr>
            </m:ctrlPr>
          </m:e>
          <m:sub>
            <m:r>
              <w:rPr>
                <w:rFonts w:ascii="Cambria Math" w:hAnsi="Cambria Math" w:cstheme="minorHAnsi"/>
              </w:rPr>
              <m:t>d,l,n,p</m:t>
            </m:r>
          </m:sub>
          <m:sup>
            <m:r>
              <w:rPr>
                <w:rFonts w:ascii="Cambria Math" w:hAnsi="Cambria Math" w:cstheme="minorHAnsi"/>
              </w:rPr>
              <m:t>0</m:t>
            </m:r>
          </m:sup>
        </m:sSubSup>
      </m:oMath>
      <w:r w:rsidRPr="00E25C4F">
        <w:rPr>
          <w:rFonts w:cstheme="minorHAnsi"/>
          <w:kern w:val="2"/>
          <w14:ligatures w14:val="standardContextual"/>
        </w:rPr>
        <w:t xml:space="preserve"> with Equation </w:t>
      </w:r>
      <w:r w:rsidR="00E25C4F" w:rsidRPr="00E25C4F">
        <w:rPr>
          <w:rFonts w:cstheme="minorHAnsi"/>
          <w:kern w:val="2"/>
          <w14:ligatures w14:val="standardContextual"/>
        </w:rPr>
        <w:t>(30)</w:t>
      </w:r>
      <w:r w:rsidRPr="00E25C4F">
        <w:rPr>
          <w:rFonts w:cstheme="minorHAnsi"/>
          <w:kern w:val="2"/>
          <w14:ligatures w14:val="standardContextual"/>
        </w:rPr>
        <w:t>,</w:t>
      </w:r>
      <w:r w:rsidRPr="00713D64">
        <w:rPr>
          <w:rFonts w:cstheme="minorHAnsi"/>
          <w:kern w:val="2"/>
          <w14:ligatures w14:val="standardContextual"/>
        </w:rPr>
        <w:t xml:space="preserve"> </w:t>
      </w:r>
      <w:r w:rsidR="00154954" w:rsidRPr="00713D64">
        <w:rPr>
          <w:rFonts w:cstheme="minorHAnsi"/>
        </w:rPr>
        <w:t>dividing</w:t>
      </w:r>
      <w:r w:rsidR="00DF59DD" w:rsidRPr="00713D64">
        <w:rPr>
          <w:rFonts w:cstheme="minorHAnsi"/>
        </w:rPr>
        <w:t xml:space="preserve"> the </w:t>
      </w:r>
      <w:r w:rsidR="00B77375" w:rsidRPr="00713D64">
        <w:rPr>
          <w:rFonts w:cstheme="minorHAnsi"/>
        </w:rPr>
        <w:t xml:space="preserve">annual </w:t>
      </w:r>
      <w:r w:rsidR="00DF59DD" w:rsidRPr="00713D64">
        <w:rPr>
          <w:rFonts w:cstheme="minorHAnsi"/>
        </w:rPr>
        <w:t xml:space="preserve">CDR target by the </w:t>
      </w:r>
      <w:r w:rsidR="00DF59DD" w:rsidRPr="000105B2">
        <w:rPr>
          <w:rFonts w:cstheme="minorHAnsi"/>
        </w:rPr>
        <w:t>product of the rock fraction that is weathered in one year (</w:t>
      </w:r>
      <w:r w:rsidR="008F1F5B" w:rsidRPr="000105B2">
        <w:rPr>
          <w:rFonts w:cstheme="minorHAnsi"/>
        </w:rPr>
        <w:t>calcul</w:t>
      </w:r>
      <w:r w:rsidR="00DF59DD" w:rsidRPr="000105B2">
        <w:rPr>
          <w:rFonts w:cstheme="minorHAnsi"/>
        </w:rPr>
        <w:t xml:space="preserve">ated with </w:t>
      </w:r>
      <w:r w:rsidR="00DF59DD" w:rsidRPr="000105B2">
        <w:rPr>
          <w:rFonts w:cstheme="minorHAnsi"/>
          <w:kern w:val="2"/>
          <w14:ligatures w14:val="standardContextual"/>
        </w:rPr>
        <w:t xml:space="preserve">the rock weathering rate, </w:t>
      </w:r>
      <m:oMath>
        <m:r>
          <w:rPr>
            <w:rFonts w:ascii="Cambria Math" w:hAnsi="Cambria Math" w:cstheme="minorHAnsi"/>
          </w:rPr>
          <m:t>W</m:t>
        </m:r>
        <m:sSubSup>
          <m:sSubSupPr>
            <m:ctrlPr>
              <w:rPr>
                <w:rFonts w:ascii="Cambria Math" w:hAnsi="Cambria Math" w:cstheme="minorHAnsi"/>
                <w:i/>
                <w:kern w:val="2"/>
                <w14:ligatures w14:val="standardContextual"/>
              </w:rPr>
            </m:ctrlPr>
          </m:sSubSupPr>
          <m:e>
            <m:r>
              <w:rPr>
                <w:rFonts w:ascii="Cambria Math" w:hAnsi="Cambria Math" w:cstheme="minorHAnsi"/>
              </w:rPr>
              <m:t>R</m:t>
            </m:r>
            <m:ctrlPr>
              <w:rPr>
                <w:rFonts w:ascii="Cambria Math" w:hAnsi="Cambria Math" w:cstheme="minorHAnsi"/>
                <w:i/>
              </w:rPr>
            </m:ctrlPr>
          </m:e>
          <m:sub>
            <m:r>
              <w:rPr>
                <w:rFonts w:ascii="Cambria Math" w:hAnsi="Cambria Math" w:cstheme="minorHAnsi"/>
              </w:rPr>
              <m:t>d,l,n</m:t>
            </m:r>
          </m:sub>
          <m:sup>
            <m:r>
              <w:rPr>
                <w:rFonts w:ascii="Cambria Math" w:hAnsi="Cambria Math" w:cstheme="minorHAnsi"/>
              </w:rPr>
              <m:t>ROCK</m:t>
            </m:r>
          </m:sup>
        </m:sSubSup>
      </m:oMath>
      <w:r w:rsidR="00DF59DD" w:rsidRPr="000105B2">
        <w:rPr>
          <w:rFonts w:cstheme="minorHAnsi"/>
          <w:kern w:val="2"/>
          <w14:ligatures w14:val="standardContextual"/>
        </w:rPr>
        <w:t>, expressed</w:t>
      </w:r>
      <w:r w:rsidR="00DF59DD" w:rsidRPr="00713D64">
        <w:rPr>
          <w:rFonts w:cstheme="minorHAnsi"/>
          <w:kern w:val="2"/>
          <w14:ligatures w14:val="standardContextual"/>
        </w:rPr>
        <w:t xml:space="preserve"> in g/m</w:t>
      </w:r>
      <w:r w:rsidR="00DF59DD" w:rsidRPr="00713D64">
        <w:rPr>
          <w:rFonts w:cstheme="minorHAnsi"/>
          <w:kern w:val="2"/>
          <w:vertAlign w:val="superscript"/>
          <w14:ligatures w14:val="standardContextual"/>
        </w:rPr>
        <w:t>2</w:t>
      </w:r>
      <w:r w:rsidR="00DF59DD" w:rsidRPr="00713D64">
        <w:rPr>
          <w:rFonts w:cstheme="minorHAnsi"/>
          <w:kern w:val="2"/>
          <w14:ligatures w14:val="standardContextual"/>
        </w:rPr>
        <w:t>/s</w:t>
      </w:r>
      <w:r w:rsidR="00DF59DD" w:rsidRPr="00713D64">
        <w:rPr>
          <w:rFonts w:cstheme="minorHAnsi"/>
        </w:rPr>
        <w:t xml:space="preserve">) and the </w:t>
      </w:r>
      <w:r w:rsidR="00BD7F45">
        <w:rPr>
          <w:rFonts w:cstheme="minorHAnsi"/>
        </w:rPr>
        <w:t xml:space="preserve">theoretical </w:t>
      </w:r>
      <w:r w:rsidR="00DF59DD" w:rsidRPr="00713D64">
        <w:rPr>
          <w:rFonts w:cstheme="minorHAnsi"/>
        </w:rPr>
        <w:t xml:space="preserve">rock CDR potential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n</m:t>
            </m:r>
          </m:sub>
        </m:sSub>
      </m:oMath>
      <w:r w:rsidR="00DF59DD" w:rsidRPr="001808E7">
        <w:rPr>
          <w:rFonts w:cstheme="minorHAnsi"/>
          <w:color w:val="FF0000"/>
        </w:rPr>
        <w:t xml:space="preserve"> </w:t>
      </w:r>
      <w:r w:rsidR="00DF59DD" w:rsidRPr="00713D64">
        <w:rPr>
          <w:rFonts w:cstheme="minorHAnsi"/>
        </w:rPr>
        <w:t>(</w:t>
      </w:r>
      <w:r w:rsidR="001560A0" w:rsidRPr="00713D64">
        <w:rPr>
          <w:rFonts w:cstheme="minorHAnsi"/>
        </w:rPr>
        <w:t>g</w:t>
      </w:r>
      <w:r w:rsidR="00DF59DD" w:rsidRPr="00713D64">
        <w:rPr>
          <w:rFonts w:cstheme="minorHAnsi"/>
        </w:rPr>
        <w:t>CO</w:t>
      </w:r>
      <w:r w:rsidR="00DF59DD" w:rsidRPr="00713D64">
        <w:rPr>
          <w:rFonts w:cstheme="minorHAnsi"/>
          <w:vertAlign w:val="subscript"/>
        </w:rPr>
        <w:t>2</w:t>
      </w:r>
      <w:r w:rsidR="00DF59DD" w:rsidRPr="00713D64">
        <w:rPr>
          <w:rFonts w:cstheme="minorHAnsi"/>
        </w:rPr>
        <w:t>/</w:t>
      </w:r>
      <w:r w:rsidR="001560A0" w:rsidRPr="00713D64">
        <w:rPr>
          <w:rFonts w:cstheme="minorHAnsi"/>
        </w:rPr>
        <w:t xml:space="preserve">g </w:t>
      </w:r>
      <w:r w:rsidR="00DF59DD" w:rsidRPr="00713D64">
        <w:rPr>
          <w:rFonts w:cstheme="minorHAnsi"/>
        </w:rPr>
        <w:t xml:space="preserve">rock), </w:t>
      </w:r>
      <w:r w:rsidR="00154954" w:rsidRPr="00713D64">
        <w:rPr>
          <w:rFonts w:cstheme="minorHAnsi"/>
        </w:rPr>
        <w:t xml:space="preserve">which is </w:t>
      </w:r>
      <w:r w:rsidR="00DF59DD" w:rsidRPr="00713D64">
        <w:rPr>
          <w:rFonts w:cstheme="minorHAnsi"/>
        </w:rPr>
        <w:t>based on the rock chemical composition and accounts for the CDR efficiency factor</w:t>
      </w:r>
      <w:r w:rsidR="00DF59DD" w:rsidRPr="00713D64">
        <w:rPr>
          <w:rFonts w:cstheme="minorHAnsi"/>
        </w:rPr>
        <w:fldChar w:fldCharType="begin" w:fldLock="1"/>
      </w:r>
      <w:r w:rsidR="00971A76">
        <w:rPr>
          <w:rFonts w:cstheme="minorHAnsi"/>
        </w:rPr>
        <w:instrText xml:space="preserve"> ADDIN ZOTERO_ITEM CSL_CITATION {"citationID":"lGbZel5G","properties":{"formattedCitation":"\\super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DF59DD" w:rsidRPr="00713D64">
        <w:rPr>
          <w:rFonts w:cstheme="minorHAnsi"/>
        </w:rPr>
        <w:fldChar w:fldCharType="separate"/>
      </w:r>
      <w:r w:rsidR="00971A76" w:rsidRPr="00971A76">
        <w:rPr>
          <w:rFonts w:ascii="Calibri" w:hAnsi="Calibri" w:cs="Calibri"/>
          <w:vertAlign w:val="superscript"/>
        </w:rPr>
        <w:t>38</w:t>
      </w:r>
      <w:r w:rsidR="00DF59DD" w:rsidRPr="00713D64">
        <w:rPr>
          <w:rFonts w:cstheme="minorHAnsi"/>
        </w:rPr>
        <w:fldChar w:fldCharType="end"/>
      </w:r>
      <w:r w:rsidR="00DF59DD" w:rsidRPr="00713D64">
        <w:rPr>
          <w:rFonts w:cstheme="minorHAnsi"/>
        </w:rPr>
        <w:t>.</w:t>
      </w:r>
      <w:r w:rsidR="002305B0" w:rsidRPr="00713D64">
        <w:rPr>
          <w:rFonts w:cstheme="minorHAnsi"/>
        </w:rPr>
        <w:t xml:space="preserve"> </w:t>
      </w:r>
    </w:p>
    <w:p w14:paraId="10D19BC0" w14:textId="739BA833" w:rsidR="00AA7AA1" w:rsidRDefault="000125BA" w:rsidP="003D23FD">
      <w:pPr>
        <w:spacing w:before="240" w:line="360" w:lineRule="auto"/>
        <w:jc w:val="both"/>
        <w:rPr>
          <w:rFonts w:cstheme="minorHAnsi"/>
          <w:kern w:val="2"/>
          <w14:ligatures w14:val="standardContextual"/>
        </w:rPr>
      </w:pPr>
      <w:r w:rsidRPr="00713D64">
        <w:rPr>
          <w:rFonts w:cstheme="minorHAnsi"/>
          <w:kern w:val="2"/>
          <w14:ligatures w14:val="standardContextual"/>
        </w:rPr>
        <w:t>Since the</w:t>
      </w:r>
      <w:r w:rsidR="00E74333" w:rsidRPr="00713D64">
        <w:rPr>
          <w:rFonts w:cstheme="minorHAnsi"/>
          <w:kern w:val="2"/>
          <w14:ligatures w14:val="standardContextual"/>
        </w:rPr>
        <w:t xml:space="preserve"> amount of alkalinity</w:t>
      </w:r>
      <w:r w:rsidRPr="00713D64">
        <w:rPr>
          <w:rFonts w:cstheme="minorHAnsi"/>
          <w:i/>
          <w:iCs/>
          <w:kern w:val="2"/>
          <w14:ligatures w14:val="standardContextual"/>
        </w:rPr>
        <w:t xml:space="preserve"> </w:t>
      </w:r>
      <w:r w:rsidR="002B7CE0" w:rsidRPr="00713D64">
        <w:rPr>
          <w:rFonts w:cstheme="minorHAnsi"/>
          <w:kern w:val="2"/>
          <w14:ligatures w14:val="standardContextual"/>
        </w:rPr>
        <w:t>dissolved is</w:t>
      </w:r>
      <w:r w:rsidR="008029D6" w:rsidRPr="00713D64">
        <w:rPr>
          <w:rFonts w:cstheme="minorHAnsi"/>
          <w:kern w:val="2"/>
          <w14:ligatures w14:val="standardContextual"/>
        </w:rPr>
        <w:t xml:space="preserve"> directly </w:t>
      </w:r>
      <w:r w:rsidR="002B7CE0" w:rsidRPr="00713D64">
        <w:rPr>
          <w:rFonts w:cstheme="minorHAnsi"/>
          <w:kern w:val="2"/>
          <w14:ligatures w14:val="standardContextual"/>
        </w:rPr>
        <w:t xml:space="preserve">proportional to the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3227A1" w:rsidRPr="00D70FF5">
        <w:rPr>
          <w:rFonts w:cstheme="minorHAnsi"/>
          <w:kern w:val="2"/>
          <w14:ligatures w14:val="standardContextual"/>
        </w:rPr>
        <w:t xml:space="preserve">, </w:t>
      </w:r>
      <w:r w:rsidR="00AC393E" w:rsidRPr="00713D64">
        <w:rPr>
          <w:rFonts w:cstheme="minorHAnsi"/>
          <w:kern w:val="2"/>
          <w14:ligatures w14:val="standardContextual"/>
        </w:rPr>
        <w:t>we mu</w:t>
      </w:r>
      <w:r w:rsidR="008577AA" w:rsidRPr="00713D64">
        <w:rPr>
          <w:rFonts w:cstheme="minorHAnsi"/>
          <w:kern w:val="2"/>
          <w14:ligatures w14:val="standardContextual"/>
        </w:rPr>
        <w:t>s</w:t>
      </w:r>
      <w:r w:rsidR="00AC393E" w:rsidRPr="00713D64">
        <w:rPr>
          <w:rFonts w:cstheme="minorHAnsi"/>
          <w:kern w:val="2"/>
          <w14:ligatures w14:val="standardContextual"/>
        </w:rPr>
        <w:t xml:space="preserve">t keep </w:t>
      </w:r>
      <w:r w:rsidR="00AE403B" w:rsidRPr="00713D64">
        <w:rPr>
          <w:rFonts w:cstheme="minorHAnsi"/>
          <w:kern w:val="2"/>
          <w14:ligatures w14:val="standardContextual"/>
        </w:rPr>
        <w:t xml:space="preserve">the total </w:t>
      </w:r>
      <w:r w:rsidR="00474742" w:rsidRPr="00713D64">
        <w:rPr>
          <w:rFonts w:cstheme="minorHAnsi"/>
          <w:kern w:val="2"/>
          <w14:ligatures w14:val="standardContextual"/>
        </w:rPr>
        <w:t xml:space="preserve">rock </w:t>
      </w:r>
      <w:r w:rsidR="00AC393E" w:rsidRPr="00713D64">
        <w:rPr>
          <w:rFonts w:cstheme="minorHAnsi"/>
          <w:kern w:val="2"/>
          <w14:ligatures w14:val="standardContextual"/>
        </w:rPr>
        <w:t>surface area</w:t>
      </w:r>
      <w:r w:rsidR="00AE403B" w:rsidRPr="00713D64">
        <w:rPr>
          <w:rFonts w:cstheme="minorHAnsi"/>
          <w:kern w:val="2"/>
          <w14:ligatures w14:val="standardContextual"/>
        </w:rPr>
        <w:t xml:space="preserve"> constant to </w:t>
      </w:r>
      <w:r w:rsidR="00980085" w:rsidRPr="00713D64">
        <w:rPr>
          <w:rFonts w:cstheme="minorHAnsi"/>
          <w:kern w:val="2"/>
          <w14:ligatures w14:val="standardContextual"/>
        </w:rPr>
        <w:t xml:space="preserve">maintain </w:t>
      </w:r>
      <w:r w:rsidR="00B92ADA" w:rsidRPr="00713D64">
        <w:rPr>
          <w:rFonts w:cstheme="minorHAnsi"/>
          <w:kern w:val="2"/>
          <w14:ligatures w14:val="standardContextual"/>
        </w:rPr>
        <w:t>the same</w:t>
      </w:r>
      <w:r w:rsidR="00980085" w:rsidRPr="00713D64">
        <w:rPr>
          <w:rFonts w:cstheme="minorHAnsi"/>
          <w:kern w:val="2"/>
          <w14:ligatures w14:val="standardContextual"/>
        </w:rPr>
        <w:t xml:space="preserve"> CDR rate over time</w:t>
      </w:r>
      <w:r w:rsidR="008110FC" w:rsidRPr="00713D64">
        <w:rPr>
          <w:rFonts w:cstheme="minorHAnsi"/>
          <w:kern w:val="2"/>
          <w14:ligatures w14:val="standardContextual"/>
        </w:rPr>
        <w:t>.</w:t>
      </w:r>
      <w:r w:rsidR="00542404" w:rsidRPr="00713D64">
        <w:rPr>
          <w:rFonts w:cstheme="minorHAnsi"/>
          <w:kern w:val="2"/>
          <w14:ligatures w14:val="standardContextual"/>
        </w:rPr>
        <w:t xml:space="preserve"> </w:t>
      </w:r>
      <w:r w:rsidR="007A0387" w:rsidRPr="00713D64">
        <w:rPr>
          <w:rFonts w:cstheme="minorHAnsi"/>
        </w:rPr>
        <w:t xml:space="preserve">Hence, we </w:t>
      </w:r>
      <w:r w:rsidR="009F15C6" w:rsidRPr="00713D64">
        <w:rPr>
          <w:rFonts w:cstheme="minorHAnsi"/>
        </w:rPr>
        <w:t xml:space="preserve">assume </w:t>
      </w:r>
      <w:r w:rsidR="007A0387" w:rsidRPr="00713D64">
        <w:rPr>
          <w:rFonts w:cstheme="minorHAnsi"/>
        </w:rPr>
        <w:t>that</w:t>
      </w:r>
      <w:r w:rsidR="00A86318" w:rsidRPr="00713D64">
        <w:rPr>
          <w:rFonts w:cstheme="minorHAnsi"/>
        </w:rPr>
        <w:t xml:space="preserve"> the amount of rock applied annually </w:t>
      </w:r>
      <w:r w:rsidR="00880BB3" w:rsidRPr="00713D64">
        <w:rPr>
          <w:rFonts w:cstheme="minorHAnsi"/>
        </w:rPr>
        <w:t xml:space="preserve">after the initial year of </w:t>
      </w:r>
      <w:r w:rsidR="00A73A0C" w:rsidRPr="00713D64">
        <w:rPr>
          <w:rFonts w:cstheme="minorHAnsi"/>
        </w:rPr>
        <w:t>deployment</w:t>
      </w:r>
      <w:r w:rsidR="00A73A0C" w:rsidRPr="00944734">
        <w:rPr>
          <w:rFonts w:cstheme="minorHAnsi"/>
        </w:rPr>
        <w:t xml:space="preserve"> </w:t>
      </w:r>
      <w:r w:rsidR="00A86318" w:rsidRPr="00944734">
        <w:rPr>
          <w:rFonts w:cstheme="minorHAnsi"/>
        </w:rPr>
        <w:t>(</w:t>
      </w:r>
      <m:oMath>
        <m:r>
          <w:rPr>
            <w:rFonts w:ascii="Cambria Math" w:hAnsi="Cambria Math" w:cstheme="minorHAnsi"/>
          </w:rPr>
          <m:t>R</m:t>
        </m:r>
        <m:sSubSup>
          <m:sSubSupPr>
            <m:ctrlPr>
              <w:rPr>
                <w:rFonts w:ascii="Cambria Math" w:hAnsi="Cambria Math" w:cstheme="minorHAnsi"/>
                <w:i/>
                <w:kern w:val="2"/>
                <w14:ligatures w14:val="standardContextual"/>
              </w:rPr>
            </m:ctrlPr>
          </m:sSubSupPr>
          <m:e>
            <m:r>
              <w:rPr>
                <w:rFonts w:ascii="Cambria Math" w:hAnsi="Cambria Math" w:cstheme="minorHAnsi"/>
              </w:rPr>
              <m:t>M</m:t>
            </m:r>
            <m:ctrlPr>
              <w:rPr>
                <w:rFonts w:ascii="Cambria Math" w:hAnsi="Cambria Math" w:cstheme="minorHAnsi"/>
                <w:i/>
              </w:rPr>
            </m:ctrlPr>
          </m:e>
          <m:sub>
            <m:r>
              <w:rPr>
                <w:rFonts w:ascii="Cambria Math" w:hAnsi="Cambria Math" w:cstheme="minorHAnsi"/>
              </w:rPr>
              <m:t>d,l,n,p</m:t>
            </m:r>
          </m:sub>
          <m:sup>
            <m:r>
              <w:rPr>
                <w:rFonts w:ascii="Cambria Math" w:hAnsi="Cambria Math" w:cstheme="minorHAnsi"/>
              </w:rPr>
              <m:t>A</m:t>
            </m:r>
          </m:sup>
        </m:sSubSup>
      </m:oMath>
      <w:r w:rsidR="00A86318" w:rsidRPr="009A1735">
        <w:rPr>
          <w:rFonts w:cstheme="minorHAnsi"/>
        </w:rPr>
        <w:t xml:space="preserve">) equals </w:t>
      </w:r>
      <w:r w:rsidR="007A0387" w:rsidRPr="009A1735">
        <w:rPr>
          <w:rFonts w:cstheme="minorHAnsi"/>
        </w:rPr>
        <w:t xml:space="preserve">the amount of rock that </w:t>
      </w:r>
      <w:r w:rsidR="00781666" w:rsidRPr="009A1735">
        <w:rPr>
          <w:rFonts w:cstheme="minorHAnsi"/>
        </w:rPr>
        <w:t xml:space="preserve">weathered the previous </w:t>
      </w:r>
      <w:r w:rsidR="00781666" w:rsidRPr="00B6657C">
        <w:rPr>
          <w:rFonts w:cstheme="minorHAnsi"/>
        </w:rPr>
        <w:t>year</w:t>
      </w:r>
      <w:r w:rsidR="000C02A6" w:rsidRPr="00B6657C">
        <w:rPr>
          <w:rFonts w:cstheme="minorHAnsi"/>
        </w:rPr>
        <w:t xml:space="preserve"> </w:t>
      </w:r>
      <w:r w:rsidR="00A86318" w:rsidRPr="00B6657C">
        <w:rPr>
          <w:rFonts w:cstheme="minorHAnsi"/>
        </w:rPr>
        <w:t>(</w:t>
      </w:r>
      <w:r w:rsidR="00781666" w:rsidRPr="00B6657C">
        <w:rPr>
          <w:rFonts w:cstheme="minorHAnsi"/>
        </w:rPr>
        <w:t xml:space="preserve">Equation </w:t>
      </w:r>
      <w:r w:rsidR="00B6657C" w:rsidRPr="00B6657C">
        <w:rPr>
          <w:rFonts w:cstheme="minorHAnsi"/>
        </w:rPr>
        <w:t>(31)</w:t>
      </w:r>
      <w:r w:rsidR="003A7E14" w:rsidRPr="00B6657C">
        <w:rPr>
          <w:rFonts w:cstheme="minorHAnsi"/>
          <w:kern w:val="2"/>
          <w14:ligatures w14:val="standardContextual"/>
        </w:rPr>
        <w:t>)</w:t>
      </w:r>
      <w:r w:rsidR="007A7665" w:rsidRPr="00B6657C">
        <w:rPr>
          <w:rFonts w:cstheme="minorHAnsi"/>
          <w:kern w:val="2"/>
          <w14:ligatures w14:val="standardContextual"/>
        </w:rPr>
        <w:t xml:space="preserve">, estimated with </w:t>
      </w:r>
      <m:oMath>
        <m:r>
          <w:rPr>
            <w:rFonts w:ascii="Cambria Math" w:hAnsi="Cambria Math" w:cstheme="minorHAnsi"/>
          </w:rPr>
          <m:t>W</m:t>
        </m:r>
        <m:sSubSup>
          <m:sSubSupPr>
            <m:ctrlPr>
              <w:rPr>
                <w:rFonts w:ascii="Cambria Math" w:hAnsi="Cambria Math" w:cstheme="minorHAnsi"/>
                <w:i/>
                <w:kern w:val="2"/>
                <w14:ligatures w14:val="standardContextual"/>
              </w:rPr>
            </m:ctrlPr>
          </m:sSubSupPr>
          <m:e>
            <m:r>
              <w:rPr>
                <w:rFonts w:ascii="Cambria Math" w:hAnsi="Cambria Math" w:cstheme="minorHAnsi"/>
              </w:rPr>
              <m:t>R</m:t>
            </m:r>
            <m:ctrlPr>
              <w:rPr>
                <w:rFonts w:ascii="Cambria Math" w:hAnsi="Cambria Math" w:cstheme="minorHAnsi"/>
                <w:i/>
              </w:rPr>
            </m:ctrlPr>
          </m:e>
          <m:sub>
            <m:r>
              <w:rPr>
                <w:rFonts w:ascii="Cambria Math" w:hAnsi="Cambria Math" w:cstheme="minorHAnsi"/>
              </w:rPr>
              <m:t>d,l,n</m:t>
            </m:r>
          </m:sub>
          <m:sup>
            <m:r>
              <w:rPr>
                <w:rFonts w:ascii="Cambria Math" w:hAnsi="Cambria Math" w:cstheme="minorHAnsi"/>
              </w:rPr>
              <m:t>ROCK</m:t>
            </m:r>
          </m:sup>
        </m:sSubSup>
      </m:oMath>
      <w:r w:rsidR="005A6831" w:rsidRPr="00B6657C">
        <w:rPr>
          <w:rFonts w:cstheme="minorHAnsi"/>
          <w:kern w:val="2"/>
          <w14:ligatures w14:val="standardContextual"/>
        </w:rPr>
        <w:t>.</w:t>
      </w:r>
      <w:r w:rsidR="00756284" w:rsidRPr="00B6657C">
        <w:rPr>
          <w:rFonts w:cstheme="minorHAnsi"/>
          <w:kern w:val="2"/>
          <w14:ligatures w14:val="standardContextual"/>
        </w:rPr>
        <w:t xml:space="preserve"> </w:t>
      </w:r>
      <w:r w:rsidR="00F15472" w:rsidRPr="00B6657C">
        <w:rPr>
          <w:rFonts w:cstheme="minorHAnsi"/>
          <w:kern w:val="2"/>
          <w14:ligatures w14:val="standardContextual"/>
        </w:rPr>
        <w:lastRenderedPageBreak/>
        <w:t xml:space="preserve">In the scenarios based on experimental data, </w:t>
      </w:r>
      <m:oMath>
        <m:r>
          <w:rPr>
            <w:rFonts w:ascii="Cambria Math" w:hAnsi="Cambria Math" w:cstheme="minorHAnsi"/>
          </w:rPr>
          <m:t>W</m:t>
        </m:r>
        <m:sSubSup>
          <m:sSubSupPr>
            <m:ctrlPr>
              <w:rPr>
                <w:rFonts w:ascii="Cambria Math" w:hAnsi="Cambria Math" w:cstheme="minorHAnsi"/>
                <w:i/>
                <w:kern w:val="2"/>
                <w14:ligatures w14:val="standardContextual"/>
              </w:rPr>
            </m:ctrlPr>
          </m:sSubSupPr>
          <m:e>
            <m:r>
              <w:rPr>
                <w:rFonts w:ascii="Cambria Math" w:hAnsi="Cambria Math" w:cstheme="minorHAnsi"/>
              </w:rPr>
              <m:t>R</m:t>
            </m:r>
            <m:ctrlPr>
              <w:rPr>
                <w:rFonts w:ascii="Cambria Math" w:hAnsi="Cambria Math" w:cstheme="minorHAnsi"/>
                <w:i/>
              </w:rPr>
            </m:ctrlPr>
          </m:e>
          <m:sub>
            <m:r>
              <w:rPr>
                <w:rFonts w:ascii="Cambria Math" w:hAnsi="Cambria Math" w:cstheme="minorHAnsi"/>
              </w:rPr>
              <m:t>d,l,n</m:t>
            </m:r>
          </m:sub>
          <m:sup>
            <m:r>
              <w:rPr>
                <w:rFonts w:ascii="Cambria Math" w:hAnsi="Cambria Math" w:cstheme="minorHAnsi"/>
              </w:rPr>
              <m:t>ROCK</m:t>
            </m:r>
          </m:sup>
        </m:sSubSup>
      </m:oMath>
      <w:r w:rsidR="00F15472" w:rsidRPr="00B6657C">
        <w:rPr>
          <w:rFonts w:cstheme="minorHAnsi"/>
          <w:kern w:val="2"/>
          <w14:ligatures w14:val="standardContextual"/>
        </w:rPr>
        <w:t xml:space="preserve"> is </w:t>
      </w:r>
      <w:r w:rsidR="00CE61C8" w:rsidRPr="00B6657C">
        <w:rPr>
          <w:rFonts w:cstheme="minorHAnsi"/>
          <w:kern w:val="2"/>
          <w14:ligatures w14:val="standardContextual"/>
        </w:rPr>
        <w:t xml:space="preserve">calculated with Equation </w:t>
      </w:r>
      <w:r w:rsidR="00B6657C" w:rsidRPr="00B6657C">
        <w:rPr>
          <w:rFonts w:cstheme="minorHAnsi"/>
          <w:kern w:val="2"/>
          <w14:ligatures w14:val="standardContextual"/>
        </w:rPr>
        <w:t>(32)</w:t>
      </w:r>
      <w:r w:rsidR="00CE61C8" w:rsidRPr="004D600C">
        <w:rPr>
          <w:rFonts w:cstheme="minorHAnsi"/>
          <w:kern w:val="2"/>
          <w14:ligatures w14:val="standardContextual"/>
        </w:rPr>
        <w:t xml:space="preserve"> </w:t>
      </w:r>
      <w:r w:rsidR="00CE61C8" w:rsidRPr="00713D64">
        <w:rPr>
          <w:rFonts w:cstheme="minorHAnsi"/>
          <w:kern w:val="2"/>
          <w14:ligatures w14:val="standardContextual"/>
        </w:rPr>
        <w:t>based on</w:t>
      </w:r>
      <w:r w:rsidR="00F15472" w:rsidRPr="00713D64">
        <w:rPr>
          <w:rFonts w:cstheme="minorHAnsi"/>
          <w:kern w:val="2"/>
          <w14:ligatures w14:val="standardContextual"/>
        </w:rPr>
        <w:t xml:space="preserve"> </w:t>
      </w:r>
      <w:r w:rsidR="00CE61C8" w:rsidRPr="00713D64">
        <w:rPr>
          <w:rFonts w:cstheme="minorHAnsi"/>
          <w:kern w:val="2"/>
          <w14:ligatures w14:val="standardContextual"/>
        </w:rPr>
        <w:t>the</w:t>
      </w:r>
      <w:r w:rsidR="00F15472" w:rsidRPr="00713D64">
        <w:rPr>
          <w:rFonts w:cstheme="minorHAnsi"/>
          <w:kern w:val="2"/>
          <w14:ligatures w14:val="standardContextual"/>
        </w:rPr>
        <w:t xml:space="preserve"> </w:t>
      </w:r>
      <w:r w:rsidR="00FA45EB" w:rsidRPr="00713D64">
        <w:rPr>
          <w:rFonts w:cstheme="minorHAnsi"/>
          <w:kern w:val="2"/>
          <w14:ligatures w14:val="standardContextual"/>
        </w:rPr>
        <w:t xml:space="preserve">alkalinity concentration in the rock, </w:t>
      </w:r>
      <m:oMath>
        <m:sSubSup>
          <m:sSubSupPr>
            <m:ctrlPr>
              <w:rPr>
                <w:rFonts w:ascii="Cambria Math" w:hAnsi="Cambria Math" w:cstheme="minorHAnsi"/>
                <w:i/>
                <w:kern w:val="2"/>
                <w14:ligatures w14:val="standardContextual"/>
              </w:rPr>
            </m:ctrlPr>
          </m:sSubSupPr>
          <m:e>
            <m:r>
              <w:rPr>
                <w:rFonts w:ascii="Cambria Math" w:hAnsi="Cambria Math" w:cstheme="minorHAnsi"/>
                <w:kern w:val="2"/>
                <w14:ligatures w14:val="standardContextual"/>
              </w:rPr>
              <m:t>C</m:t>
            </m:r>
          </m:e>
          <m:sub>
            <m:r>
              <w:rPr>
                <w:rFonts w:ascii="Cambria Math" w:hAnsi="Cambria Math" w:cstheme="minorHAnsi"/>
                <w:kern w:val="2"/>
                <w14:ligatures w14:val="standardContextual"/>
              </w:rPr>
              <m:t>n</m:t>
            </m:r>
          </m:sub>
          <m:sup>
            <m:r>
              <w:rPr>
                <w:rFonts w:ascii="Cambria Math" w:hAnsi="Cambria Math" w:cstheme="minorHAnsi"/>
                <w:kern w:val="2"/>
                <w14:ligatures w14:val="standardContextual"/>
              </w:rPr>
              <m:t>ALK</m:t>
            </m:r>
          </m:sup>
        </m:sSubSup>
      </m:oMath>
      <w:r w:rsidR="00BD0512" w:rsidRPr="00BE34CC">
        <w:rPr>
          <w:rFonts w:cstheme="minorHAnsi"/>
          <w:color w:val="FF0000"/>
          <w:kern w:val="2"/>
          <w14:ligatures w14:val="standardContextual"/>
        </w:rPr>
        <w:t xml:space="preserve"> </w:t>
      </w:r>
      <w:r w:rsidR="00BD0512" w:rsidRPr="00713D64">
        <w:rPr>
          <w:rFonts w:cstheme="minorHAnsi"/>
          <w:kern w:val="2"/>
          <w14:ligatures w14:val="standardContextual"/>
        </w:rPr>
        <w:t>(mol/</w:t>
      </w:r>
      <w:r w:rsidR="004D508A" w:rsidRPr="00713D64">
        <w:rPr>
          <w:rFonts w:cstheme="minorHAnsi"/>
          <w:kern w:val="2"/>
          <w14:ligatures w14:val="standardContextual"/>
        </w:rPr>
        <w:t>g)</w:t>
      </w:r>
      <w:r w:rsidR="001E17A8" w:rsidRPr="00713D64">
        <w:rPr>
          <w:rFonts w:cstheme="minorHAnsi"/>
          <w:kern w:val="2"/>
          <w14:ligatures w14:val="standardContextual"/>
        </w:rPr>
        <w:t>.</w:t>
      </w:r>
      <w:r w:rsidR="001E17A8">
        <w:rPr>
          <w:rFonts w:cstheme="minorHAnsi"/>
          <w:kern w:val="2"/>
          <w14:ligatures w14:val="standardContextual"/>
        </w:rPr>
        <w:t xml:space="preserve">  </w:t>
      </w:r>
    </w:p>
    <w:tbl>
      <w:tblPr>
        <w:tblStyle w:val="Tablaconcuadrcula"/>
        <w:tblW w:w="8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15"/>
        <w:gridCol w:w="680"/>
      </w:tblGrid>
      <w:tr w:rsidR="002E041B" w:rsidRPr="002E041B" w14:paraId="62760564" w14:textId="77777777" w:rsidTr="00F214B9">
        <w:tc>
          <w:tcPr>
            <w:tcW w:w="8075" w:type="dxa"/>
          </w:tcPr>
          <w:p w14:paraId="7FE1B1DC" w14:textId="260F9050" w:rsidR="00F43D9A" w:rsidRPr="002E041B" w:rsidRDefault="00400CD3" w:rsidP="002501F8">
            <w:pPr>
              <w:spacing w:line="360" w:lineRule="auto"/>
              <w:jc w:val="both"/>
            </w:pPr>
            <m:oMathPara>
              <m:oMath>
                <m:r>
                  <w:rPr>
                    <w:rFonts w:ascii="Cambria Math" w:hAnsi="Cambria Math" w:cstheme="minorHAnsi"/>
                  </w:rPr>
                  <m:t>R</m:t>
                </m:r>
                <m:sSubSup>
                  <m:sSubSupPr>
                    <m:ctrlPr>
                      <w:rPr>
                        <w:rFonts w:ascii="Cambria Math" w:hAnsi="Cambria Math" w:cstheme="minorHAnsi"/>
                        <w:i/>
                      </w:rPr>
                    </m:ctrlPr>
                  </m:sSubSupPr>
                  <m:e>
                    <m:r>
                      <w:rPr>
                        <w:rFonts w:ascii="Cambria Math" w:hAnsi="Cambria Math" w:cstheme="minorHAnsi"/>
                      </w:rPr>
                      <m:t>M</m:t>
                    </m:r>
                  </m:e>
                  <m:sub>
                    <m:r>
                      <w:rPr>
                        <w:rFonts w:ascii="Cambria Math" w:hAnsi="Cambria Math" w:cstheme="minorHAnsi"/>
                      </w:rPr>
                      <m:t>d,l,n,p</m:t>
                    </m:r>
                  </m:sub>
                  <m:sup>
                    <m:r>
                      <w:rPr>
                        <w:rFonts w:ascii="Cambria Math" w:hAnsi="Cambria Math" w:cstheme="minorHAnsi"/>
                      </w:rPr>
                      <m:t>0</m:t>
                    </m:r>
                  </m:sup>
                </m:sSubSup>
                <m:r>
                  <w:rPr>
                    <w:rFonts w:ascii="Cambria Math" w:hAnsi="Cambria Math" w:cstheme="minorHAnsi"/>
                  </w:rPr>
                  <m:t>=</m:t>
                </m:r>
                <m:f>
                  <m:fPr>
                    <m:ctrlPr>
                      <w:rPr>
                        <w:rFonts w:ascii="Cambria Math" w:hAnsi="Cambria Math" w:cstheme="minorHAnsi"/>
                        <w:i/>
                      </w:rPr>
                    </m:ctrlPr>
                  </m:fPr>
                  <m:num>
                    <m:d>
                      <m:dPr>
                        <m:begChr m:val="|"/>
                        <m:endChr m:val="|"/>
                        <m:ctrlPr>
                          <w:rPr>
                            <w:rFonts w:ascii="Cambria Math" w:hAnsi="Cambria Math" w:cstheme="minorHAnsi"/>
                            <w:i/>
                          </w:rPr>
                        </m:ctrlPr>
                      </m:dPr>
                      <m:e>
                        <m:r>
                          <w:rPr>
                            <w:rFonts w:ascii="Cambria Math" w:hAnsi="Cambria Math" w:cstheme="minorHAnsi"/>
                          </w:rPr>
                          <m:t>CD</m:t>
                        </m:r>
                        <m:sSup>
                          <m:sSupPr>
                            <m:ctrlPr>
                              <w:rPr>
                                <w:rFonts w:ascii="Cambria Math" w:hAnsi="Cambria Math" w:cstheme="minorHAnsi"/>
                                <w:i/>
                              </w:rPr>
                            </m:ctrlPr>
                          </m:sSupPr>
                          <m:e>
                            <m:r>
                              <w:rPr>
                                <w:rFonts w:ascii="Cambria Math" w:hAnsi="Cambria Math" w:cstheme="minorHAnsi"/>
                              </w:rPr>
                              <m:t>R</m:t>
                            </m:r>
                          </m:e>
                          <m:sup>
                            <m:r>
                              <w:rPr>
                                <w:rFonts w:ascii="Cambria Math" w:hAnsi="Cambria Math" w:cstheme="minorHAnsi"/>
                              </w:rPr>
                              <m:t>EW</m:t>
                            </m:r>
                          </m:sup>
                        </m:sSup>
                      </m:e>
                    </m:d>
                  </m:num>
                  <m:den>
                    <m:r>
                      <w:rPr>
                        <w:rFonts w:ascii="Cambria Math" w:hAnsi="Cambria Math" w:cstheme="minorHAnsi"/>
                      </w:rPr>
                      <m:t>W</m:t>
                    </m:r>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d,l,n</m:t>
                        </m:r>
                      </m:sub>
                      <m:sup>
                        <m:r>
                          <w:rPr>
                            <w:rFonts w:ascii="Cambria Math" w:hAnsi="Cambria Math" w:cstheme="minorHAnsi"/>
                          </w:rPr>
                          <m:t>ALK</m:t>
                        </m:r>
                      </m:sup>
                    </m:sSubSup>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r>
                      <w:rPr>
                        <w:rFonts w:ascii="Cambria Math" w:hAnsi="Cambria Math" w:cstheme="minorHAnsi"/>
                      </w:rPr>
                      <m:t>·spy·w·M</m:t>
                    </m:r>
                    <m:sSup>
                      <m:sSupPr>
                        <m:ctrlPr>
                          <w:rPr>
                            <w:rFonts w:ascii="Cambria Math" w:hAnsi="Cambria Math" w:cstheme="minorHAnsi"/>
                            <w:i/>
                          </w:rPr>
                        </m:ctrlPr>
                      </m:sSupPr>
                      <m:e>
                        <m:r>
                          <w:rPr>
                            <w:rFonts w:ascii="Cambria Math" w:hAnsi="Cambria Math" w:cstheme="minorHAnsi"/>
                          </w:rPr>
                          <m:t>M</m:t>
                        </m:r>
                      </m:e>
                      <m:sup>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sup>
                    </m:sSup>
                  </m:den>
                </m:f>
                <m:r>
                  <w:rPr>
                    <w:rFonts w:ascii="Cambria Math" w:eastAsia="Calibri" w:hAnsi="Cambria Math" w:cs="Calibri"/>
                  </w:rPr>
                  <m:t xml:space="preserve">     ∀ d=exp, l∈L, n∈N, p∈P </m:t>
                </m:r>
              </m:oMath>
            </m:oMathPara>
          </w:p>
        </w:tc>
        <w:tc>
          <w:tcPr>
            <w:tcW w:w="520" w:type="dxa"/>
          </w:tcPr>
          <w:p w14:paraId="337DF16A" w14:textId="77777777" w:rsidR="000923AE" w:rsidRPr="00E25C4F" w:rsidRDefault="000923AE" w:rsidP="000923AE">
            <w:pPr>
              <w:tabs>
                <w:tab w:val="right" w:pos="464"/>
              </w:tabs>
              <w:spacing w:line="360" w:lineRule="auto"/>
              <w:rPr>
                <w:rFonts w:cstheme="minorHAnsi"/>
                <w:sz w:val="8"/>
                <w:szCs w:val="8"/>
              </w:rPr>
            </w:pPr>
          </w:p>
          <w:p w14:paraId="107137CA" w14:textId="43E1FA7E" w:rsidR="00F43D9A" w:rsidRPr="00E25C4F" w:rsidRDefault="000923AE" w:rsidP="000923AE">
            <w:pPr>
              <w:tabs>
                <w:tab w:val="right" w:pos="464"/>
              </w:tabs>
              <w:spacing w:line="360" w:lineRule="auto"/>
              <w:rPr>
                <w:rFonts w:cstheme="minorHAnsi"/>
              </w:rPr>
            </w:pPr>
            <w:r w:rsidRPr="00E25C4F">
              <w:rPr>
                <w:rFonts w:cstheme="minorHAnsi"/>
              </w:rPr>
              <w:tab/>
            </w:r>
            <w:r w:rsidR="00F43D9A" w:rsidRPr="00E25C4F">
              <w:rPr>
                <w:rFonts w:cstheme="minorHAnsi"/>
              </w:rPr>
              <w:t>(</w:t>
            </w:r>
            <w:r w:rsidR="00E25C4F" w:rsidRPr="00E25C4F">
              <w:rPr>
                <w:rFonts w:cstheme="minorHAnsi"/>
              </w:rPr>
              <w:t>29</w:t>
            </w:r>
            <w:r w:rsidR="00F43D9A" w:rsidRPr="00E25C4F">
              <w:rPr>
                <w:rFonts w:cstheme="minorHAnsi"/>
              </w:rPr>
              <w:t>)</w:t>
            </w:r>
          </w:p>
        </w:tc>
      </w:tr>
      <w:tr w:rsidR="002E041B" w:rsidRPr="002E041B" w14:paraId="2BD152CF" w14:textId="77777777" w:rsidTr="00F214B9">
        <w:tc>
          <w:tcPr>
            <w:tcW w:w="8075" w:type="dxa"/>
          </w:tcPr>
          <w:p w14:paraId="072A0515" w14:textId="44CFB8FC" w:rsidR="00CE74B0" w:rsidRPr="002E041B" w:rsidRDefault="00400CD3" w:rsidP="000923AE">
            <w:pPr>
              <w:spacing w:before="240" w:line="360" w:lineRule="auto"/>
              <w:jc w:val="both"/>
              <w:rPr>
                <w:rFonts w:cstheme="minorHAnsi"/>
              </w:rPr>
            </w:pPr>
            <m:oMathPara>
              <m:oMath>
                <m:r>
                  <w:rPr>
                    <w:rFonts w:ascii="Cambria Math" w:hAnsi="Cambria Math" w:cstheme="minorHAnsi"/>
                  </w:rPr>
                  <m:t>R</m:t>
                </m:r>
                <m:sSubSup>
                  <m:sSubSupPr>
                    <m:ctrlPr>
                      <w:rPr>
                        <w:rFonts w:ascii="Cambria Math" w:hAnsi="Cambria Math" w:cstheme="minorHAnsi"/>
                        <w:i/>
                      </w:rPr>
                    </m:ctrlPr>
                  </m:sSubSupPr>
                  <m:e>
                    <m:r>
                      <w:rPr>
                        <w:rFonts w:ascii="Cambria Math" w:hAnsi="Cambria Math" w:cstheme="minorHAnsi"/>
                      </w:rPr>
                      <m:t>M</m:t>
                    </m:r>
                  </m:e>
                  <m:sub>
                    <m:r>
                      <w:rPr>
                        <w:rFonts w:ascii="Cambria Math" w:hAnsi="Cambria Math" w:cstheme="minorHAnsi"/>
                      </w:rPr>
                      <m:t>d,l,n,p</m:t>
                    </m:r>
                  </m:sub>
                  <m:sup>
                    <m:r>
                      <w:rPr>
                        <w:rFonts w:ascii="Cambria Math" w:hAnsi="Cambria Math" w:cstheme="minorHAnsi"/>
                      </w:rPr>
                      <m:t>0</m:t>
                    </m:r>
                  </m:sup>
                </m:sSubSup>
                <m:r>
                  <w:rPr>
                    <w:rFonts w:ascii="Cambria Math" w:hAnsi="Cambria Math" w:cstheme="minorHAnsi"/>
                  </w:rPr>
                  <m:t>=</m:t>
                </m:r>
                <m:f>
                  <m:fPr>
                    <m:ctrlPr>
                      <w:rPr>
                        <w:rFonts w:ascii="Cambria Math" w:hAnsi="Cambria Math" w:cstheme="minorHAnsi"/>
                        <w:i/>
                      </w:rPr>
                    </m:ctrlPr>
                  </m:fPr>
                  <m:num>
                    <m:d>
                      <m:dPr>
                        <m:begChr m:val="|"/>
                        <m:endChr m:val="|"/>
                        <m:ctrlPr>
                          <w:rPr>
                            <w:rFonts w:ascii="Cambria Math" w:hAnsi="Cambria Math" w:cstheme="minorHAnsi"/>
                            <w:i/>
                          </w:rPr>
                        </m:ctrlPr>
                      </m:dPr>
                      <m:e>
                        <m:r>
                          <w:rPr>
                            <w:rFonts w:ascii="Cambria Math" w:hAnsi="Cambria Math" w:cstheme="minorHAnsi"/>
                          </w:rPr>
                          <m:t>CD</m:t>
                        </m:r>
                        <m:sSup>
                          <m:sSupPr>
                            <m:ctrlPr>
                              <w:rPr>
                                <w:rFonts w:ascii="Cambria Math" w:hAnsi="Cambria Math" w:cstheme="minorHAnsi"/>
                                <w:i/>
                              </w:rPr>
                            </m:ctrlPr>
                          </m:sSupPr>
                          <m:e>
                            <m:r>
                              <w:rPr>
                                <w:rFonts w:ascii="Cambria Math" w:hAnsi="Cambria Math" w:cstheme="minorHAnsi"/>
                              </w:rPr>
                              <m:t>R</m:t>
                            </m:r>
                          </m:e>
                          <m:sup>
                            <m:r>
                              <w:rPr>
                                <w:rFonts w:ascii="Cambria Math" w:hAnsi="Cambria Math" w:cstheme="minorHAnsi"/>
                              </w:rPr>
                              <m:t>EW</m:t>
                            </m:r>
                          </m:sup>
                        </m:sSup>
                      </m:e>
                    </m:d>
                  </m:num>
                  <m:den>
                    <m:r>
                      <w:rPr>
                        <w:rFonts w:ascii="Cambria Math" w:hAnsi="Cambria Math" w:cstheme="minorHAnsi"/>
                      </w:rPr>
                      <m:t>W</m:t>
                    </m:r>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d,l,n</m:t>
                        </m:r>
                      </m:sub>
                      <m:sup>
                        <m:r>
                          <w:rPr>
                            <w:rFonts w:ascii="Cambria Math" w:hAnsi="Cambria Math" w:cstheme="minorHAnsi"/>
                          </w:rPr>
                          <m:t>ROCK</m:t>
                        </m:r>
                      </m:sup>
                    </m:sSubSup>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r>
                      <w:rPr>
                        <w:rFonts w:ascii="Cambria Math" w:hAnsi="Cambria Math" w:cstheme="minorHAnsi"/>
                      </w:rPr>
                      <m:t>·spy·</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n</m:t>
                        </m:r>
                      </m:sub>
                    </m:sSub>
                  </m:den>
                </m:f>
                <m:r>
                  <w:rPr>
                    <w:rFonts w:ascii="Cambria Math" w:hAnsi="Cambria Math" w:cstheme="minorHAnsi"/>
                  </w:rPr>
                  <m:t xml:space="preserve">     </m:t>
                </m:r>
                <m:r>
                  <w:rPr>
                    <w:rFonts w:ascii="Cambria Math" w:eastAsia="Calibri" w:hAnsi="Cambria Math" w:cs="Calibri"/>
                  </w:rPr>
                  <m:t>∀ d=th, l∈L, n∈N,p∈P</m:t>
                </m:r>
              </m:oMath>
            </m:oMathPara>
          </w:p>
        </w:tc>
        <w:tc>
          <w:tcPr>
            <w:tcW w:w="520" w:type="dxa"/>
          </w:tcPr>
          <w:p w14:paraId="3EB7E0D7" w14:textId="77777777" w:rsidR="003B3EF0" w:rsidRPr="00E25C4F" w:rsidRDefault="003B3EF0" w:rsidP="00E25C4F">
            <w:pPr>
              <w:spacing w:line="360" w:lineRule="auto"/>
              <w:jc w:val="right"/>
              <w:rPr>
                <w:rFonts w:cstheme="minorHAnsi"/>
                <w:sz w:val="8"/>
                <w:szCs w:val="8"/>
              </w:rPr>
            </w:pPr>
          </w:p>
          <w:p w14:paraId="043FC75D" w14:textId="77777777" w:rsidR="00774244" w:rsidRPr="00E25C4F" w:rsidRDefault="00774244" w:rsidP="00E25C4F">
            <w:pPr>
              <w:spacing w:line="360" w:lineRule="auto"/>
              <w:jc w:val="right"/>
              <w:rPr>
                <w:rFonts w:cstheme="minorHAnsi"/>
                <w:sz w:val="8"/>
                <w:szCs w:val="8"/>
              </w:rPr>
            </w:pPr>
          </w:p>
          <w:p w14:paraId="34EBB035" w14:textId="77777777" w:rsidR="00B30832" w:rsidRPr="00E25C4F" w:rsidRDefault="00B30832" w:rsidP="00E25C4F">
            <w:pPr>
              <w:spacing w:line="360" w:lineRule="auto"/>
              <w:jc w:val="right"/>
              <w:rPr>
                <w:rFonts w:cstheme="minorHAnsi"/>
                <w:sz w:val="4"/>
                <w:szCs w:val="4"/>
              </w:rPr>
            </w:pPr>
          </w:p>
          <w:p w14:paraId="7211B172" w14:textId="64C4C976" w:rsidR="00CE74B0" w:rsidRPr="00E25C4F" w:rsidRDefault="00CE74B0" w:rsidP="00E25C4F">
            <w:pPr>
              <w:spacing w:line="360" w:lineRule="auto"/>
              <w:jc w:val="right"/>
              <w:rPr>
                <w:rFonts w:cstheme="minorHAnsi"/>
              </w:rPr>
            </w:pPr>
            <w:r w:rsidRPr="00E25C4F">
              <w:rPr>
                <w:rFonts w:cstheme="minorHAnsi"/>
              </w:rPr>
              <w:t>(</w:t>
            </w:r>
            <w:r w:rsidR="00E25C4F" w:rsidRPr="00E25C4F">
              <w:rPr>
                <w:rFonts w:cstheme="minorHAnsi"/>
              </w:rPr>
              <w:t>30</w:t>
            </w:r>
            <w:r w:rsidRPr="00E25C4F">
              <w:rPr>
                <w:rFonts w:cstheme="minorHAnsi"/>
              </w:rPr>
              <w:t>)</w:t>
            </w:r>
          </w:p>
        </w:tc>
      </w:tr>
      <w:tr w:rsidR="002E041B" w:rsidRPr="002E041B" w14:paraId="3B142E58" w14:textId="77777777" w:rsidTr="00F214B9">
        <w:tc>
          <w:tcPr>
            <w:tcW w:w="8075" w:type="dxa"/>
          </w:tcPr>
          <w:p w14:paraId="64B9B254" w14:textId="28DE3EE0" w:rsidR="005176BF" w:rsidRPr="002E041B" w:rsidRDefault="00400CD3" w:rsidP="000923AE">
            <w:pPr>
              <w:spacing w:before="240" w:line="360" w:lineRule="auto"/>
              <w:jc w:val="both"/>
            </w:pPr>
            <m:oMathPara>
              <m:oMath>
                <m:r>
                  <w:rPr>
                    <w:rFonts w:ascii="Cambria Math" w:hAnsi="Cambria Math" w:cstheme="minorHAnsi"/>
                  </w:rPr>
                  <m:t>R</m:t>
                </m:r>
                <m:sSubSup>
                  <m:sSubSupPr>
                    <m:ctrlPr>
                      <w:rPr>
                        <w:rFonts w:ascii="Cambria Math" w:hAnsi="Cambria Math" w:cstheme="minorHAnsi"/>
                        <w:i/>
                      </w:rPr>
                    </m:ctrlPr>
                  </m:sSubSupPr>
                  <m:e>
                    <m:r>
                      <w:rPr>
                        <w:rFonts w:ascii="Cambria Math" w:hAnsi="Cambria Math" w:cstheme="minorHAnsi"/>
                      </w:rPr>
                      <m:t>M</m:t>
                    </m:r>
                  </m:e>
                  <m:sub>
                    <m:r>
                      <w:rPr>
                        <w:rFonts w:ascii="Cambria Math" w:hAnsi="Cambria Math" w:cstheme="minorHAnsi"/>
                      </w:rPr>
                      <m:t>d,l,n,p</m:t>
                    </m:r>
                  </m:sub>
                  <m:sup>
                    <m:r>
                      <w:rPr>
                        <w:rFonts w:ascii="Cambria Math" w:hAnsi="Cambria Math" w:cstheme="minorHAnsi"/>
                      </w:rPr>
                      <m:t>A</m:t>
                    </m:r>
                  </m:sup>
                </m:sSubSup>
                <m:r>
                  <w:rPr>
                    <w:rFonts w:ascii="Cambria Math" w:eastAsia="Yu Mincho" w:hAnsi="Cambria Math" w:cs="Times New Roman"/>
                  </w:rPr>
                  <m:t>=</m:t>
                </m:r>
                <m:r>
                  <w:rPr>
                    <w:rFonts w:ascii="Cambria Math" w:hAnsi="Cambria Math" w:cstheme="minorHAnsi"/>
                  </w:rPr>
                  <m:t>R</m:t>
                </m:r>
                <m:sSubSup>
                  <m:sSubSupPr>
                    <m:ctrlPr>
                      <w:rPr>
                        <w:rFonts w:ascii="Cambria Math" w:hAnsi="Cambria Math" w:cstheme="minorHAnsi"/>
                        <w:i/>
                      </w:rPr>
                    </m:ctrlPr>
                  </m:sSubSupPr>
                  <m:e>
                    <m:r>
                      <w:rPr>
                        <w:rFonts w:ascii="Cambria Math" w:hAnsi="Cambria Math" w:cstheme="minorHAnsi"/>
                      </w:rPr>
                      <m:t>M</m:t>
                    </m:r>
                  </m:e>
                  <m:sub>
                    <m:r>
                      <w:rPr>
                        <w:rFonts w:ascii="Cambria Math" w:hAnsi="Cambria Math" w:cstheme="minorHAnsi"/>
                      </w:rPr>
                      <m:t>d,l,n</m:t>
                    </m:r>
                  </m:sub>
                  <m:sup>
                    <m:r>
                      <w:rPr>
                        <w:rFonts w:ascii="Cambria Math" w:hAnsi="Cambria Math" w:cstheme="minorHAnsi"/>
                      </w:rPr>
                      <m:t>0</m:t>
                    </m:r>
                  </m:sup>
                </m:sSubSup>
                <m:r>
                  <w:rPr>
                    <w:rFonts w:ascii="Cambria Math" w:eastAsia="Yu Mincho" w:hAnsi="Cambria Math" w:cs="Times New Roman"/>
                  </w:rPr>
                  <m:t>·</m:t>
                </m:r>
                <m:r>
                  <w:rPr>
                    <w:rFonts w:ascii="Cambria Math" w:hAnsi="Cambria Math" w:cstheme="minorHAnsi"/>
                  </w:rPr>
                  <m:t>W</m:t>
                </m:r>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d,l,n</m:t>
                    </m:r>
                  </m:sub>
                  <m:sup>
                    <m:r>
                      <w:rPr>
                        <w:rFonts w:ascii="Cambria Math" w:hAnsi="Cambria Math" w:cstheme="minorHAnsi"/>
                      </w:rPr>
                      <m:t>ROCK</m:t>
                    </m:r>
                  </m:sup>
                </m:sSubSup>
                <m:r>
                  <w:rPr>
                    <w:rFonts w:ascii="Cambria Math" w:eastAsia="Yu Mincho" w:hAnsi="Cambria Math" w:cs="Times New Roman"/>
                  </w:rPr>
                  <m:t>·SS</m:t>
                </m:r>
                <m:sSub>
                  <m:sSubPr>
                    <m:ctrlPr>
                      <w:rPr>
                        <w:rFonts w:ascii="Cambria Math" w:eastAsia="Yu Mincho" w:hAnsi="Cambria Math" w:cs="Times New Roman"/>
                        <w:i/>
                      </w:rPr>
                    </m:ctrlPr>
                  </m:sSubPr>
                  <m:e>
                    <m:r>
                      <w:rPr>
                        <w:rFonts w:ascii="Cambria Math" w:eastAsia="Yu Mincho" w:hAnsi="Cambria Math" w:cs="Times New Roman"/>
                      </w:rPr>
                      <m:t>A</m:t>
                    </m:r>
                  </m:e>
                  <m:sub>
                    <m:r>
                      <w:rPr>
                        <w:rFonts w:ascii="Cambria Math" w:eastAsia="Yu Mincho" w:hAnsi="Cambria Math" w:cs="Times New Roman"/>
                      </w:rPr>
                      <m:t>d,n,p</m:t>
                    </m:r>
                  </m:sub>
                </m:sSub>
                <m:r>
                  <w:rPr>
                    <w:rFonts w:ascii="Cambria Math" w:eastAsia="Yu Mincho" w:hAnsi="Cambria Math" w:cs="Times New Roman"/>
                  </w:rPr>
                  <m:t>·spy</m:t>
                </m:r>
                <m:r>
                  <w:rPr>
                    <w:rFonts w:ascii="Cambria Math" w:hAnsi="Cambria Math" w:cstheme="minorHAnsi"/>
                  </w:rPr>
                  <m:t xml:space="preserve">     </m:t>
                </m:r>
                <m:r>
                  <w:rPr>
                    <w:rFonts w:ascii="Cambria Math" w:eastAsia="Calibri" w:hAnsi="Cambria Math" w:cs="Calibri"/>
                  </w:rPr>
                  <m:t>∀ d∈D, l∈L, n∈N,p∈P</m:t>
                </m:r>
              </m:oMath>
            </m:oMathPara>
          </w:p>
        </w:tc>
        <w:tc>
          <w:tcPr>
            <w:tcW w:w="520" w:type="dxa"/>
          </w:tcPr>
          <w:p w14:paraId="5EA03CA1" w14:textId="77777777" w:rsidR="00D7124B" w:rsidRPr="0095511F" w:rsidRDefault="00D7124B" w:rsidP="00213F5A">
            <w:pPr>
              <w:spacing w:line="360" w:lineRule="auto"/>
              <w:rPr>
                <w:rFonts w:cstheme="minorHAnsi"/>
                <w:sz w:val="8"/>
                <w:szCs w:val="8"/>
              </w:rPr>
            </w:pPr>
          </w:p>
          <w:p w14:paraId="089B6FF4" w14:textId="77777777" w:rsidR="00213F5A" w:rsidRPr="0095511F" w:rsidRDefault="00213F5A" w:rsidP="00213F5A">
            <w:pPr>
              <w:spacing w:line="360" w:lineRule="auto"/>
              <w:rPr>
                <w:rFonts w:cstheme="minorHAnsi"/>
                <w:sz w:val="4"/>
                <w:szCs w:val="4"/>
              </w:rPr>
            </w:pPr>
          </w:p>
          <w:p w14:paraId="42FB3B06" w14:textId="73D1D17A" w:rsidR="00F43D9A" w:rsidRPr="0095511F" w:rsidRDefault="00F43D9A" w:rsidP="00D7124B">
            <w:pPr>
              <w:spacing w:line="360" w:lineRule="auto"/>
              <w:jc w:val="right"/>
              <w:rPr>
                <w:rFonts w:cstheme="minorHAnsi"/>
              </w:rPr>
            </w:pPr>
            <w:r w:rsidRPr="0095511F">
              <w:rPr>
                <w:rFonts w:cstheme="minorHAnsi"/>
              </w:rPr>
              <w:t>(</w:t>
            </w:r>
            <w:r w:rsidR="00B6657C" w:rsidRPr="0095511F">
              <w:rPr>
                <w:rFonts w:cstheme="minorHAnsi"/>
              </w:rPr>
              <w:t>31</w:t>
            </w:r>
            <w:r w:rsidRPr="0095511F">
              <w:rPr>
                <w:rFonts w:cstheme="minorHAnsi"/>
              </w:rPr>
              <w:t>)</w:t>
            </w:r>
          </w:p>
        </w:tc>
      </w:tr>
      <w:tr w:rsidR="005E28A5" w:rsidRPr="002E041B" w14:paraId="756CE7EE" w14:textId="77777777" w:rsidTr="00F214B9">
        <w:tc>
          <w:tcPr>
            <w:tcW w:w="8075" w:type="dxa"/>
          </w:tcPr>
          <w:p w14:paraId="257B66F5" w14:textId="4313CF4C" w:rsidR="005E28A5" w:rsidRDefault="005E28A5" w:rsidP="000923AE">
            <w:pPr>
              <w:spacing w:before="240" w:line="360" w:lineRule="auto"/>
              <w:jc w:val="both"/>
              <w:rPr>
                <w:rFonts w:ascii="Calibri" w:eastAsia="Yu Mincho" w:hAnsi="Calibri" w:cs="Times New Roman"/>
              </w:rPr>
            </w:pPr>
            <m:oMathPara>
              <m:oMath>
                <m:r>
                  <w:rPr>
                    <w:rFonts w:ascii="Cambria Math" w:eastAsia="Yu Mincho" w:hAnsi="Cambria Math" w:cs="Times New Roman"/>
                  </w:rPr>
                  <m:t>W</m:t>
                </m:r>
                <m:sSubSup>
                  <m:sSubSupPr>
                    <m:ctrlPr>
                      <w:rPr>
                        <w:rFonts w:ascii="Cambria Math" w:eastAsia="Yu Mincho" w:hAnsi="Cambria Math" w:cs="Times New Roman"/>
                        <w:i/>
                      </w:rPr>
                    </m:ctrlPr>
                  </m:sSubSupPr>
                  <m:e>
                    <m:r>
                      <w:rPr>
                        <w:rFonts w:ascii="Cambria Math" w:eastAsia="Yu Mincho" w:hAnsi="Cambria Math" w:cs="Times New Roman"/>
                      </w:rPr>
                      <m:t>R</m:t>
                    </m:r>
                  </m:e>
                  <m:sub>
                    <m:r>
                      <w:rPr>
                        <w:rFonts w:ascii="Cambria Math" w:eastAsia="Yu Mincho" w:hAnsi="Cambria Math" w:cs="Times New Roman"/>
                      </w:rPr>
                      <m:t>d,l,n</m:t>
                    </m:r>
                  </m:sub>
                  <m:sup>
                    <m:r>
                      <w:rPr>
                        <w:rFonts w:ascii="Cambria Math" w:eastAsia="Yu Mincho" w:hAnsi="Cambria Math" w:cs="Times New Roman"/>
                      </w:rPr>
                      <m:t>ROCK</m:t>
                    </m:r>
                  </m:sup>
                </m:sSubSup>
                <m:r>
                  <w:rPr>
                    <w:rFonts w:ascii="Cambria Math" w:eastAsia="Yu Mincho" w:hAnsi="Cambria Math" w:cs="Times New Roman"/>
                  </w:rPr>
                  <m:t>=</m:t>
                </m:r>
                <m:f>
                  <m:fPr>
                    <m:ctrlPr>
                      <w:rPr>
                        <w:rFonts w:ascii="Cambria Math" w:eastAsia="Yu Mincho" w:hAnsi="Cambria Math" w:cs="Times New Roman"/>
                        <w:i/>
                      </w:rPr>
                    </m:ctrlPr>
                  </m:fPr>
                  <m:num>
                    <m:r>
                      <w:rPr>
                        <w:rFonts w:ascii="Cambria Math" w:hAnsi="Cambria Math" w:cstheme="minorHAnsi"/>
                      </w:rPr>
                      <m:t>W</m:t>
                    </m:r>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d,l,n</m:t>
                        </m:r>
                      </m:sub>
                      <m:sup>
                        <m:r>
                          <w:rPr>
                            <w:rFonts w:ascii="Cambria Math" w:hAnsi="Cambria Math" w:cstheme="minorHAnsi"/>
                          </w:rPr>
                          <m:t>ALK</m:t>
                        </m:r>
                      </m:sup>
                    </m:sSubSup>
                  </m:num>
                  <m:den>
                    <m:sSubSup>
                      <m:sSubSupPr>
                        <m:ctrlPr>
                          <w:rPr>
                            <w:rFonts w:ascii="Cambria Math" w:eastAsia="Yu Mincho" w:hAnsi="Cambria Math" w:cs="Times New Roman"/>
                            <w:i/>
                          </w:rPr>
                        </m:ctrlPr>
                      </m:sSubSupPr>
                      <m:e>
                        <m:r>
                          <w:rPr>
                            <w:rFonts w:ascii="Cambria Math" w:eastAsia="Yu Mincho" w:hAnsi="Cambria Math" w:cs="Times New Roman"/>
                          </w:rPr>
                          <m:t>C</m:t>
                        </m:r>
                      </m:e>
                      <m:sub>
                        <m:r>
                          <w:rPr>
                            <w:rFonts w:ascii="Cambria Math" w:eastAsia="Yu Mincho" w:hAnsi="Cambria Math" w:cs="Times New Roman"/>
                          </w:rPr>
                          <m:t>n</m:t>
                        </m:r>
                      </m:sub>
                      <m:sup>
                        <m:r>
                          <w:rPr>
                            <w:rFonts w:ascii="Cambria Math" w:eastAsia="Yu Mincho" w:hAnsi="Cambria Math" w:cs="Times New Roman"/>
                          </w:rPr>
                          <m:t>ALK</m:t>
                        </m:r>
                      </m:sup>
                    </m:sSubSup>
                  </m:den>
                </m:f>
                <m:r>
                  <w:rPr>
                    <w:rFonts w:ascii="Cambria Math" w:eastAsia="Yu Mincho" w:hAnsi="Cambria Math" w:cs="Times New Roman"/>
                  </w:rPr>
                  <m:t xml:space="preserve">   </m:t>
                </m:r>
                <m:r>
                  <w:rPr>
                    <w:rFonts w:ascii="Cambria Math" w:eastAsia="Calibri" w:hAnsi="Cambria Math" w:cs="Calibri"/>
                  </w:rPr>
                  <m:t>∀ d=exp, l∈L, n∈N</m:t>
                </m:r>
              </m:oMath>
            </m:oMathPara>
          </w:p>
        </w:tc>
        <w:tc>
          <w:tcPr>
            <w:tcW w:w="520" w:type="dxa"/>
          </w:tcPr>
          <w:p w14:paraId="3DD88CE7" w14:textId="77777777" w:rsidR="00AB588E" w:rsidRPr="0095511F" w:rsidRDefault="00AB588E" w:rsidP="0095511F">
            <w:pPr>
              <w:spacing w:line="360" w:lineRule="auto"/>
              <w:jc w:val="right"/>
              <w:rPr>
                <w:rFonts w:cstheme="minorHAnsi"/>
                <w:sz w:val="16"/>
                <w:szCs w:val="16"/>
              </w:rPr>
            </w:pPr>
          </w:p>
          <w:p w14:paraId="216DC5FF" w14:textId="77777777" w:rsidR="00AB588E" w:rsidRPr="0095511F" w:rsidRDefault="00AB588E" w:rsidP="0095511F">
            <w:pPr>
              <w:spacing w:line="360" w:lineRule="auto"/>
              <w:jc w:val="right"/>
              <w:rPr>
                <w:rFonts w:cstheme="minorHAnsi"/>
                <w:sz w:val="4"/>
                <w:szCs w:val="4"/>
              </w:rPr>
            </w:pPr>
          </w:p>
          <w:p w14:paraId="0A298200" w14:textId="2EF8A5CE" w:rsidR="00AB588E" w:rsidRPr="0095511F" w:rsidRDefault="00AB588E" w:rsidP="0095511F">
            <w:pPr>
              <w:spacing w:line="360" w:lineRule="auto"/>
              <w:jc w:val="right"/>
              <w:rPr>
                <w:rFonts w:cstheme="minorHAnsi"/>
                <w:sz w:val="8"/>
                <w:szCs w:val="8"/>
              </w:rPr>
            </w:pPr>
            <w:r w:rsidRPr="0095511F">
              <w:rPr>
                <w:rFonts w:cstheme="minorHAnsi"/>
              </w:rPr>
              <w:t>(</w:t>
            </w:r>
            <w:r w:rsidR="00B6657C" w:rsidRPr="0095511F">
              <w:rPr>
                <w:rFonts w:cstheme="minorHAnsi"/>
              </w:rPr>
              <w:t>32</w:t>
            </w:r>
            <w:r w:rsidRPr="0095511F">
              <w:rPr>
                <w:rFonts w:cstheme="minorHAnsi"/>
              </w:rPr>
              <w:t>)</w:t>
            </w:r>
          </w:p>
        </w:tc>
      </w:tr>
    </w:tbl>
    <w:p w14:paraId="7014A800" w14:textId="64A12181" w:rsidR="00091AC2" w:rsidRDefault="00091AC2" w:rsidP="00091AC2">
      <w:pPr>
        <w:spacing w:before="240" w:line="360" w:lineRule="auto"/>
        <w:jc w:val="both"/>
        <w:rPr>
          <w:rFonts w:cstheme="minorHAnsi"/>
        </w:rPr>
      </w:pPr>
      <w:r>
        <w:rPr>
          <w:rFonts w:cstheme="minorHAnsi"/>
        </w:rPr>
        <w:t xml:space="preserve">The coastal enhanced weathering scenarios are based on the </w:t>
      </w:r>
      <w:r w:rsidRPr="0020381C">
        <w:rPr>
          <w:rFonts w:cstheme="minorHAnsi"/>
        </w:rPr>
        <w:t>total alkalinity dissolution rates</w:t>
      </w:r>
      <w:r>
        <w:rPr>
          <w:rFonts w:cstheme="minorHAnsi"/>
        </w:rPr>
        <w:t xml:space="preserve"> derived from the experiments conducted by Montserrat et al.</w:t>
      </w:r>
      <w:r>
        <w:rPr>
          <w:rFonts w:cstheme="minorHAnsi"/>
        </w:rPr>
        <w:fldChar w:fldCharType="begin" w:fldLock="1"/>
      </w:r>
      <w:r w:rsidR="00971A76">
        <w:rPr>
          <w:rFonts w:cstheme="minorHAnsi"/>
        </w:rPr>
        <w:instrText xml:space="preserve"> ADDIN ZOTERO_ITEM CSL_CITATION {"citationID":"2HOuZFdk","properties":{"formattedCitation":"\\super 39\\nosupersub{}","plainCitation":"39","noteIndex":0},"citationItems":[{"id":1935,"uris":["http://www.mendeley.com/documents/?uuid=a93bd26f-0cb5-4e03-9362-83e0c19f819d","http://zotero.org/users/14213812/items/GJGC6YLS"],"itemData":{"id":1935,"type":"article-journal","abstract":"Enhanced weathering of (ultra)basic silicate rocks such as olivine-rich dunite has been proposed as a large-scale climate engineering approach. When implemented in coastal environments, olivine weathering is expected to increase seawater alkalinity, thus resulting in additional CO2 uptake from the atmosphere. However, the mechanisms of marine olivine weathering and its effect on seawater-carbonate chemistry remain poorly understood. Here, we present results from batch reaction experiments, in which forsteritic olivine was subjected to rotational agitation in different seawater media for periods of days to months. Olivine dissolution caused a significant increase in alkalinity of the seawater with a consequent DIC increase due to CO2 invasion, thus confirming viability of the basic concept of enhanced silicate weathering. However, our experiments also identified several important challenges with respect to the detailed quantification of the CO2 sequestration efficiency under field conditions, which include nonstoichiometric dissolution, potential pore water saturation in the seabed, and the potential occurrence of secondary reactions. Before enhanced weathering of olivine in coastal environments can be considered an option for realizing negative CO2 emissions for climate mitigation purposes, these aspects need further experimental assessment. (Chemical Equation Presented).","container-title":"Environmental Science and Technology","DOI":"10.1021/acs.est.6b05942","ISSN":"15205851","issue":"7","note":"PMID: 28281750","page":"3960-3972","title":"Olivine Dissolution in Seawater: Implications for CO2 Sequestration through Enhanced Weathering in Coastal Environments","volume":"51","author":[{"family":"Montserrat","given":"Francesc"},{"family":"Renforth","given":"Phil"},{"family":"Hartmann","given":"Jens"},{"family":"Leermakers","given":"Martine"},{"family":"Knops","given":"Pol"},{"family":"Meysman","given":"Filip J.R."}],"issued":{"date-parts":[["2017"]]}}}],"schema":"https://github.com/citation-style-language/schema/raw/master/csl-citation.json"} </w:instrText>
      </w:r>
      <w:r>
        <w:rPr>
          <w:rFonts w:cstheme="minorHAnsi"/>
        </w:rPr>
        <w:fldChar w:fldCharType="separate"/>
      </w:r>
      <w:r w:rsidR="00971A76" w:rsidRPr="00971A76">
        <w:rPr>
          <w:rFonts w:ascii="Calibri" w:hAnsi="Calibri" w:cs="Calibri"/>
          <w:vertAlign w:val="superscript"/>
        </w:rPr>
        <w:t>39</w:t>
      </w:r>
      <w:r>
        <w:rPr>
          <w:rFonts w:cstheme="minorHAnsi"/>
        </w:rPr>
        <w:fldChar w:fldCharType="end"/>
      </w:r>
      <w:r>
        <w:rPr>
          <w:rFonts w:cstheme="minorHAnsi"/>
        </w:rPr>
        <w:t xml:space="preserve">, who added olivine particles (median size: 143 </w:t>
      </w:r>
      <w:proofErr w:type="spellStart"/>
      <w:r w:rsidRPr="00F07CED">
        <w:rPr>
          <w:rFonts w:cstheme="minorHAnsi"/>
          <w:color w:val="202124"/>
          <w:shd w:val="clear" w:color="auto" w:fill="FFFFFF"/>
        </w:rPr>
        <w:t>μm</w:t>
      </w:r>
      <w:proofErr w:type="spellEnd"/>
      <w:r>
        <w:rPr>
          <w:rFonts w:cstheme="minorHAnsi"/>
          <w:color w:val="202124"/>
          <w:shd w:val="clear" w:color="auto" w:fill="FFFFFF"/>
        </w:rPr>
        <w:t xml:space="preserve">,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Pr>
          <w:rFonts w:cstheme="minorHAnsi"/>
          <w:color w:val="202124"/>
          <w:shd w:val="clear" w:color="auto" w:fill="FFFFFF"/>
        </w:rPr>
        <w:t xml:space="preserve">: 0.295 </w:t>
      </w:r>
      <w:r>
        <w:rPr>
          <w:rFonts w:cstheme="minorHAnsi"/>
        </w:rPr>
        <w:t>m</w:t>
      </w:r>
      <w:r w:rsidRPr="00513755">
        <w:rPr>
          <w:rFonts w:cstheme="minorHAnsi"/>
          <w:vertAlign w:val="superscript"/>
        </w:rPr>
        <w:t>2</w:t>
      </w:r>
      <w:r>
        <w:rPr>
          <w:rFonts w:cstheme="minorHAnsi"/>
        </w:rPr>
        <w:t xml:space="preserve">/g) to seawater and subjected them to continuous rotation movements to simulate the weathering conditions </w:t>
      </w:r>
      <w:r w:rsidRPr="00796E71">
        <w:rPr>
          <w:rFonts w:cstheme="minorHAnsi"/>
        </w:rPr>
        <w:t>in coastal environments</w:t>
      </w:r>
      <w:r>
        <w:rPr>
          <w:rFonts w:cstheme="minorHAnsi"/>
        </w:rPr>
        <w:t xml:space="preserve">. We </w:t>
      </w:r>
      <w:r w:rsidRPr="000C02BF">
        <w:rPr>
          <w:rFonts w:cstheme="minorHAnsi"/>
        </w:rPr>
        <w:t>calculated the amount of dunite applied considering that olivine makes up 90%</w:t>
      </w:r>
      <w:r w:rsidRPr="000C02BF">
        <w:rPr>
          <w:rFonts w:cstheme="minorHAnsi"/>
        </w:rPr>
        <w:fldChar w:fldCharType="begin" w:fldLock="1"/>
      </w:r>
      <w:r w:rsidR="00971A76">
        <w:rPr>
          <w:rFonts w:cstheme="minorHAnsi"/>
        </w:rPr>
        <w:instrText xml:space="preserve"> ADDIN ZOTERO_ITEM CSL_CITATION {"citationID":"J16dWgMw","properties":{"formattedCitation":"\\super 36\\nosupersub{}","plainCitation":"36","noteIndex":0},"citationItems":[{"id":2521,"uris":["http://www.mendeley.com/documents/?uuid=eedbd0d4-db6f-425b-8ed4-5fd32ebf2386","http://zotero.org/users/14213812/items/GJBTTQWQ"],"itemData":{"id":2521,"type":"article-journal","abstract":"The weathering of silicates is a major control on atmospheric &lt;span classCombining double low line\"inline-formula\"&gt;CO2&lt;/span&gt; at geologic timescales. It was proposed to enhance this process to actively remove &lt;span classCombining double low line\"inline-formula\"&gt;CO2&lt;/span&gt; from the atmosphere. While there are some studies that propose and theoretically analyze the application of rock powder to agricultural land, results from field experiments are still scarce.","container-title":"Biogeosciences","DOI":"10.5194/bg-17-103-2020","ISSN":"17264189","issue":"1","page":"103-119","title":"Enhanced Weathering and related element fluxes - A cropland mesocosm approach","volume":"17","author":[{"family":"Amann","given":"Thorben"},{"family":"Hartmann","given":"Jens"},{"family":"Struyf","given":"Eric"},{"family":"De Oliveira Garcia","given":"Wagner"},{"family":"Fischer","given":"Elke K."},{"family":"Janssens","given":"Ivan"},{"family":"Meire","given":"Patrick"},{"family":"Schoelynck","given":"Jonas"}],"issued":{"date-parts":[["2020"]]}}}],"schema":"https://github.com/citation-style-language/schema/raw/master/csl-citation.json"} </w:instrText>
      </w:r>
      <w:r w:rsidRPr="000C02BF">
        <w:rPr>
          <w:rFonts w:cstheme="minorHAnsi"/>
        </w:rPr>
        <w:fldChar w:fldCharType="separate"/>
      </w:r>
      <w:r w:rsidR="00971A76" w:rsidRPr="00971A76">
        <w:rPr>
          <w:rFonts w:ascii="Calibri" w:hAnsi="Calibri" w:cs="Calibri"/>
          <w:vertAlign w:val="superscript"/>
        </w:rPr>
        <w:t>36</w:t>
      </w:r>
      <w:r w:rsidRPr="000C02BF">
        <w:rPr>
          <w:rFonts w:cstheme="minorHAnsi"/>
        </w:rPr>
        <w:fldChar w:fldCharType="end"/>
      </w:r>
      <w:r w:rsidRPr="000C02BF">
        <w:rPr>
          <w:rFonts w:cstheme="minorHAnsi"/>
        </w:rPr>
        <w:t xml:space="preserve"> of the rock and an alkalinity content of 3.75 mol/mol olivine</w:t>
      </w:r>
      <w:r w:rsidRPr="000C02BF">
        <w:rPr>
          <w:rFonts w:cstheme="minorHAnsi"/>
        </w:rPr>
        <w:fldChar w:fldCharType="begin" w:fldLock="1"/>
      </w:r>
      <w:r w:rsidR="00971A76">
        <w:rPr>
          <w:rFonts w:cstheme="minorHAnsi"/>
        </w:rPr>
        <w:instrText xml:space="preserve"> ADDIN ZOTERO_ITEM CSL_CITATION {"citationID":"JKuuhYc3","properties":{"formattedCitation":"\\super 39\\nosupersub{}","plainCitation":"39","noteIndex":0},"citationItems":[{"id":1935,"uris":["http://www.mendeley.com/documents/?uuid=a93bd26f-0cb5-4e03-9362-83e0c19f819d","http://zotero.org/users/14213812/items/GJGC6YLS"],"itemData":{"id":1935,"type":"article-journal","abstract":"Enhanced weathering of (ultra)basic silicate rocks such as olivine-rich dunite has been proposed as a large-scale climate engineering approach. When implemented in coastal environments, olivine weathering is expected to increase seawater alkalinity, thus resulting in additional CO2 uptake from the atmosphere. However, the mechanisms of marine olivine weathering and its effect on seawater-carbonate chemistry remain poorly understood. Here, we present results from batch reaction experiments, in which forsteritic olivine was subjected to rotational agitation in different seawater media for periods of days to months. Olivine dissolution caused a significant increase in alkalinity of the seawater with a consequent DIC increase due to CO2 invasion, thus confirming viability of the basic concept of enhanced silicate weathering. However, our experiments also identified several important challenges with respect to the detailed quantification of the CO2 sequestration efficiency under field conditions, which include nonstoichiometric dissolution, potential pore water saturation in the seabed, and the potential occurrence of secondary reactions. Before enhanced weathering of olivine in coastal environments can be considered an option for realizing negative CO2 emissions for climate mitigation purposes, these aspects need further experimental assessment. (Chemical Equation Presented).","container-title":"Environmental Science and Technology","DOI":"10.1021/acs.est.6b05942","ISSN":"15205851","issue":"7","note":"PMID: 28281750","page":"3960-3972","title":"Olivine Dissolution in Seawater: Implications for CO2 Sequestration through Enhanced Weathering in Coastal Environments","volume":"51","author":[{"family":"Montserrat","given":"Francesc"},{"family":"Renforth","given":"Phil"},{"family":"Hartmann","given":"Jens"},{"family":"Leermakers","given":"Martine"},{"family":"Knops","given":"Pol"},{"family":"Meysman","given":"Filip J.R."}],"issued":{"date-parts":[["2017"]]}}}],"schema":"https://github.com/citation-style-language/schema/raw/master/csl-citation.json"} </w:instrText>
      </w:r>
      <w:r w:rsidRPr="000C02BF">
        <w:rPr>
          <w:rFonts w:cstheme="minorHAnsi"/>
        </w:rPr>
        <w:fldChar w:fldCharType="separate"/>
      </w:r>
      <w:r w:rsidR="00971A76" w:rsidRPr="00971A76">
        <w:rPr>
          <w:rFonts w:ascii="Calibri" w:hAnsi="Calibri" w:cs="Calibri"/>
          <w:vertAlign w:val="superscript"/>
        </w:rPr>
        <w:t>39</w:t>
      </w:r>
      <w:r w:rsidRPr="000C02BF">
        <w:rPr>
          <w:rFonts w:cstheme="minorHAnsi"/>
        </w:rPr>
        <w:fldChar w:fldCharType="end"/>
      </w:r>
      <w:r>
        <w:rPr>
          <w:rFonts w:cstheme="minorHAnsi"/>
        </w:rPr>
        <w:t>, and assessed the uncertainty in our results based on the standard deviation of the total alkalinity dissolution rates</w:t>
      </w:r>
      <w:r w:rsidR="00B55F8A">
        <w:rPr>
          <w:rFonts w:cstheme="minorHAnsi"/>
        </w:rPr>
        <w:t xml:space="preserve"> (Table 1.</w:t>
      </w:r>
      <w:r w:rsidR="00B11571">
        <w:rPr>
          <w:rFonts w:cstheme="minorHAnsi"/>
        </w:rPr>
        <w:t>4</w:t>
      </w:r>
      <w:r w:rsidR="00B55F8A">
        <w:rPr>
          <w:rFonts w:cstheme="minorHAnsi"/>
        </w:rPr>
        <w:t xml:space="preserve"> in the Supplementary Data file)</w:t>
      </w:r>
      <w:r>
        <w:rPr>
          <w:rFonts w:cstheme="minorHAnsi"/>
        </w:rPr>
        <w:fldChar w:fldCharType="begin" w:fldLock="1"/>
      </w:r>
      <w:r w:rsidR="00971A76">
        <w:rPr>
          <w:rFonts w:cstheme="minorHAnsi"/>
        </w:rPr>
        <w:instrText xml:space="preserve"> ADDIN ZOTERO_ITEM CSL_CITATION {"citationID":"rueD4SZk","properties":{"formattedCitation":"\\super 39\\nosupersub{}","plainCitation":"39","noteIndex":0},"citationItems":[{"id":1935,"uris":["http://www.mendeley.com/documents/?uuid=a93bd26f-0cb5-4e03-9362-83e0c19f819d","http://zotero.org/users/14213812/items/GJGC6YLS"],"itemData":{"id":1935,"type":"article-journal","abstract":"Enhanced weathering of (ultra)basic silicate rocks such as olivine-rich dunite has been proposed as a large-scale climate engineering approach. When implemented in coastal environments, olivine weathering is expected to increase seawater alkalinity, thus resulting in additional CO2 uptake from the atmosphere. However, the mechanisms of marine olivine weathering and its effect on seawater-carbonate chemistry remain poorly understood. Here, we present results from batch reaction experiments, in which forsteritic olivine was subjected to rotational agitation in different seawater media for periods of days to months. Olivine dissolution caused a significant increase in alkalinity of the seawater with a consequent DIC increase due to CO2 invasion, thus confirming viability of the basic concept of enhanced silicate weathering. However, our experiments also identified several important challenges with respect to the detailed quantification of the CO2 sequestration efficiency under field conditions, which include nonstoichiometric dissolution, potential pore water saturation in the seabed, and the potential occurrence of secondary reactions. Before enhanced weathering of olivine in coastal environments can be considered an option for realizing negative CO2 emissions for climate mitigation purposes, these aspects need further experimental assessment. (Chemical Equation Presented).","container-title":"Environmental Science and Technology","DOI":"10.1021/acs.est.6b05942","ISSN":"15205851","issue":"7","note":"PMID: 28281750","page":"3960-3972","title":"Olivine Dissolution in Seawater: Implications for CO2 Sequestration through Enhanced Weathering in Coastal Environments","volume":"51","author":[{"family":"Montserrat","given":"Francesc"},{"family":"Renforth","given":"Phil"},{"family":"Hartmann","given":"Jens"},{"family":"Leermakers","given":"Martine"},{"family":"Knops","given":"Pol"},{"family":"Meysman","given":"Filip J.R."}],"issued":{"date-parts":[["2017"]]}}}],"schema":"https://github.com/citation-style-language/schema/raw/master/csl-citation.json"} </w:instrText>
      </w:r>
      <w:r>
        <w:rPr>
          <w:rFonts w:cstheme="minorHAnsi"/>
        </w:rPr>
        <w:fldChar w:fldCharType="separate"/>
      </w:r>
      <w:r w:rsidR="00971A76" w:rsidRPr="00971A76">
        <w:rPr>
          <w:rFonts w:ascii="Calibri" w:hAnsi="Calibri" w:cs="Calibri"/>
          <w:vertAlign w:val="superscript"/>
        </w:rPr>
        <w:t>39</w:t>
      </w:r>
      <w:r>
        <w:rPr>
          <w:rFonts w:cstheme="minorHAnsi"/>
        </w:rPr>
        <w:fldChar w:fldCharType="end"/>
      </w:r>
      <w:r>
        <w:rPr>
          <w:rFonts w:cstheme="minorHAnsi"/>
        </w:rPr>
        <w:t xml:space="preserve">. </w:t>
      </w:r>
    </w:p>
    <w:p w14:paraId="3BDCA8E5" w14:textId="0B1B0A51" w:rsidR="000B40E3" w:rsidRDefault="00FF08C7" w:rsidP="00895370">
      <w:pPr>
        <w:spacing w:line="360" w:lineRule="auto"/>
        <w:jc w:val="both"/>
        <w:rPr>
          <w:rFonts w:cstheme="minorHAnsi"/>
        </w:rPr>
      </w:pPr>
      <w:r w:rsidRPr="002F6B8B">
        <w:rPr>
          <w:rFonts w:cstheme="minorHAnsi"/>
        </w:rPr>
        <w:t>For</w:t>
      </w:r>
      <w:r w:rsidR="00742E32" w:rsidRPr="002F6B8B">
        <w:rPr>
          <w:rFonts w:cstheme="minorHAnsi"/>
        </w:rPr>
        <w:t xml:space="preserve"> the inland enhanced weathering scenarios,</w:t>
      </w:r>
      <w:r w:rsidR="00AC4056" w:rsidRPr="002F6B8B">
        <w:rPr>
          <w:rFonts w:cstheme="minorHAnsi"/>
        </w:rPr>
        <w:t xml:space="preserve"> w</w:t>
      </w:r>
      <w:r w:rsidR="00D63D6E" w:rsidRPr="002F6B8B">
        <w:rPr>
          <w:rFonts w:cstheme="minorHAnsi"/>
        </w:rPr>
        <w:t xml:space="preserve">e took the experimental </w:t>
      </w:r>
      <w:r w:rsidR="00167762" w:rsidRPr="002F6B8B">
        <w:rPr>
          <w:rFonts w:cstheme="minorHAnsi"/>
        </w:rPr>
        <w:t xml:space="preserve">olivine </w:t>
      </w:r>
      <w:r w:rsidR="00D63D6E" w:rsidRPr="002F6B8B">
        <w:rPr>
          <w:rFonts w:cstheme="minorHAnsi"/>
        </w:rPr>
        <w:t>weathering rates</w:t>
      </w:r>
      <w:r w:rsidR="004C2A8F" w:rsidRPr="002F6B8B">
        <w:rPr>
          <w:rFonts w:cstheme="minorHAnsi"/>
        </w:rPr>
        <w:t xml:space="preserve"> </w:t>
      </w:r>
      <w:r w:rsidR="00B85525" w:rsidRPr="002F6B8B">
        <w:rPr>
          <w:rFonts w:cstheme="minorHAnsi"/>
        </w:rPr>
        <w:t>in</w:t>
      </w:r>
      <w:r w:rsidR="009D7FF1" w:rsidRPr="002F6B8B">
        <w:rPr>
          <w:rFonts w:cstheme="minorHAnsi"/>
        </w:rPr>
        <w:t xml:space="preserve"> </w:t>
      </w:r>
      <w:r w:rsidR="009D7FF1" w:rsidRPr="002F6B8B">
        <w:rPr>
          <w:rFonts w:cstheme="minorHAnsi"/>
        </w:rPr>
        <w:fldChar w:fldCharType="begin" w:fldLock="1"/>
      </w:r>
      <w:r w:rsidR="00971A76" w:rsidRPr="002F6B8B">
        <w:rPr>
          <w:rFonts w:cstheme="minorHAnsi"/>
        </w:rPr>
        <w:instrText xml:space="preserve"> ADDIN ZOTERO_ITEM CSL_CITATION {"citationID":"lTCH5dXv","properties":{"formattedCitation":"\\super 36\\nosupersub{}","plainCitation":"36","noteIndex":0},"citationItems":[{"id":2521,"uris":["http://www.mendeley.com/documents/?uuid=eedbd0d4-db6f-425b-8ed4-5fd32ebf2386","http://zotero.org/users/14213812/items/GJBTTQWQ"],"itemData":{"id":2521,"type":"article-journal","abstract":"The weathering of silicates is a major control on atmospheric &lt;span classCombining double low line\"inline-formula\"&gt;CO2&lt;/span&gt; at geologic timescales. It was proposed to enhance this process to actively remove &lt;span classCombining double low line\"inline-formula\"&gt;CO2&lt;/span&gt; from the atmosphere. While there are some studies that propose and theoretically analyze the application of rock powder to agricultural land, results from field experiments are still scarce.","container-title":"Biogeosciences","DOI":"10.5194/bg-17-103-2020","ISSN":"17264189","issue":"1","page":"103-119","title":"Enhanced Weathering and related element fluxes - A cropland mesocosm approach","volume":"17","author":[{"family":"Amann","given":"Thorben"},{"family":"Hartmann","given":"Jens"},{"family":"Struyf","given":"Eric"},{"family":"De Oliveira Garcia","given":"Wagner"},{"family":"Fischer","given":"Elke K."},{"family":"Janssens","given":"Ivan"},{"family":"Meire","given":"Patrick"},{"family":"Schoelynck","given":"Jonas"}],"issued":{"date-parts":[["2020"]]}}}],"schema":"https://github.com/citation-style-language/schema/raw/master/csl-citation.json"} </w:instrText>
      </w:r>
      <w:r w:rsidR="009D7FF1" w:rsidRPr="002F6B8B">
        <w:rPr>
          <w:rFonts w:cstheme="minorHAnsi"/>
        </w:rPr>
        <w:fldChar w:fldCharType="separate"/>
      </w:r>
      <w:r w:rsidR="00971A76" w:rsidRPr="002F6B8B">
        <w:rPr>
          <w:rFonts w:ascii="Calibri" w:hAnsi="Calibri" w:cs="Calibri"/>
          <w:vertAlign w:val="superscript"/>
        </w:rPr>
        <w:t>36</w:t>
      </w:r>
      <w:r w:rsidR="009D7FF1" w:rsidRPr="002F6B8B">
        <w:rPr>
          <w:rFonts w:cstheme="minorHAnsi"/>
        </w:rPr>
        <w:fldChar w:fldCharType="end"/>
      </w:r>
      <w:r w:rsidR="009A2768" w:rsidRPr="002F6B8B">
        <w:rPr>
          <w:rFonts w:cstheme="minorHAnsi"/>
        </w:rPr>
        <w:t xml:space="preserve"> (Table 1.</w:t>
      </w:r>
      <w:r w:rsidR="00D95C11" w:rsidRPr="002F6B8B">
        <w:rPr>
          <w:rFonts w:cstheme="minorHAnsi"/>
        </w:rPr>
        <w:t>4</w:t>
      </w:r>
      <w:r w:rsidR="009A2768" w:rsidRPr="002F6B8B">
        <w:rPr>
          <w:rFonts w:cstheme="minorHAnsi"/>
        </w:rPr>
        <w:t xml:space="preserve"> in the Supplementary Data file</w:t>
      </w:r>
      <w:r w:rsidR="00B55F8A" w:rsidRPr="002F6B8B">
        <w:rPr>
          <w:rFonts w:cstheme="minorHAnsi"/>
        </w:rPr>
        <w:t>)</w:t>
      </w:r>
      <w:r w:rsidR="00940BEB" w:rsidRPr="002F6B8B">
        <w:rPr>
          <w:rFonts w:cstheme="minorHAnsi"/>
        </w:rPr>
        <w:t>, estimated from the amount of magnesium initially contained in th</w:t>
      </w:r>
      <w:r w:rsidR="00601596" w:rsidRPr="002F6B8B">
        <w:rPr>
          <w:rFonts w:cstheme="minorHAnsi"/>
        </w:rPr>
        <w:t>e</w:t>
      </w:r>
      <w:r w:rsidR="00940BEB" w:rsidRPr="002F6B8B">
        <w:rPr>
          <w:rFonts w:cstheme="minorHAnsi"/>
        </w:rPr>
        <w:t xml:space="preserve"> rock that is dissolved during the experiments</w:t>
      </w:r>
      <w:r w:rsidR="009D7FF1" w:rsidRPr="002F6B8B">
        <w:rPr>
          <w:rFonts w:cstheme="minorHAnsi"/>
        </w:rPr>
        <w:t>.</w:t>
      </w:r>
      <w:r w:rsidR="003D23FD" w:rsidRPr="002F6B8B">
        <w:rPr>
          <w:rFonts w:cstheme="minorHAnsi"/>
        </w:rPr>
        <w:t xml:space="preserve"> </w:t>
      </w:r>
      <w:r w:rsidR="00F14BD0" w:rsidRPr="002F6B8B">
        <w:rPr>
          <w:rFonts w:cstheme="minorHAnsi"/>
        </w:rPr>
        <w:t>Th</w:t>
      </w:r>
      <w:r w:rsidR="006E4D29" w:rsidRPr="002F6B8B">
        <w:rPr>
          <w:rFonts w:cstheme="minorHAnsi"/>
        </w:rPr>
        <w:t>e authors</w:t>
      </w:r>
      <w:r w:rsidR="006E4D29">
        <w:rPr>
          <w:rFonts w:cstheme="minorHAnsi"/>
        </w:rPr>
        <w:t xml:space="preserve"> of th</w:t>
      </w:r>
      <w:r w:rsidR="00F14BD0">
        <w:rPr>
          <w:rFonts w:cstheme="minorHAnsi"/>
        </w:rPr>
        <w:t xml:space="preserve">is study </w:t>
      </w:r>
      <w:r w:rsidR="006E4D29">
        <w:rPr>
          <w:rFonts w:cstheme="minorHAnsi"/>
        </w:rPr>
        <w:t>designed</w:t>
      </w:r>
      <w:r w:rsidR="00F14BD0">
        <w:rPr>
          <w:rFonts w:cstheme="minorHAnsi"/>
        </w:rPr>
        <w:t xml:space="preserve"> </w:t>
      </w:r>
      <w:r w:rsidR="00E12796">
        <w:rPr>
          <w:rFonts w:cstheme="minorHAnsi"/>
        </w:rPr>
        <w:t>two experiment</w:t>
      </w:r>
      <w:r w:rsidR="005A4901">
        <w:rPr>
          <w:rFonts w:cstheme="minorHAnsi"/>
        </w:rPr>
        <w:t xml:space="preserve">al setups based on fine and coarse </w:t>
      </w:r>
      <w:r w:rsidR="00166170">
        <w:rPr>
          <w:rFonts w:cstheme="minorHAnsi"/>
        </w:rPr>
        <w:t>dunite</w:t>
      </w:r>
      <w:r w:rsidR="005A4901">
        <w:rPr>
          <w:rFonts w:cstheme="minorHAnsi"/>
        </w:rPr>
        <w:t xml:space="preserve"> grains </w:t>
      </w:r>
      <w:r w:rsidR="00166170">
        <w:rPr>
          <w:rFonts w:cstheme="minorHAnsi"/>
        </w:rPr>
        <w:t xml:space="preserve">with a 90% olivine content </w:t>
      </w:r>
      <w:r w:rsidR="005A4901">
        <w:rPr>
          <w:rFonts w:cstheme="minorHAnsi"/>
        </w:rPr>
        <w:t>(</w:t>
      </w:r>
      <w:r w:rsidR="00C02846">
        <w:rPr>
          <w:rFonts w:cstheme="minorHAnsi"/>
        </w:rPr>
        <w:t xml:space="preserve">dominating particle size: 25.5 and 720 </w:t>
      </w:r>
      <w:proofErr w:type="spellStart"/>
      <w:r w:rsidR="00F07CED" w:rsidRPr="00F07CED">
        <w:rPr>
          <w:rFonts w:cstheme="minorHAnsi"/>
          <w:color w:val="202124"/>
          <w:shd w:val="clear" w:color="auto" w:fill="FFFFFF"/>
        </w:rPr>
        <w:t>μm</w:t>
      </w:r>
      <w:proofErr w:type="spellEnd"/>
      <w:r w:rsidR="00C02846">
        <w:rPr>
          <w:rFonts w:cstheme="minorHAnsi"/>
        </w:rPr>
        <w:t xml:space="preserve">, </w:t>
      </w:r>
      <w:r w:rsidR="00DA6621">
        <w:rPr>
          <w:rFonts w:cstheme="minorHAnsi"/>
        </w:rPr>
        <w:t>with a</w:t>
      </w:r>
      <w:r w:rsidR="00FF2649">
        <w:rPr>
          <w:rFonts w:cstheme="minorHAnsi"/>
        </w:rPr>
        <w:t>n</w:t>
      </w:r>
      <w:r w:rsidR="00DA6621" w:rsidRPr="00C226A9">
        <w:rPr>
          <w:rFonts w:cstheme="minorHAnsi"/>
        </w:rPr>
        <w:t xml:space="preserve">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337209" w:rsidRPr="00C226A9">
        <w:rPr>
          <w:rFonts w:cstheme="minorHAnsi"/>
        </w:rPr>
        <w:t xml:space="preserve"> </w:t>
      </w:r>
      <w:r w:rsidR="00337209">
        <w:rPr>
          <w:rFonts w:cstheme="minorHAnsi"/>
        </w:rPr>
        <w:t>of 12.1 and 1.3 m</w:t>
      </w:r>
      <w:r w:rsidR="00337209" w:rsidRPr="00337209">
        <w:rPr>
          <w:rFonts w:cstheme="minorHAnsi"/>
          <w:vertAlign w:val="superscript"/>
        </w:rPr>
        <w:t>2</w:t>
      </w:r>
      <w:r w:rsidR="00337209">
        <w:rPr>
          <w:rFonts w:cstheme="minorHAnsi"/>
        </w:rPr>
        <w:t xml:space="preserve">/g, </w:t>
      </w:r>
      <w:r w:rsidR="00C02846">
        <w:rPr>
          <w:rFonts w:cstheme="minorHAnsi"/>
        </w:rPr>
        <w:t>respectively)</w:t>
      </w:r>
      <w:r w:rsidR="00A15891">
        <w:rPr>
          <w:rFonts w:cstheme="minorHAnsi"/>
        </w:rPr>
        <w:t xml:space="preserve">, </w:t>
      </w:r>
      <w:r w:rsidR="00A15891" w:rsidRPr="00C75991">
        <w:rPr>
          <w:rFonts w:cstheme="minorHAnsi"/>
        </w:rPr>
        <w:t>app</w:t>
      </w:r>
      <w:r w:rsidR="00EA5D3D" w:rsidRPr="00C75991">
        <w:rPr>
          <w:rFonts w:cstheme="minorHAnsi"/>
        </w:rPr>
        <w:t>ly</w:t>
      </w:r>
      <w:r w:rsidR="00217567" w:rsidRPr="00C75991">
        <w:rPr>
          <w:rFonts w:cstheme="minorHAnsi"/>
        </w:rPr>
        <w:t>ing</w:t>
      </w:r>
      <w:r w:rsidR="00A15891" w:rsidRPr="00C75991">
        <w:rPr>
          <w:rFonts w:cstheme="minorHAnsi"/>
        </w:rPr>
        <w:t xml:space="preserve"> </w:t>
      </w:r>
      <w:r w:rsidR="008A6AA8" w:rsidRPr="00C75991">
        <w:rPr>
          <w:rFonts w:cstheme="minorHAnsi"/>
        </w:rPr>
        <w:t>22 kg/m</w:t>
      </w:r>
      <w:r w:rsidR="008A6AA8" w:rsidRPr="00C75991">
        <w:rPr>
          <w:rFonts w:cstheme="minorHAnsi"/>
          <w:vertAlign w:val="superscript"/>
        </w:rPr>
        <w:t>2</w:t>
      </w:r>
      <w:r w:rsidR="00003CAD" w:rsidRPr="00C75991">
        <w:rPr>
          <w:rFonts w:cstheme="minorHAnsi"/>
        </w:rPr>
        <w:t xml:space="preserve"> to</w:t>
      </w:r>
      <w:r w:rsidR="00003CAD">
        <w:rPr>
          <w:rFonts w:cstheme="minorHAnsi"/>
        </w:rPr>
        <w:t xml:space="preserve"> the soil</w:t>
      </w:r>
      <w:r w:rsidR="00B9234A">
        <w:rPr>
          <w:rFonts w:cstheme="minorHAnsi"/>
        </w:rPr>
        <w:t xml:space="preserve">. </w:t>
      </w:r>
      <w:r w:rsidR="000952AD">
        <w:rPr>
          <w:rFonts w:cstheme="minorHAnsi"/>
        </w:rPr>
        <w:t xml:space="preserve">We considered these two </w:t>
      </w:r>
      <w:r w:rsidR="00F06958">
        <w:rPr>
          <w:rFonts w:cstheme="minorHAnsi"/>
        </w:rPr>
        <w:t>systems</w:t>
      </w:r>
      <w:r w:rsidR="000952AD">
        <w:rPr>
          <w:rFonts w:cstheme="minorHAnsi"/>
        </w:rPr>
        <w:t xml:space="preserve"> as the extreme</w:t>
      </w:r>
      <w:r w:rsidR="00453FCF">
        <w:rPr>
          <w:rFonts w:cstheme="minorHAnsi"/>
        </w:rPr>
        <w:t xml:space="preserve"> case</w:t>
      </w:r>
      <w:r w:rsidR="000952AD">
        <w:rPr>
          <w:rFonts w:cstheme="minorHAnsi"/>
        </w:rPr>
        <w:t xml:space="preserve"> scenarios and </w:t>
      </w:r>
      <w:r w:rsidR="00274031">
        <w:rPr>
          <w:rFonts w:cstheme="minorHAnsi"/>
        </w:rPr>
        <w:t>modeled</w:t>
      </w:r>
      <w:r w:rsidR="00BA3EA1">
        <w:rPr>
          <w:rFonts w:cstheme="minorHAnsi"/>
        </w:rPr>
        <w:t xml:space="preserve"> an intermediate</w:t>
      </w:r>
      <w:r w:rsidR="00794716">
        <w:rPr>
          <w:rFonts w:cstheme="minorHAnsi"/>
        </w:rPr>
        <w:t xml:space="preserve"> system with</w:t>
      </w:r>
      <w:r w:rsidR="00BA6929">
        <w:rPr>
          <w:rFonts w:cstheme="minorHAnsi"/>
        </w:rPr>
        <w:t xml:space="preserve"> </w:t>
      </w:r>
      <w:r w:rsidR="00FD14DD">
        <w:rPr>
          <w:rFonts w:cstheme="minorHAnsi"/>
        </w:rPr>
        <w:t xml:space="preserve">an average particle size of 372.75 </w:t>
      </w:r>
      <w:proofErr w:type="spellStart"/>
      <w:r w:rsidR="00FD14DD" w:rsidRPr="00F07CED">
        <w:rPr>
          <w:rFonts w:cstheme="minorHAnsi"/>
          <w:color w:val="202124"/>
          <w:shd w:val="clear" w:color="auto" w:fill="FFFFFF"/>
        </w:rPr>
        <w:t>μm</w:t>
      </w:r>
      <w:proofErr w:type="spellEnd"/>
      <w:r w:rsidR="00A9541F">
        <w:rPr>
          <w:rFonts w:cstheme="minorHAnsi"/>
          <w:color w:val="202124"/>
          <w:shd w:val="clear" w:color="auto" w:fill="FFFFFF"/>
        </w:rPr>
        <w:t xml:space="preserve"> and </w:t>
      </w:r>
      <w:r w:rsidR="00CD2F29">
        <w:rPr>
          <w:rFonts w:cstheme="minorHAnsi"/>
          <w:color w:val="202124"/>
          <w:shd w:val="clear" w:color="auto" w:fill="FFFFFF"/>
        </w:rPr>
        <w:t xml:space="preserve">2.1 </w:t>
      </w:r>
      <w:r w:rsidR="00CD2F29">
        <w:rPr>
          <w:rFonts w:cstheme="minorHAnsi"/>
        </w:rPr>
        <w:t>m</w:t>
      </w:r>
      <w:r w:rsidR="00CD2F29" w:rsidRPr="00337209">
        <w:rPr>
          <w:rFonts w:cstheme="minorHAnsi"/>
          <w:vertAlign w:val="superscript"/>
        </w:rPr>
        <w:t>2</w:t>
      </w:r>
      <w:r w:rsidR="00CD2F29">
        <w:rPr>
          <w:rFonts w:cstheme="minorHAnsi"/>
        </w:rPr>
        <w:t>/g</w:t>
      </w:r>
      <w:r w:rsidR="00A20BAE">
        <w:rPr>
          <w:rFonts w:cstheme="minorHAnsi"/>
        </w:rPr>
        <w:t xml:space="preserve">, assuming </w:t>
      </w:r>
      <w:r w:rsidR="00D90AB4">
        <w:rPr>
          <w:rFonts w:cstheme="minorHAnsi"/>
        </w:rPr>
        <w:t>an</w:t>
      </w:r>
      <w:r w:rsidR="00B202F1">
        <w:rPr>
          <w:rFonts w:cstheme="minorHAnsi"/>
        </w:rPr>
        <w:t xml:space="preserve"> average weathering rate </w:t>
      </w:r>
      <w:r w:rsidR="00B269E4">
        <w:rPr>
          <w:rFonts w:cstheme="minorHAnsi"/>
          <w:color w:val="202124"/>
          <w:shd w:val="clear" w:color="auto" w:fill="FFFFFF"/>
        </w:rPr>
        <w:t xml:space="preserve">and </w:t>
      </w:r>
      <w:r w:rsidR="00FF6810">
        <w:rPr>
          <w:rFonts w:cstheme="minorHAnsi"/>
        </w:rPr>
        <w:t>a</w:t>
      </w:r>
      <w:r w:rsidR="002763CA">
        <w:rPr>
          <w:rFonts w:cstheme="minorHAnsi"/>
        </w:rPr>
        <w:t xml:space="preserve"> logarithmic </w:t>
      </w:r>
      <w:r w:rsidR="002C1995">
        <w:rPr>
          <w:rFonts w:cstheme="minorHAnsi"/>
        </w:rPr>
        <w:t>relationship between</w:t>
      </w:r>
      <w:r w:rsidR="002763CA">
        <w:rPr>
          <w:rFonts w:cstheme="minorHAnsi"/>
        </w:rPr>
        <w:t xml:space="preserve"> the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8453AC" w:rsidRPr="00C226A9">
        <w:rPr>
          <w:rFonts w:cstheme="minorHAnsi"/>
        </w:rPr>
        <w:t xml:space="preserve"> </w:t>
      </w:r>
      <w:r w:rsidR="008453AC">
        <w:rPr>
          <w:rFonts w:cstheme="minorHAnsi"/>
        </w:rPr>
        <w:t>and the particle size</w:t>
      </w:r>
      <w:r w:rsidR="00FE4F69">
        <w:fldChar w:fldCharType="begin" w:fldLock="1"/>
      </w:r>
      <w:r w:rsidR="00971A76">
        <w:instrText xml:space="preserve"> ADDIN ZOTERO_ITEM CSL_CITATION {"citationID":"5xsLETZi","properties":{"formattedCitation":"\\super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FE4F69">
        <w:fldChar w:fldCharType="separate"/>
      </w:r>
      <w:r w:rsidR="00971A76" w:rsidRPr="00971A76">
        <w:rPr>
          <w:rFonts w:ascii="Calibri" w:hAnsi="Calibri" w:cs="Calibri"/>
          <w:vertAlign w:val="superscript"/>
        </w:rPr>
        <w:t>38</w:t>
      </w:r>
      <w:r w:rsidR="00FE4F69">
        <w:fldChar w:fldCharType="end"/>
      </w:r>
      <w:r w:rsidR="008453AC">
        <w:rPr>
          <w:rFonts w:cstheme="minorHAnsi"/>
        </w:rPr>
        <w:t xml:space="preserve">. </w:t>
      </w:r>
    </w:p>
    <w:p w14:paraId="5CBC4EB3" w14:textId="2F3258CB" w:rsidR="00A858FA" w:rsidRPr="00596F01" w:rsidRDefault="00F97847" w:rsidP="00BC188A">
      <w:pPr>
        <w:spacing w:line="360" w:lineRule="auto"/>
        <w:jc w:val="both"/>
        <w:rPr>
          <w:rFonts w:cstheme="minorHAnsi"/>
        </w:rPr>
      </w:pPr>
      <w:r w:rsidRPr="008F3380">
        <w:rPr>
          <w:rFonts w:cstheme="minorHAnsi"/>
        </w:rPr>
        <w:t xml:space="preserve">The mass of rock needed in the basalt scenarios is </w:t>
      </w:r>
      <w:r w:rsidR="00533322" w:rsidRPr="008F3380">
        <w:rPr>
          <w:rFonts w:cstheme="minorHAnsi"/>
        </w:rPr>
        <w:t xml:space="preserve">computed based on the </w:t>
      </w:r>
      <w:r w:rsidR="00C001BD" w:rsidRPr="008F3380">
        <w:rPr>
          <w:rFonts w:cstheme="minorHAnsi"/>
        </w:rPr>
        <w:t xml:space="preserve">calcium, potassium, magnesium and sodium </w:t>
      </w:r>
      <w:r w:rsidR="003F2E71">
        <w:rPr>
          <w:rFonts w:cstheme="minorHAnsi"/>
        </w:rPr>
        <w:t>dissolution</w:t>
      </w:r>
      <w:r w:rsidR="000B3249" w:rsidRPr="008F3380">
        <w:rPr>
          <w:rFonts w:cstheme="minorHAnsi"/>
        </w:rPr>
        <w:t xml:space="preserve"> rates </w:t>
      </w:r>
      <w:r w:rsidR="00982E42" w:rsidRPr="008F3380">
        <w:rPr>
          <w:rFonts w:cstheme="minorHAnsi"/>
        </w:rPr>
        <w:t xml:space="preserve">quantified </w:t>
      </w:r>
      <w:r w:rsidR="006E7C90" w:rsidRPr="008F3380">
        <w:rPr>
          <w:rFonts w:cstheme="minorHAnsi"/>
        </w:rPr>
        <w:t xml:space="preserve">in </w:t>
      </w:r>
      <w:proofErr w:type="spellStart"/>
      <w:r w:rsidR="00982E42" w:rsidRPr="008F3380">
        <w:rPr>
          <w:rFonts w:cstheme="minorHAnsi"/>
        </w:rPr>
        <w:t>Buckinhgam</w:t>
      </w:r>
      <w:proofErr w:type="spellEnd"/>
      <w:r w:rsidR="00BF4057" w:rsidRPr="008F3380">
        <w:rPr>
          <w:rFonts w:cstheme="minorHAnsi"/>
        </w:rPr>
        <w:t xml:space="preserve"> et al</w:t>
      </w:r>
      <w:r w:rsidR="00C5672F" w:rsidRPr="008F3380">
        <w:rPr>
          <w:rFonts w:cstheme="minorHAnsi"/>
        </w:rPr>
        <w:t>.</w:t>
      </w:r>
      <w:r w:rsidR="00BF4057" w:rsidRPr="008F3380">
        <w:rPr>
          <w:rFonts w:cstheme="minorHAnsi"/>
        </w:rPr>
        <w:t>’s</w:t>
      </w:r>
      <w:r w:rsidR="00E322D3" w:rsidRPr="008F3380">
        <w:rPr>
          <w:rFonts w:cstheme="minorHAnsi"/>
        </w:rPr>
        <w:fldChar w:fldCharType="begin" w:fldLock="1"/>
      </w:r>
      <w:r w:rsidR="00971A76">
        <w:rPr>
          <w:rFonts w:cstheme="minorHAnsi"/>
        </w:rPr>
        <w:instrText xml:space="preserve"> ADDIN ZOTERO_ITEM CSL_CITATION {"citationID":"exIpFUq2","properties":{"formattedCitation":"\\super 37\\nosupersub{}","plainCitation":"37","noteIndex":0},"citationItems":[{"id":2713,"uris":["http://www.mendeley.com/documents/?uuid=7edb158e-fb8c-4f56-a343-62b3b7949511","http://zotero.org/users/14213812/items/4277QQFS"],"itemData":{"id":2713,"type":"article-journal","container-title":"Applied Geochemistry","DOI":"10.1016/j.apgeochem.2022.105482","ISSN":"08832927","issue":"July","note":"publisher: Elsevier Ltd","page":"105482","title":"Soil core study indicates limited CO2 removal by enhanced weathering in dry croplands in the UK","volume":"147","author":[{"family":"Buckingham","given":"F."},{"family":"Henderson","given":"G.M."},{"family":"Holdship","given":"P."},{"family":"Renforth","given":"P."}],"issued":{"date-parts":[["2022"]]}}}],"schema":"https://github.com/citation-style-language/schema/raw/master/csl-citation.json"} </w:instrText>
      </w:r>
      <w:r w:rsidR="00E322D3" w:rsidRPr="008F3380">
        <w:rPr>
          <w:rFonts w:cstheme="minorHAnsi"/>
        </w:rPr>
        <w:fldChar w:fldCharType="separate"/>
      </w:r>
      <w:r w:rsidR="00971A76" w:rsidRPr="00971A76">
        <w:rPr>
          <w:rFonts w:ascii="Calibri" w:hAnsi="Calibri" w:cs="Calibri"/>
          <w:vertAlign w:val="superscript"/>
        </w:rPr>
        <w:t>37</w:t>
      </w:r>
      <w:r w:rsidR="00E322D3" w:rsidRPr="008F3380">
        <w:rPr>
          <w:rFonts w:cstheme="minorHAnsi"/>
        </w:rPr>
        <w:fldChar w:fldCharType="end"/>
      </w:r>
      <w:r w:rsidR="00BF4057" w:rsidRPr="008F3380">
        <w:rPr>
          <w:rFonts w:cstheme="minorHAnsi"/>
        </w:rPr>
        <w:t xml:space="preserve"> experimental study</w:t>
      </w:r>
      <w:r w:rsidR="00F92405">
        <w:rPr>
          <w:rFonts w:cstheme="minorHAnsi"/>
        </w:rPr>
        <w:t xml:space="preserve"> </w:t>
      </w:r>
      <w:r w:rsidR="00D202DA" w:rsidRPr="00DF1E3E">
        <w:rPr>
          <w:rFonts w:cstheme="minorHAnsi"/>
        </w:rPr>
        <w:t>simulating an inland environment</w:t>
      </w:r>
      <w:r w:rsidR="00E4672A">
        <w:rPr>
          <w:rFonts w:cstheme="minorHAnsi"/>
        </w:rPr>
        <w:t xml:space="preserve"> (Table 1.</w:t>
      </w:r>
      <w:r w:rsidR="00D95C11">
        <w:rPr>
          <w:rFonts w:cstheme="minorHAnsi"/>
        </w:rPr>
        <w:t>5</w:t>
      </w:r>
      <w:r w:rsidR="00E4672A">
        <w:rPr>
          <w:rFonts w:cstheme="minorHAnsi"/>
        </w:rPr>
        <w:t xml:space="preserve"> in the Supplementary Data file)</w:t>
      </w:r>
      <w:r w:rsidR="00964E6F" w:rsidRPr="008F3380">
        <w:rPr>
          <w:rFonts w:cstheme="minorHAnsi"/>
        </w:rPr>
        <w:t>.</w:t>
      </w:r>
      <w:r w:rsidR="00744284" w:rsidRPr="008F3380">
        <w:rPr>
          <w:rFonts w:cstheme="minorHAnsi"/>
        </w:rPr>
        <w:t xml:space="preserve"> </w:t>
      </w:r>
      <w:r w:rsidR="00C23D99">
        <w:rPr>
          <w:rFonts w:cstheme="minorHAnsi"/>
        </w:rPr>
        <w:t>This work considered</w:t>
      </w:r>
      <w:r w:rsidR="00CE4095">
        <w:rPr>
          <w:rFonts w:cstheme="minorHAnsi"/>
        </w:rPr>
        <w:t xml:space="preserve"> the application of 10 kg/m</w:t>
      </w:r>
      <w:r w:rsidR="00CE4095" w:rsidRPr="00513755">
        <w:rPr>
          <w:rFonts w:cstheme="minorHAnsi"/>
          <w:vertAlign w:val="superscript"/>
        </w:rPr>
        <w:t>2</w:t>
      </w:r>
      <w:r w:rsidR="00CE4095">
        <w:rPr>
          <w:rFonts w:cstheme="minorHAnsi"/>
        </w:rPr>
        <w:t xml:space="preserve"> of basalt </w:t>
      </w:r>
      <w:r w:rsidR="008241F7">
        <w:rPr>
          <w:rFonts w:cstheme="minorHAnsi"/>
        </w:rPr>
        <w:t xml:space="preserve">particles with a </w:t>
      </w:r>
      <w:r w:rsidR="00256FBD">
        <w:rPr>
          <w:rFonts w:cstheme="minorHAnsi"/>
        </w:rPr>
        <w:t xml:space="preserve">size of 125-250 </w:t>
      </w:r>
      <w:proofErr w:type="spellStart"/>
      <w:r w:rsidR="00050047" w:rsidRPr="00F07CED">
        <w:rPr>
          <w:rFonts w:cstheme="minorHAnsi"/>
          <w:color w:val="202124"/>
          <w:shd w:val="clear" w:color="auto" w:fill="FFFFFF"/>
        </w:rPr>
        <w:t>μm</w:t>
      </w:r>
      <w:proofErr w:type="spellEnd"/>
      <w:r w:rsidR="003C1C2F">
        <w:rPr>
          <w:rFonts w:cstheme="minorHAnsi"/>
        </w:rPr>
        <w:t xml:space="preserve"> </w:t>
      </w:r>
      <w:r w:rsidR="00B729B4">
        <w:rPr>
          <w:rFonts w:cstheme="minorHAnsi"/>
        </w:rPr>
        <w:t>and a</w:t>
      </w:r>
      <w:r w:rsidR="008769D9">
        <w:rPr>
          <w:rFonts w:cstheme="minorHAnsi"/>
        </w:rPr>
        <w:t>n</w:t>
      </w:r>
      <w:r w:rsidR="00B729B4" w:rsidRPr="00C226A9">
        <w:rPr>
          <w:rFonts w:cstheme="minorHAnsi"/>
        </w:rPr>
        <w:t xml:space="preserve"> </w:t>
      </w:r>
      <m:oMath>
        <m:r>
          <w:rPr>
            <w:rFonts w:ascii="Cambria Math" w:hAnsi="Cambria Math" w:cstheme="minorHAnsi"/>
          </w:rPr>
          <w:lastRenderedPageBreak/>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B729B4">
        <w:rPr>
          <w:rFonts w:cstheme="minorHAnsi"/>
        </w:rPr>
        <w:t xml:space="preserve"> of </w:t>
      </w:r>
      <w:r w:rsidR="003C1C2F">
        <w:rPr>
          <w:rFonts w:cstheme="minorHAnsi"/>
        </w:rPr>
        <w:t>16.3 m</w:t>
      </w:r>
      <w:r w:rsidR="003C1C2F" w:rsidRPr="00513755">
        <w:rPr>
          <w:rFonts w:cstheme="minorHAnsi"/>
          <w:vertAlign w:val="superscript"/>
        </w:rPr>
        <w:t>2</w:t>
      </w:r>
      <w:r w:rsidR="003C1C2F">
        <w:rPr>
          <w:rFonts w:cstheme="minorHAnsi"/>
        </w:rPr>
        <w:t>/g</w:t>
      </w:r>
      <w:r w:rsidR="00A64A49">
        <w:rPr>
          <w:rFonts w:cstheme="minorHAnsi"/>
        </w:rPr>
        <w:t>.</w:t>
      </w:r>
      <w:r w:rsidR="00175B69">
        <w:rPr>
          <w:rFonts w:cstheme="minorHAnsi"/>
        </w:rPr>
        <w:t xml:space="preserve"> </w:t>
      </w:r>
      <w:r w:rsidR="00A64A49" w:rsidRPr="00C64949">
        <w:rPr>
          <w:rFonts w:cstheme="minorHAnsi"/>
        </w:rPr>
        <w:t>W</w:t>
      </w:r>
      <w:r w:rsidR="00A34939" w:rsidRPr="00C64949">
        <w:rPr>
          <w:rFonts w:cstheme="minorHAnsi"/>
        </w:rPr>
        <w:t xml:space="preserve">e </w:t>
      </w:r>
      <w:r w:rsidR="00175B69" w:rsidRPr="00C64949">
        <w:rPr>
          <w:rFonts w:cstheme="minorHAnsi"/>
        </w:rPr>
        <w:t xml:space="preserve">assumed </w:t>
      </w:r>
      <w:r w:rsidR="00FB0D88">
        <w:rPr>
          <w:rFonts w:cstheme="minorHAnsi"/>
        </w:rPr>
        <w:t xml:space="preserve">an </w:t>
      </w:r>
      <w:r w:rsidR="00386F1A" w:rsidRPr="00C64949">
        <w:rPr>
          <w:rFonts w:cstheme="minorHAnsi"/>
        </w:rPr>
        <w:t xml:space="preserve">average particle size of </w:t>
      </w:r>
      <w:r w:rsidR="00AA46BD" w:rsidRPr="00C64949">
        <w:rPr>
          <w:rFonts w:cstheme="minorHAnsi"/>
        </w:rPr>
        <w:t xml:space="preserve">187.5 </w:t>
      </w:r>
      <w:proofErr w:type="spellStart"/>
      <w:r w:rsidR="00AA46BD" w:rsidRPr="00C64949">
        <w:rPr>
          <w:rFonts w:cstheme="minorHAnsi"/>
          <w:color w:val="202124"/>
          <w:shd w:val="clear" w:color="auto" w:fill="FFFFFF"/>
        </w:rPr>
        <w:t>μm</w:t>
      </w:r>
      <w:proofErr w:type="spellEnd"/>
      <w:r w:rsidR="00D94C60">
        <w:rPr>
          <w:rFonts w:cstheme="minorHAnsi"/>
        </w:rPr>
        <w:t xml:space="preserve"> and</w:t>
      </w:r>
      <w:r w:rsidR="00354DCF">
        <w:rPr>
          <w:rFonts w:cstheme="minorHAnsi"/>
        </w:rPr>
        <w:t xml:space="preserve"> </w:t>
      </w:r>
      <w:r w:rsidR="00596F01" w:rsidRPr="00BB03C9">
        <w:rPr>
          <w:rFonts w:cstheme="minorHAnsi"/>
        </w:rPr>
        <w:t>a</w:t>
      </w:r>
      <w:r w:rsidR="00032E81" w:rsidRPr="00BB03C9">
        <w:rPr>
          <w:rFonts w:cstheme="minorHAnsi"/>
        </w:rPr>
        <w:t xml:space="preserve">nalyzed the </w:t>
      </w:r>
      <w:r w:rsidR="00C06C88" w:rsidRPr="00BB03C9">
        <w:rPr>
          <w:rFonts w:cstheme="minorHAnsi"/>
        </w:rPr>
        <w:t>influence</w:t>
      </w:r>
      <w:r w:rsidR="005D506B" w:rsidRPr="00BB03C9">
        <w:rPr>
          <w:rFonts w:cstheme="minorHAnsi"/>
        </w:rPr>
        <w:t xml:space="preserve"> of</w:t>
      </w:r>
      <w:r w:rsidR="00596F01" w:rsidRPr="00BB03C9">
        <w:rPr>
          <w:rFonts w:cstheme="minorHAnsi"/>
        </w:rPr>
        <w:t xml:space="preserve"> </w:t>
      </w:r>
      <w:r w:rsidR="00354DCF" w:rsidRPr="00BB03C9">
        <w:rPr>
          <w:rFonts w:cstheme="minorHAnsi"/>
        </w:rPr>
        <w:t xml:space="preserve">the </w:t>
      </w:r>
      <w:r w:rsidR="00CD0371" w:rsidRPr="00BB03C9">
        <w:rPr>
          <w:rFonts w:cstheme="minorHAnsi"/>
        </w:rPr>
        <w:t>u</w:t>
      </w:r>
      <w:r w:rsidR="00A858FA" w:rsidRPr="00BB03C9">
        <w:rPr>
          <w:rFonts w:cstheme="minorHAnsi"/>
        </w:rPr>
        <w:t>ncertainty in the cation release rate</w:t>
      </w:r>
      <w:r w:rsidR="00CD0371" w:rsidRPr="00BB03C9">
        <w:rPr>
          <w:rFonts w:cstheme="minorHAnsi"/>
        </w:rPr>
        <w:fldChar w:fldCharType="begin" w:fldLock="1"/>
      </w:r>
      <w:r w:rsidR="00971A76">
        <w:rPr>
          <w:rFonts w:cstheme="minorHAnsi"/>
        </w:rPr>
        <w:instrText xml:space="preserve"> ADDIN ZOTERO_ITEM CSL_CITATION {"citationID":"TnuDE7rl","properties":{"formattedCitation":"\\super 37\\nosupersub{}","plainCitation":"37","noteIndex":0},"citationItems":[{"id":2713,"uris":["http://www.mendeley.com/documents/?uuid=7edb158e-fb8c-4f56-a343-62b3b7949511","http://zotero.org/users/14213812/items/4277QQFS"],"itemData":{"id":2713,"type":"article-journal","container-title":"Applied Geochemistry","DOI":"10.1016/j.apgeochem.2022.105482","ISSN":"08832927","issue":"July","note":"publisher: Elsevier Ltd","page":"105482","title":"Soil core study indicates limited CO2 removal by enhanced weathering in dry croplands in the UK","volume":"147","author":[{"family":"Buckingham","given":"F."},{"family":"Henderson","given":"G.M."},{"family":"Holdship","given":"P."},{"family":"Renforth","given":"P."}],"issued":{"date-parts":[["2022"]]}}}],"schema":"https://github.com/citation-style-language/schema/raw/master/csl-citation.json"} </w:instrText>
      </w:r>
      <w:r w:rsidR="00CD0371" w:rsidRPr="00BB03C9">
        <w:rPr>
          <w:rFonts w:cstheme="minorHAnsi"/>
        </w:rPr>
        <w:fldChar w:fldCharType="separate"/>
      </w:r>
      <w:r w:rsidR="00971A76" w:rsidRPr="00971A76">
        <w:rPr>
          <w:rFonts w:ascii="Calibri" w:hAnsi="Calibri" w:cs="Calibri"/>
          <w:vertAlign w:val="superscript"/>
        </w:rPr>
        <w:t>37</w:t>
      </w:r>
      <w:r w:rsidR="00CD0371" w:rsidRPr="00BB03C9">
        <w:rPr>
          <w:rFonts w:cstheme="minorHAnsi"/>
        </w:rPr>
        <w:fldChar w:fldCharType="end"/>
      </w:r>
      <w:r w:rsidR="00724F48" w:rsidRPr="00BB03C9">
        <w:rPr>
          <w:rFonts w:cstheme="minorHAnsi"/>
        </w:rPr>
        <w:t xml:space="preserve"> on our results</w:t>
      </w:r>
      <w:r w:rsidR="00CD0371" w:rsidRPr="00BB03C9">
        <w:rPr>
          <w:rFonts w:cstheme="minorHAnsi"/>
        </w:rPr>
        <w:t>.</w:t>
      </w:r>
    </w:p>
    <w:p w14:paraId="29197A2E" w14:textId="4CFDD79E" w:rsidR="002D5998" w:rsidRPr="003F310E" w:rsidRDefault="00FA1BC3" w:rsidP="00BC188A">
      <w:pPr>
        <w:spacing w:line="360" w:lineRule="auto"/>
        <w:jc w:val="both"/>
        <w:rPr>
          <w:rFonts w:cstheme="minorHAnsi"/>
        </w:rPr>
      </w:pPr>
      <w:r w:rsidRPr="000C63DA">
        <w:rPr>
          <w:rFonts w:cstheme="minorHAnsi"/>
        </w:rPr>
        <w:t>Ideally,</w:t>
      </w:r>
      <w:r w:rsidR="009141C8" w:rsidRPr="000C63DA">
        <w:rPr>
          <w:rFonts w:cstheme="minorHAnsi"/>
        </w:rPr>
        <w:t xml:space="preserve"> the </w:t>
      </w:r>
      <w:r w:rsidR="00DA710D" w:rsidRPr="000C63DA">
        <w:rPr>
          <w:rFonts w:cstheme="minorHAnsi"/>
        </w:rPr>
        <w:t xml:space="preserve">performance of enhanced weathering </w:t>
      </w:r>
      <w:r w:rsidR="00207DF2" w:rsidRPr="000C63DA">
        <w:rPr>
          <w:rFonts w:cstheme="minorHAnsi"/>
        </w:rPr>
        <w:t>trials</w:t>
      </w:r>
      <w:r w:rsidR="00DA710D" w:rsidRPr="000C63DA">
        <w:rPr>
          <w:rFonts w:cstheme="minorHAnsi"/>
        </w:rPr>
        <w:t xml:space="preserve"> </w:t>
      </w:r>
      <w:r w:rsidR="00A8239D" w:rsidRPr="000C63DA">
        <w:rPr>
          <w:rFonts w:cstheme="minorHAnsi"/>
        </w:rPr>
        <w:t xml:space="preserve">deploying dunite and basalt </w:t>
      </w:r>
      <w:r w:rsidR="009141C8" w:rsidRPr="000C63DA">
        <w:rPr>
          <w:rFonts w:cstheme="minorHAnsi"/>
        </w:rPr>
        <w:t xml:space="preserve">should </w:t>
      </w:r>
      <w:r w:rsidR="00F850C6" w:rsidRPr="000C63DA">
        <w:rPr>
          <w:rFonts w:cstheme="minorHAnsi"/>
        </w:rPr>
        <w:t xml:space="preserve">be </w:t>
      </w:r>
      <w:r w:rsidR="003F4E14" w:rsidRPr="000C63DA">
        <w:rPr>
          <w:rFonts w:cstheme="minorHAnsi"/>
        </w:rPr>
        <w:t>a</w:t>
      </w:r>
      <w:r w:rsidR="00801E2C" w:rsidRPr="000C63DA">
        <w:rPr>
          <w:rFonts w:cstheme="minorHAnsi"/>
        </w:rPr>
        <w:t>ssessed</w:t>
      </w:r>
      <w:r w:rsidR="00F850C6" w:rsidRPr="000C63DA">
        <w:rPr>
          <w:rFonts w:cstheme="minorHAnsi"/>
        </w:rPr>
        <w:t xml:space="preserve"> </w:t>
      </w:r>
      <w:r w:rsidR="00A84F40" w:rsidRPr="000C63DA">
        <w:rPr>
          <w:rFonts w:cstheme="minorHAnsi"/>
        </w:rPr>
        <w:t xml:space="preserve">under equal </w:t>
      </w:r>
      <w:r w:rsidR="00207DF2" w:rsidRPr="000C63DA">
        <w:rPr>
          <w:rFonts w:cstheme="minorHAnsi"/>
        </w:rPr>
        <w:t xml:space="preserve">experimental </w:t>
      </w:r>
      <w:r w:rsidR="00A84F40" w:rsidRPr="000C63DA">
        <w:rPr>
          <w:rFonts w:cstheme="minorHAnsi"/>
        </w:rPr>
        <w:t>conditions</w:t>
      </w:r>
      <w:r w:rsidR="005D3062" w:rsidRPr="000C63DA">
        <w:rPr>
          <w:rFonts w:cstheme="minorHAnsi"/>
        </w:rPr>
        <w:t xml:space="preserve"> to </w:t>
      </w:r>
      <w:r w:rsidR="002E4863">
        <w:rPr>
          <w:rFonts w:cstheme="minorHAnsi"/>
        </w:rPr>
        <w:t>enable</w:t>
      </w:r>
      <w:r w:rsidR="005D3062" w:rsidRPr="000C63DA">
        <w:rPr>
          <w:rFonts w:cstheme="minorHAnsi"/>
        </w:rPr>
        <w:t xml:space="preserve"> a fa</w:t>
      </w:r>
      <w:r w:rsidR="003743FA" w:rsidRPr="000C63DA">
        <w:rPr>
          <w:rFonts w:cstheme="minorHAnsi"/>
        </w:rPr>
        <w:t>ir comparison</w:t>
      </w:r>
      <w:r w:rsidR="00CF6032" w:rsidRPr="000C63DA">
        <w:rPr>
          <w:rFonts w:cstheme="minorHAnsi"/>
        </w:rPr>
        <w:t>.</w:t>
      </w:r>
      <w:r w:rsidR="00C10967">
        <w:rPr>
          <w:rFonts w:cstheme="minorHAnsi"/>
        </w:rPr>
        <w:t xml:space="preserve"> </w:t>
      </w:r>
      <w:r w:rsidR="00E81451">
        <w:rPr>
          <w:rFonts w:cstheme="minorHAnsi"/>
        </w:rPr>
        <w:t xml:space="preserve">This </w:t>
      </w:r>
      <w:r w:rsidR="001F1165">
        <w:rPr>
          <w:rFonts w:cstheme="minorHAnsi"/>
        </w:rPr>
        <w:t xml:space="preserve">was not possible due to the </w:t>
      </w:r>
      <w:r w:rsidR="00A84F40">
        <w:rPr>
          <w:rFonts w:cstheme="minorHAnsi"/>
        </w:rPr>
        <w:t>limited body of</w:t>
      </w:r>
      <w:r w:rsidR="001F1165">
        <w:rPr>
          <w:rFonts w:cstheme="minorHAnsi"/>
        </w:rPr>
        <w:t xml:space="preserve"> experimental </w:t>
      </w:r>
      <w:r w:rsidR="00C10967">
        <w:rPr>
          <w:rFonts w:cstheme="minorHAnsi"/>
        </w:rPr>
        <w:t xml:space="preserve">results </w:t>
      </w:r>
      <w:r w:rsidR="001F1165">
        <w:rPr>
          <w:rFonts w:cstheme="minorHAnsi"/>
        </w:rPr>
        <w:t xml:space="preserve">reported in the literature. </w:t>
      </w:r>
      <w:r w:rsidR="00C10967">
        <w:rPr>
          <w:rFonts w:cstheme="minorHAnsi"/>
        </w:rPr>
        <w:t xml:space="preserve">However, </w:t>
      </w:r>
      <w:r w:rsidR="004B363F">
        <w:rPr>
          <w:rFonts w:cstheme="minorHAnsi"/>
        </w:rPr>
        <w:t xml:space="preserve">the inclusion of the scenarios </w:t>
      </w:r>
      <w:r w:rsidR="008831FF">
        <w:rPr>
          <w:rFonts w:cstheme="minorHAnsi"/>
        </w:rPr>
        <w:t xml:space="preserve">based on experimental </w:t>
      </w:r>
      <w:r w:rsidR="007D54DC">
        <w:rPr>
          <w:rFonts w:cstheme="minorHAnsi"/>
        </w:rPr>
        <w:t xml:space="preserve">data </w:t>
      </w:r>
      <w:r w:rsidR="002E4863">
        <w:rPr>
          <w:rFonts w:cstheme="minorHAnsi"/>
        </w:rPr>
        <w:t>allowed us</w:t>
      </w:r>
      <w:r w:rsidR="00512B6E">
        <w:rPr>
          <w:rFonts w:cstheme="minorHAnsi"/>
        </w:rPr>
        <w:t xml:space="preserve"> to </w:t>
      </w:r>
      <w:r w:rsidR="008831FF" w:rsidRPr="00400950">
        <w:rPr>
          <w:rFonts w:cstheme="minorHAnsi"/>
        </w:rPr>
        <w:t xml:space="preserve">illustrate the vast performance gap between the theoretical </w:t>
      </w:r>
      <w:r w:rsidR="00FB37BF" w:rsidRPr="00400950">
        <w:rPr>
          <w:rFonts w:cstheme="minorHAnsi"/>
        </w:rPr>
        <w:t>and experimental weathering rates (discussed in the main text).</w:t>
      </w:r>
      <w:r w:rsidR="00FB37BF">
        <w:rPr>
          <w:rFonts w:cstheme="minorHAnsi"/>
        </w:rPr>
        <w:t xml:space="preserve"> </w:t>
      </w:r>
      <w:r w:rsidR="00DD3D70">
        <w:rPr>
          <w:rFonts w:cstheme="minorHAnsi"/>
        </w:rPr>
        <w:t>Moreover</w:t>
      </w:r>
      <w:r w:rsidR="009C1B90">
        <w:rPr>
          <w:rFonts w:cstheme="minorHAnsi"/>
        </w:rPr>
        <w:t xml:space="preserve">, </w:t>
      </w:r>
      <w:r w:rsidR="004B2CB4">
        <w:rPr>
          <w:rFonts w:cstheme="minorHAnsi"/>
        </w:rPr>
        <w:t>d</w:t>
      </w:r>
      <w:r w:rsidR="009279D9">
        <w:rPr>
          <w:rFonts w:cstheme="minorHAnsi"/>
        </w:rPr>
        <w:t>espite the</w:t>
      </w:r>
      <w:r w:rsidR="00CB7480">
        <w:rPr>
          <w:rFonts w:cstheme="minorHAnsi"/>
        </w:rPr>
        <w:t xml:space="preserve"> difference in the</w:t>
      </w:r>
      <w:r w:rsidR="009279D9">
        <w:rPr>
          <w:rFonts w:cstheme="minorHAnsi"/>
        </w:rPr>
        <w:t xml:space="preserve"> experimental </w:t>
      </w:r>
      <w:r w:rsidR="001A1EA4">
        <w:rPr>
          <w:rFonts w:cstheme="minorHAnsi"/>
        </w:rPr>
        <w:t>parameter</w:t>
      </w:r>
      <w:r w:rsidR="009279D9">
        <w:rPr>
          <w:rFonts w:cstheme="minorHAnsi"/>
        </w:rPr>
        <w:t xml:space="preserve">s, </w:t>
      </w:r>
      <w:r w:rsidR="0004120B">
        <w:rPr>
          <w:rFonts w:cstheme="minorHAnsi"/>
        </w:rPr>
        <w:t>o</w:t>
      </w:r>
      <w:r w:rsidR="00197979">
        <w:rPr>
          <w:rFonts w:cstheme="minorHAnsi"/>
        </w:rPr>
        <w:t xml:space="preserve">ur conclusions regarding the relative performance of the </w:t>
      </w:r>
      <w:r w:rsidR="00197979" w:rsidRPr="00C265CA">
        <w:rPr>
          <w:rFonts w:cstheme="minorHAnsi"/>
        </w:rPr>
        <w:t>rocks</w:t>
      </w:r>
      <w:r w:rsidR="005A1D72" w:rsidRPr="00C265CA">
        <w:rPr>
          <w:rFonts w:cstheme="minorHAnsi"/>
        </w:rPr>
        <w:t xml:space="preserve"> (dunite </w:t>
      </w:r>
      <w:r w:rsidR="008D3CC4" w:rsidRPr="00C265CA">
        <w:rPr>
          <w:rFonts w:cstheme="minorHAnsi"/>
        </w:rPr>
        <w:t>showing a better environmental profile</w:t>
      </w:r>
      <w:r w:rsidR="005A1D72" w:rsidRPr="00C265CA">
        <w:rPr>
          <w:rFonts w:cstheme="minorHAnsi"/>
        </w:rPr>
        <w:t xml:space="preserve"> than basalt) </w:t>
      </w:r>
      <w:r w:rsidR="0004120B" w:rsidRPr="00C265CA">
        <w:rPr>
          <w:rFonts w:cstheme="minorHAnsi"/>
        </w:rPr>
        <w:t>are aligned</w:t>
      </w:r>
      <w:r w:rsidR="005A1D72" w:rsidRPr="00C265CA">
        <w:rPr>
          <w:rFonts w:cstheme="minorHAnsi"/>
        </w:rPr>
        <w:t xml:space="preserve"> with the results obtained for the theoretical weathering rates</w:t>
      </w:r>
      <w:r w:rsidR="0037088C">
        <w:rPr>
          <w:rFonts w:cstheme="minorHAnsi"/>
        </w:rPr>
        <w:t xml:space="preserve"> </w:t>
      </w:r>
      <w:r w:rsidR="0037088C" w:rsidRPr="00300698">
        <w:rPr>
          <w:rFonts w:cstheme="minorHAnsi"/>
        </w:rPr>
        <w:t>(described in the main text)</w:t>
      </w:r>
      <w:r w:rsidR="00B00532">
        <w:rPr>
          <w:rFonts w:cstheme="minorHAnsi"/>
        </w:rPr>
        <w:t xml:space="preserve">, </w:t>
      </w:r>
      <w:r w:rsidR="00B00532" w:rsidRPr="00300698">
        <w:rPr>
          <w:rFonts w:cstheme="minorHAnsi"/>
        </w:rPr>
        <w:t>consider</w:t>
      </w:r>
      <w:r w:rsidR="0085020B">
        <w:rPr>
          <w:rFonts w:cstheme="minorHAnsi"/>
        </w:rPr>
        <w:t>ing</w:t>
      </w:r>
      <w:r w:rsidR="00B00532" w:rsidRPr="00300698">
        <w:rPr>
          <w:rFonts w:cstheme="minorHAnsi"/>
        </w:rPr>
        <w:t xml:space="preserve"> </w:t>
      </w:r>
      <w:r w:rsidR="00CA2CD4" w:rsidRPr="00300698">
        <w:rPr>
          <w:rFonts w:cstheme="minorHAnsi"/>
        </w:rPr>
        <w:t>the same operating parameter</w:t>
      </w:r>
      <w:r w:rsidR="00C438A3" w:rsidRPr="00300698">
        <w:rPr>
          <w:rFonts w:cstheme="minorHAnsi"/>
        </w:rPr>
        <w:t>s for both types of rock</w:t>
      </w:r>
      <w:r w:rsidR="00CA2CD4" w:rsidRPr="00300698">
        <w:rPr>
          <w:rFonts w:cstheme="minorHAnsi"/>
        </w:rPr>
        <w:t>s</w:t>
      </w:r>
      <w:r w:rsidR="005A1D72" w:rsidRPr="00300698">
        <w:rPr>
          <w:rFonts w:cstheme="minorHAnsi"/>
        </w:rPr>
        <w:t>.</w:t>
      </w:r>
    </w:p>
    <w:p w14:paraId="6226977C" w14:textId="3F7FE45A" w:rsidR="006D7710" w:rsidRPr="00AA1E62" w:rsidRDefault="001D56B8" w:rsidP="00BC188A">
      <w:pPr>
        <w:spacing w:line="360" w:lineRule="auto"/>
        <w:jc w:val="both"/>
        <w:rPr>
          <w:rFonts w:cstheme="minorHAnsi"/>
        </w:rPr>
      </w:pPr>
      <w:r w:rsidRPr="00AA1E62">
        <w:rPr>
          <w:rFonts w:cstheme="minorHAnsi"/>
        </w:rPr>
        <w:t xml:space="preserve">We </w:t>
      </w:r>
      <w:r w:rsidR="00FF3681" w:rsidRPr="00AA1E62">
        <w:rPr>
          <w:rFonts w:cstheme="minorHAnsi"/>
        </w:rPr>
        <w:t>took</w:t>
      </w:r>
      <w:r w:rsidRPr="00AA1E62">
        <w:rPr>
          <w:rFonts w:cstheme="minorHAnsi"/>
        </w:rPr>
        <w:t xml:space="preserve"> the theoretical weathering rates </w:t>
      </w:r>
      <w:r w:rsidR="00C55A02" w:rsidRPr="00AA1E62">
        <w:rPr>
          <w:rFonts w:cstheme="minorHAnsi"/>
        </w:rPr>
        <w:t xml:space="preserve">estimated </w:t>
      </w:r>
      <w:r w:rsidRPr="00AA1E62">
        <w:rPr>
          <w:rFonts w:cstheme="minorHAnsi"/>
        </w:rPr>
        <w:t xml:space="preserve">by </w:t>
      </w:r>
      <w:proofErr w:type="spellStart"/>
      <w:r w:rsidR="00457BBC" w:rsidRPr="00AA1E62">
        <w:rPr>
          <w:rFonts w:cstheme="minorHAnsi"/>
        </w:rPr>
        <w:t>Strefler</w:t>
      </w:r>
      <w:proofErr w:type="spellEnd"/>
      <w:r w:rsidR="00457BBC" w:rsidRPr="00AA1E62">
        <w:rPr>
          <w:rFonts w:cstheme="minorHAnsi"/>
        </w:rPr>
        <w:t xml:space="preserve"> et al.</w:t>
      </w:r>
      <w:r w:rsidR="00C55A02" w:rsidRPr="00AA1E62">
        <w:rPr>
          <w:rFonts w:cstheme="minorHAnsi"/>
        </w:rPr>
        <w:fldChar w:fldCharType="begin" w:fldLock="1"/>
      </w:r>
      <w:r w:rsidR="00971A76" w:rsidRPr="00AA1E62">
        <w:rPr>
          <w:rFonts w:cstheme="minorHAnsi"/>
        </w:rPr>
        <w:instrText xml:space="preserve"> ADDIN ZOTERO_ITEM CSL_CITATION {"citationID":"AbdvESRv","properties":{"formattedCitation":"\\super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C55A02" w:rsidRPr="00AA1E62">
        <w:rPr>
          <w:rFonts w:cstheme="minorHAnsi"/>
        </w:rPr>
        <w:fldChar w:fldCharType="separate"/>
      </w:r>
      <w:r w:rsidR="00971A76" w:rsidRPr="00AA1E62">
        <w:rPr>
          <w:rFonts w:ascii="Calibri" w:hAnsi="Calibri" w:cs="Calibri"/>
          <w:vertAlign w:val="superscript"/>
        </w:rPr>
        <w:t>38</w:t>
      </w:r>
      <w:r w:rsidR="00C55A02" w:rsidRPr="00AA1E62">
        <w:rPr>
          <w:rFonts w:cstheme="minorHAnsi"/>
        </w:rPr>
        <w:fldChar w:fldCharType="end"/>
      </w:r>
      <w:r w:rsidR="00493B7B" w:rsidRPr="00AA1E62">
        <w:rPr>
          <w:rFonts w:cstheme="minorHAnsi"/>
        </w:rPr>
        <w:t xml:space="preserve"> f</w:t>
      </w:r>
      <w:r w:rsidR="003639CA" w:rsidRPr="00AA1E62">
        <w:rPr>
          <w:rFonts w:cstheme="minorHAnsi"/>
        </w:rPr>
        <w:t xml:space="preserve">or </w:t>
      </w:r>
      <w:r w:rsidR="003717BC" w:rsidRPr="00AA1E62">
        <w:rPr>
          <w:rFonts w:cstheme="minorHAnsi"/>
        </w:rPr>
        <w:t xml:space="preserve">warm and temperate </w:t>
      </w:r>
      <w:r w:rsidR="005B08BB" w:rsidRPr="00AA1E62">
        <w:rPr>
          <w:rFonts w:cstheme="minorHAnsi"/>
        </w:rPr>
        <w:t>region</w:t>
      </w:r>
      <w:r w:rsidR="00805BF7" w:rsidRPr="00AA1E62">
        <w:rPr>
          <w:rFonts w:cstheme="minorHAnsi"/>
        </w:rPr>
        <w:t xml:space="preserve">s, and averaged them </w:t>
      </w:r>
      <w:r w:rsidR="003F3349" w:rsidRPr="00AA1E62">
        <w:rPr>
          <w:rFonts w:cstheme="minorHAnsi"/>
        </w:rPr>
        <w:t>using</w:t>
      </w:r>
      <w:r w:rsidR="00B55B7C" w:rsidRPr="00AA1E62">
        <w:rPr>
          <w:rFonts w:cstheme="minorHAnsi"/>
        </w:rPr>
        <w:t xml:space="preserve"> the global </w:t>
      </w:r>
      <w:r w:rsidR="00366B82" w:rsidRPr="00AA1E62">
        <w:rPr>
          <w:rFonts w:cstheme="minorHAnsi"/>
        </w:rPr>
        <w:t>available</w:t>
      </w:r>
      <w:r w:rsidR="00B55B7C" w:rsidRPr="00AA1E62">
        <w:rPr>
          <w:rFonts w:cstheme="minorHAnsi"/>
        </w:rPr>
        <w:t xml:space="preserve"> area</w:t>
      </w:r>
      <w:r w:rsidR="00366B82" w:rsidRPr="00AA1E62">
        <w:rPr>
          <w:rFonts w:cstheme="minorHAnsi"/>
        </w:rPr>
        <w:t>s</w:t>
      </w:r>
      <w:r w:rsidR="00B55B7C" w:rsidRPr="00AA1E62">
        <w:rPr>
          <w:rFonts w:cstheme="minorHAnsi"/>
        </w:rPr>
        <w:t xml:space="preserve"> </w:t>
      </w:r>
      <w:r w:rsidR="005B08BB" w:rsidRPr="00AA1E62">
        <w:rPr>
          <w:rFonts w:cstheme="minorHAnsi"/>
        </w:rPr>
        <w:t>with these climates</w:t>
      </w:r>
      <w:r w:rsidR="007162BE" w:rsidRPr="00AA1E62">
        <w:rPr>
          <w:rFonts w:cstheme="minorHAnsi"/>
        </w:rPr>
        <w:fldChar w:fldCharType="begin" w:fldLock="1"/>
      </w:r>
      <w:r w:rsidR="00971A76" w:rsidRPr="00AA1E62">
        <w:rPr>
          <w:rFonts w:cstheme="minorHAnsi"/>
        </w:rPr>
        <w:instrText xml:space="preserve"> ADDIN ZOTERO_ITEM CSL_CITATION {"citationID":"cV9zFwz3","properties":{"formattedCitation":"\\super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7162BE" w:rsidRPr="00AA1E62">
        <w:rPr>
          <w:rFonts w:cstheme="minorHAnsi"/>
        </w:rPr>
        <w:fldChar w:fldCharType="separate"/>
      </w:r>
      <w:r w:rsidR="00971A76" w:rsidRPr="00AA1E62">
        <w:rPr>
          <w:rFonts w:ascii="Calibri" w:hAnsi="Calibri" w:cs="Calibri"/>
          <w:vertAlign w:val="superscript"/>
        </w:rPr>
        <w:t>38</w:t>
      </w:r>
      <w:r w:rsidR="007162BE" w:rsidRPr="00AA1E62">
        <w:rPr>
          <w:rFonts w:cstheme="minorHAnsi"/>
        </w:rPr>
        <w:fldChar w:fldCharType="end"/>
      </w:r>
      <w:r w:rsidR="007162BE" w:rsidRPr="00AA1E62">
        <w:rPr>
          <w:rFonts w:cstheme="minorHAnsi"/>
        </w:rPr>
        <w:t>.</w:t>
      </w:r>
      <w:r w:rsidR="007E4C53" w:rsidRPr="00AA1E62">
        <w:rPr>
          <w:rFonts w:cstheme="minorHAnsi"/>
        </w:rPr>
        <w:t xml:space="preserve"> </w:t>
      </w:r>
      <w:r w:rsidR="00803B86" w:rsidRPr="00AA1E62">
        <w:rPr>
          <w:rFonts w:cstheme="minorHAnsi"/>
        </w:rPr>
        <w:t xml:space="preserve">The </w:t>
      </w:r>
      <w:r w:rsidR="0077420F" w:rsidRPr="00AA1E62">
        <w:rPr>
          <w:rFonts w:cstheme="minorHAnsi"/>
        </w:rPr>
        <w:t xml:space="preserve">CDR </w:t>
      </w:r>
      <w:r w:rsidR="000F7944" w:rsidRPr="00AA1E62">
        <w:rPr>
          <w:rFonts w:cstheme="minorHAnsi"/>
        </w:rPr>
        <w:t>potential</w:t>
      </w:r>
      <w:r w:rsidR="00415241" w:rsidRPr="00AA1E62">
        <w:rPr>
          <w:rFonts w:cstheme="minorHAnsi"/>
        </w:rPr>
        <w:t xml:space="preserve"> </w:t>
      </w:r>
      <m:oMath>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d,n</m:t>
            </m:r>
          </m:sub>
        </m:sSub>
      </m:oMath>
      <w:r w:rsidR="00477634" w:rsidRPr="00AA1E62">
        <w:rPr>
          <w:rFonts w:cstheme="minorHAnsi"/>
        </w:rPr>
        <w:t xml:space="preserve"> </w:t>
      </w:r>
      <w:r w:rsidR="00803B86" w:rsidRPr="00AA1E62">
        <w:rPr>
          <w:rFonts w:cstheme="minorHAnsi"/>
        </w:rPr>
        <w:t xml:space="preserve">of dunite and basalt is </w:t>
      </w:r>
      <w:r w:rsidR="00516174" w:rsidRPr="00AA1E62">
        <w:rPr>
          <w:rFonts w:cstheme="minorHAnsi"/>
        </w:rPr>
        <w:t xml:space="preserve">1.1 and 0.3 </w:t>
      </w:r>
      <w:r w:rsidR="00D50379" w:rsidRPr="00AA1E62">
        <w:rPr>
          <w:rFonts w:cstheme="minorHAnsi"/>
        </w:rPr>
        <w:t>tCO</w:t>
      </w:r>
      <w:r w:rsidR="00516174" w:rsidRPr="00AA1E62">
        <w:rPr>
          <w:rFonts w:cstheme="minorHAnsi"/>
          <w:vertAlign w:val="subscript"/>
        </w:rPr>
        <w:t>2</w:t>
      </w:r>
      <w:r w:rsidR="00516174" w:rsidRPr="00AA1E62">
        <w:rPr>
          <w:rFonts w:cstheme="minorHAnsi"/>
        </w:rPr>
        <w:t>/t</w:t>
      </w:r>
      <w:r w:rsidR="00D50379" w:rsidRPr="00AA1E62">
        <w:rPr>
          <w:rFonts w:cstheme="minorHAnsi"/>
        </w:rPr>
        <w:t>, respectively</w:t>
      </w:r>
      <w:r w:rsidR="00DB02DC" w:rsidRPr="00AA1E62">
        <w:rPr>
          <w:rFonts w:cstheme="minorHAnsi"/>
        </w:rPr>
        <w:fldChar w:fldCharType="begin" w:fldLock="1"/>
      </w:r>
      <w:r w:rsidR="00971A76" w:rsidRPr="00AA1E62">
        <w:rPr>
          <w:rFonts w:cstheme="minorHAnsi"/>
        </w:rPr>
        <w:instrText xml:space="preserve"> ADDIN ZOTERO_ITEM CSL_CITATION {"citationID":"aPRxiEjA","properties":{"formattedCitation":"\\super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DB02DC" w:rsidRPr="00AA1E62">
        <w:rPr>
          <w:rFonts w:cstheme="minorHAnsi"/>
        </w:rPr>
        <w:fldChar w:fldCharType="separate"/>
      </w:r>
      <w:r w:rsidR="00971A76" w:rsidRPr="00AA1E62">
        <w:rPr>
          <w:rFonts w:ascii="Calibri" w:hAnsi="Calibri" w:cs="Calibri"/>
          <w:vertAlign w:val="superscript"/>
        </w:rPr>
        <w:t>38</w:t>
      </w:r>
      <w:r w:rsidR="00DB02DC" w:rsidRPr="00AA1E62">
        <w:rPr>
          <w:rFonts w:cstheme="minorHAnsi"/>
        </w:rPr>
        <w:fldChar w:fldCharType="end"/>
      </w:r>
      <w:r w:rsidR="008E1C70" w:rsidRPr="00AA1E62">
        <w:rPr>
          <w:rFonts w:cstheme="minorHAnsi"/>
        </w:rPr>
        <w:t>.</w:t>
      </w:r>
      <w:r w:rsidR="00D55E87" w:rsidRPr="00AA1E62">
        <w:rPr>
          <w:rFonts w:cstheme="minorHAnsi"/>
          <w:color w:val="FF0000"/>
        </w:rPr>
        <w:t xml:space="preserve"> </w:t>
      </w:r>
      <w:r w:rsidR="009A6296" w:rsidRPr="00AA1E62">
        <w:rPr>
          <w:rFonts w:cstheme="minorHAnsi"/>
        </w:rPr>
        <w:t>We c</w:t>
      </w:r>
      <w:r w:rsidR="006C4820" w:rsidRPr="00AA1E62">
        <w:rPr>
          <w:rFonts w:cstheme="minorHAnsi"/>
        </w:rPr>
        <w:t>onsidered</w:t>
      </w:r>
      <w:r w:rsidR="00D03DC7" w:rsidRPr="00AA1E62">
        <w:rPr>
          <w:rFonts w:cstheme="minorHAnsi"/>
        </w:rPr>
        <w:t xml:space="preserve"> t</w:t>
      </w:r>
      <w:r w:rsidR="00FA3CF8" w:rsidRPr="00AA1E62">
        <w:rPr>
          <w:rFonts w:cstheme="minorHAnsi"/>
        </w:rPr>
        <w:t>he application of 15 kg</w:t>
      </w:r>
      <w:r w:rsidR="0044589D" w:rsidRPr="00AA1E62">
        <w:rPr>
          <w:rFonts w:cstheme="minorHAnsi"/>
        </w:rPr>
        <w:t>/m</w:t>
      </w:r>
      <w:r w:rsidR="0044589D" w:rsidRPr="00AA1E62">
        <w:rPr>
          <w:rFonts w:cstheme="minorHAnsi"/>
          <w:vertAlign w:val="superscript"/>
        </w:rPr>
        <w:t>2</w:t>
      </w:r>
      <w:r w:rsidR="0044589D" w:rsidRPr="00AA1E62">
        <w:rPr>
          <w:rFonts w:cstheme="minorHAnsi"/>
        </w:rPr>
        <w:t xml:space="preserve"> of rock particles with </w:t>
      </w:r>
      <w:r w:rsidR="00D03DC7" w:rsidRPr="00AA1E62">
        <w:rPr>
          <w:rFonts w:cstheme="minorHAnsi"/>
        </w:rPr>
        <w:t xml:space="preserve">sizes </w:t>
      </w:r>
      <w:r w:rsidR="006C4820" w:rsidRPr="00AA1E62">
        <w:rPr>
          <w:rFonts w:cstheme="minorHAnsi"/>
        </w:rPr>
        <w:t xml:space="preserve">of 25 and 250 </w:t>
      </w:r>
      <w:proofErr w:type="spellStart"/>
      <w:r w:rsidR="00D739EC" w:rsidRPr="00AA1E62">
        <w:rPr>
          <w:rFonts w:cstheme="minorHAnsi"/>
          <w:color w:val="202124"/>
          <w:shd w:val="clear" w:color="auto" w:fill="FFFFFF"/>
        </w:rPr>
        <w:t>μ</w:t>
      </w:r>
      <w:r w:rsidR="006C4820" w:rsidRPr="00AA1E62">
        <w:rPr>
          <w:rFonts w:cstheme="minorHAnsi"/>
        </w:rPr>
        <w:t>m</w:t>
      </w:r>
      <w:proofErr w:type="spellEnd"/>
      <w:r w:rsidR="00FD6192" w:rsidRPr="00AA1E62">
        <w:rPr>
          <w:rFonts w:cstheme="minorHAnsi"/>
        </w:rPr>
        <w:t xml:space="preserve"> and</w:t>
      </w:r>
      <w:r w:rsidR="006C4820" w:rsidRPr="00AA1E62">
        <w:rPr>
          <w:rFonts w:cstheme="minorHAnsi"/>
        </w:rPr>
        <w:t xml:space="preserve"> estimat</w:t>
      </w:r>
      <w:r w:rsidR="00FD6192" w:rsidRPr="00AA1E62">
        <w:rPr>
          <w:rFonts w:cstheme="minorHAnsi"/>
        </w:rPr>
        <w:t>ed</w:t>
      </w:r>
      <w:r w:rsidR="006C4820" w:rsidRPr="00AA1E62">
        <w:rPr>
          <w:rFonts w:cstheme="minorHAnsi"/>
        </w:rPr>
        <w:t xml:space="preserve"> the </w:t>
      </w:r>
      <m:oMath>
        <m:r>
          <w:rPr>
            <w:rFonts w:ascii="Cambria Math" w:hAnsi="Cambria Math" w:cstheme="minorHAnsi"/>
          </w:rPr>
          <m:t>SS</m:t>
        </m:r>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d,n,p</m:t>
            </m:r>
          </m:sub>
        </m:sSub>
      </m:oMath>
      <w:r w:rsidR="005617B7" w:rsidRPr="00AA1E62">
        <w:rPr>
          <w:rFonts w:cstheme="minorHAnsi"/>
        </w:rPr>
        <w:t xml:space="preserve"> with </w:t>
      </w:r>
      <w:r w:rsidR="00FD6192" w:rsidRPr="00AA1E62">
        <w:rPr>
          <w:rFonts w:cstheme="minorHAnsi"/>
        </w:rPr>
        <w:t xml:space="preserve">the </w:t>
      </w:r>
      <w:r w:rsidR="00AF154D" w:rsidRPr="00AA1E62">
        <w:rPr>
          <w:rFonts w:cstheme="minorHAnsi"/>
        </w:rPr>
        <w:t>power function</w:t>
      </w:r>
      <w:r w:rsidR="00FD6192" w:rsidRPr="00AA1E62">
        <w:rPr>
          <w:rFonts w:cstheme="minorHAnsi"/>
        </w:rPr>
        <w:t xml:space="preserve"> provided </w:t>
      </w:r>
      <w:r w:rsidR="00837160" w:rsidRPr="00AA1E62">
        <w:rPr>
          <w:rFonts w:cstheme="minorHAnsi"/>
        </w:rPr>
        <w:t>by</w:t>
      </w:r>
      <w:r w:rsidR="00FD6192" w:rsidRPr="00AA1E62">
        <w:rPr>
          <w:rFonts w:cstheme="minorHAnsi"/>
        </w:rPr>
        <w:t xml:space="preserve"> </w:t>
      </w:r>
      <w:r w:rsidR="00FD6192" w:rsidRPr="00AA1E62">
        <w:rPr>
          <w:rFonts w:cstheme="minorHAnsi"/>
        </w:rPr>
        <w:fldChar w:fldCharType="begin" w:fldLock="1"/>
      </w:r>
      <w:r w:rsidR="00971A76" w:rsidRPr="00AA1E62">
        <w:rPr>
          <w:rFonts w:cstheme="minorHAnsi"/>
        </w:rPr>
        <w:instrText xml:space="preserve"> ADDIN ZOTERO_ITEM CSL_CITATION {"citationID":"C1Mc1u3q","properties":{"formattedCitation":"\\super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FD6192" w:rsidRPr="00AA1E62">
        <w:rPr>
          <w:rFonts w:cstheme="minorHAnsi"/>
        </w:rPr>
        <w:fldChar w:fldCharType="separate"/>
      </w:r>
      <w:r w:rsidR="00971A76" w:rsidRPr="00AA1E62">
        <w:rPr>
          <w:rFonts w:ascii="Calibri" w:hAnsi="Calibri" w:cs="Calibri"/>
          <w:vertAlign w:val="superscript"/>
        </w:rPr>
        <w:t>38</w:t>
      </w:r>
      <w:r w:rsidR="00FD6192" w:rsidRPr="00AA1E62">
        <w:rPr>
          <w:rFonts w:cstheme="minorHAnsi"/>
        </w:rPr>
        <w:fldChar w:fldCharType="end"/>
      </w:r>
      <w:r w:rsidR="00FD6192" w:rsidRPr="00AA1E62">
        <w:rPr>
          <w:rFonts w:cstheme="minorHAnsi"/>
        </w:rPr>
        <w:t>.</w:t>
      </w:r>
    </w:p>
    <w:p w14:paraId="4899493A" w14:textId="27342486" w:rsidR="003A3A51" w:rsidRPr="003D76AE" w:rsidRDefault="000431EA" w:rsidP="007275FE">
      <w:pPr>
        <w:spacing w:line="360" w:lineRule="auto"/>
        <w:jc w:val="both"/>
        <w:rPr>
          <w:rFonts w:cstheme="minorHAnsi"/>
        </w:rPr>
      </w:pPr>
      <w:r w:rsidRPr="003D76AE">
        <w:rPr>
          <w:rFonts w:cstheme="minorHAnsi"/>
        </w:rPr>
        <w:t xml:space="preserve">To estimate the metal emissions to the soil (inland </w:t>
      </w:r>
      <w:r w:rsidR="00AD2D98">
        <w:rPr>
          <w:rFonts w:cstheme="minorHAnsi"/>
        </w:rPr>
        <w:t>scenarios</w:t>
      </w:r>
      <w:r w:rsidRPr="003D76AE">
        <w:rPr>
          <w:rFonts w:cstheme="minorHAnsi"/>
        </w:rPr>
        <w:t xml:space="preserve">) and seawater (coastal </w:t>
      </w:r>
      <w:r w:rsidR="00AD2D98">
        <w:rPr>
          <w:rFonts w:cstheme="minorHAnsi"/>
        </w:rPr>
        <w:t>scenarios</w:t>
      </w:r>
      <w:r w:rsidRPr="003D76AE">
        <w:rPr>
          <w:rFonts w:cstheme="minorHAnsi"/>
        </w:rPr>
        <w:t xml:space="preserve">), we considered the average, minimum and maximum metal concentrations in basalt reported in </w:t>
      </w:r>
      <w:r w:rsidR="00E437E7">
        <w:rPr>
          <w:rFonts w:cstheme="minorHAnsi"/>
        </w:rPr>
        <w:fldChar w:fldCharType="begin" w:fldLock="1"/>
      </w:r>
      <w:r w:rsidR="00B4317C">
        <w:rPr>
          <w:rFonts w:cstheme="minorHAnsi"/>
        </w:rPr>
        <w:instrText xml:space="preserve"> ADDIN ZOTERO_ITEM CSL_CITATION {"citationID":"MrRujh7c","properties":{"formattedCitation":"\\super 40\\uc0\\u8211{}42\\nosupersub{}","plainCitation":"40–42","noteIndex":0},"citationItems":[{"id":"z2fanENt/L3xYACpi","uris":["http://www.mendeley.com/documents/?uuid=ba891a07-8fe9-439f-b546-1f4f3803cb99"],"itemData":{"DOI":"10.1016/j.geoderma.2012.05.009","ISSN":"00167061","abstract":"Elemental composition of various fresh parent rocks has received little attention in relation to cation imbalance and potential for high concentrations of heavy metals in soils. The objective of the study was to assess elemental composition of fresh parent rocks and its effect on cation imbalance and natural heavy metal occurrence in soils. Seven fresh rocks consisting of basalt, gabbro, basaltic andesite, volcanic tuff, volcanic ash, mica schist, and serpentinite and their corresponding overlying soil profiles were sampled for various chemical analyses. The elemental composition of finely ground individual fresh rock was determined by X-ray fluorescence (XRF). Exchangeable cations and heavy metals of soils were extracted by NH 4OAc and by a mixture of concentrated HNO 3 and HClO 4, respectively. Results showed that major elements of fresh rocks, referred to as a source of 'pot</w:instrText>
      </w:r>
      <w:r w:rsidR="00B4317C">
        <w:rPr>
          <w:rFonts w:cstheme="minorHAnsi" w:hint="eastAsia"/>
        </w:rPr>
        <w:instrText>ential exchangeable cations', were different among the rock types. The order of parent rocks in decreasing potential cations was gabbro&gt;basaltic andesite&gt;basalt&gt;volcanic ash&gt;volcanic tuff&gt;serpentinite&gt;mica schist for Ca, serpentinite</w:instrText>
      </w:r>
      <w:r w:rsidR="00B4317C">
        <w:rPr>
          <w:rFonts w:cstheme="minorHAnsi" w:hint="eastAsia"/>
        </w:rPr>
        <w:instrText>≫</w:instrText>
      </w:r>
      <w:r w:rsidR="00B4317C">
        <w:rPr>
          <w:rFonts w:cstheme="minorHAnsi" w:hint="eastAsia"/>
        </w:rPr>
        <w:instrText>gabbro&gt;basalt&gt;basalti</w:instrText>
      </w:r>
      <w:r w:rsidR="00B4317C">
        <w:rPr>
          <w:rFonts w:cstheme="minorHAnsi"/>
        </w:rPr>
        <w:instrText xml:space="preserve">c andesite&gt;mica schist~volcanic ash&gt;volcanic tuff for Mg, volcanic tuff&gt;mica schist&gt;volcanic ash&gt;basaltic andesite&gt;basalt&gt;serpentinite&gt;gabbro for K, and volcanic tuff&gt;basaltic andesite&gt;basalt&gt;volcanic ash&gt;gabbro&gt;mica schist&gt;serpentinite for Na. Based on base cation saturation ratio (BCSR) of Ca:Mg:K=6.5:1:0.5, none of the seven soils overlying different fresh rocks met the \"ideal soil\" suggesting cation imbalance. The critical cation deficiency status (CCDS) showed all soils (except MA5) were insufficient in K accompanied either by insufficient or high content of either Ca, Mg, or Na. The heavy metals of Pb, Cd, and Hg were not detected in all fresh rocks, while Cr and Ni were present in different amounts. In soils overlying fresh rocks, the order of magnitude of natural Cr agreed well with its order in fresh rocks, while Ni disagreed. This indicated that Cr in soils was mainly dictated by Cr content in parent rocks, while Ni depended on soil forming processes in addition to parent rocks. Cr and Ni have exceeded threshold limits in soils developed from serpentinite and gabbro, respectively, while soils developed from mica schist, volcanic tuff, basaltic andesite and volcanic ash parent rocks were below the threshold limit, viz., Cr and Ni contents were less than 11ppm each. Implications for the study are the risk of Cr and Ni toxi…","author":[{"dropping-particle":"","family":"Anda","given":"Markus","non-dropping-particle":"","parse-names":false,"suffix":""}],"container-title":"Geoderma","id":"ITEM-1","issued":{"date-parts":[["2012"]]},"page":"388-396","publisher":"Elsevier B.V.","title":"Cation imbalance and heavy metal content of seven Indonesian soils as affected by elemental compositions of parent rocks","type":"article-journal","volume":"189-190"}},{"id":2523,"uris":["http://www.mendeley.com/documents/?uuid=21f37154-7f08-4b83-9bd5-12620e9b4143","http://zotero.org/users/14213812/items/K3Q33PQX"],"itemData":{"id":2523,"type":"book","abstract":"P","note":"issue: 69","publisher":"Springer","title":"Heavy metals in soils. Trace metals in metalloids and soils and their bioavailability.","volume":"22","author":[{"family":"Alloway","given":"Brian J."}],"editor":[{"family":"Alloway","given":"Brian J."},{"family":"Trevor","given":"Jack T."}],"issued":{"date-parts":[["2013"]]}}},{"id":2697,"uris":["http://www.mendeley.com/documents/?uuid=9e571a18-8d32-4add-88ed-1554c930a6a3","http://zotero.org/users/14213812/items/5NNDMM2Q"],"itemData":{"id":2697,"type":"article-journal","abstract":"Basalt-derived agricultural soil is widely distributed around the world and is extensively used as a medium to plant many kinds of crops. Weathering of basalt can release heavy metals into the soils and may cause health risks via the food chain. However, the geochemical behavior and the potential human health risks of heavy metals remain poorly understood in these agro-systems. In this study, basalt bedrock, paired topsoil and crops (wheat and rice) samples were collected from a basaltic area located in Xuyi County, eastern China. Concentrations and bioavailability of heavy metals in the basalt-topsoil-crop system were measured to determine their geochemical behavior during the weathering and transfer processes as well as their potential risk to human health. Our results showed that basalt and topsoil were characterized by high levels of Ni, Cr and Zn. Topsoil and crop grains were highly polluted by Ni, and Ni accumulated more readily in rice grains than in wheat grains. Nickel, a high-risk metal in topsoil was mainly derived from the basalt bedrock, and its enrichment in topsoil was significantly related to the Fe oxide content of the soils. The accumulation of Ni in crop grains was mainly controlled by soil pH, and the 0.01 M CaCl2 extractable Ni was a good indicator in predicting Ni accumulation in crop grains. Risk analysis revealed that there are significant health risks to local inhabitants if rice grains contaminated with heavy metals are ingested. To our best knowledge, this is the first study to investigate the flow of heavy metals in a basalt-topsoil-crop-human system that focuses on geochemical behavior and human health risk. This study will aid the strategic design of evaluation and remediation protocols for basaltic soil.","container-title":"The Science of the total environment","DOI":"10.1016/j.scitotenv.2020.139058","ISSN":"18791026","note":"PMID: 32388133\npublisher: Elsevier B.V.","page":"139058","title":"Geochemical behavior and potential health risk of heavy metals in basalt-derived agricultural soil and crops: A case study from Xuyi County, eastern China","volume":"729","author":[{"family":"Wang","given":"Haoxian"},{"family":"Li","given":"Xuming"},{"family":"Chen","given":"Yang"},{"family":"Li","given":"Zibo"},{"family":"Hedding","given":"David William"},{"family":"Nel","given":"Werner"},{"family":"Ji","given":"Junfeng"},{"family":"Chen","given":"Jun"}],"issued":{"date-parts":[["2020"]]}}}],"schema":"https://github.com/citation-style-language/schema/raw/master/csl-citation.json"} </w:instrText>
      </w:r>
      <w:r w:rsidR="00E437E7">
        <w:rPr>
          <w:rFonts w:cstheme="minorHAnsi"/>
        </w:rPr>
        <w:fldChar w:fldCharType="separate"/>
      </w:r>
      <w:r w:rsidR="00971A76" w:rsidRPr="00971A76">
        <w:rPr>
          <w:rFonts w:ascii="Calibri" w:hAnsi="Calibri" w:cs="Calibri"/>
          <w:vertAlign w:val="superscript"/>
        </w:rPr>
        <w:t>40–42</w:t>
      </w:r>
      <w:r w:rsidR="00E437E7">
        <w:rPr>
          <w:rFonts w:cstheme="minorHAnsi"/>
        </w:rPr>
        <w:fldChar w:fldCharType="end"/>
      </w:r>
      <w:r w:rsidR="0059749C">
        <w:rPr>
          <w:rFonts w:cstheme="minorHAnsi"/>
        </w:rPr>
        <w:t xml:space="preserve">, </w:t>
      </w:r>
      <w:r w:rsidR="00D715C4" w:rsidRPr="003D76AE">
        <w:rPr>
          <w:rFonts w:cstheme="minorHAnsi"/>
        </w:rPr>
        <w:t>a</w:t>
      </w:r>
      <w:r w:rsidR="0083792E" w:rsidRPr="003D76AE">
        <w:rPr>
          <w:rFonts w:cstheme="minorHAnsi"/>
        </w:rPr>
        <w:t>nd</w:t>
      </w:r>
      <w:r w:rsidR="00D715C4" w:rsidRPr="003D76AE">
        <w:rPr>
          <w:rFonts w:cstheme="minorHAnsi"/>
        </w:rPr>
        <w:t xml:space="preserve"> took</w:t>
      </w:r>
      <w:r w:rsidRPr="003D76AE">
        <w:rPr>
          <w:rFonts w:cstheme="minorHAnsi"/>
        </w:rPr>
        <w:t xml:space="preserve"> </w:t>
      </w:r>
      <w:r w:rsidR="00164034" w:rsidRPr="003D76AE">
        <w:rPr>
          <w:rFonts w:cstheme="minorHAnsi"/>
        </w:rPr>
        <w:t>those of dunite</w:t>
      </w:r>
      <w:r w:rsidR="0083792E" w:rsidRPr="003D76AE">
        <w:rPr>
          <w:rFonts w:cstheme="minorHAnsi"/>
        </w:rPr>
        <w:t xml:space="preserve"> from</w:t>
      </w:r>
      <w:r w:rsidRPr="003D76AE">
        <w:rPr>
          <w:rFonts w:cstheme="minorHAnsi"/>
        </w:rPr>
        <w:t xml:space="preserve"> </w:t>
      </w:r>
      <w:r w:rsidRPr="003D76AE">
        <w:rPr>
          <w:rFonts w:cstheme="minorHAnsi"/>
        </w:rPr>
        <w:fldChar w:fldCharType="begin" w:fldLock="1"/>
      </w:r>
      <w:r w:rsidR="00971A76">
        <w:rPr>
          <w:rFonts w:cstheme="minorHAnsi"/>
        </w:rPr>
        <w:instrText xml:space="preserve"> ADDIN ZOTERO_ITEM CSL_CITATION {"citationID":"wIS9qJHB","properties":{"formattedCitation":"\\super 36\\nosupersub{}","plainCitation":"36","noteIndex":0},"citationItems":[{"id":2521,"uris":["http://www.mendeley.com/documents/?uuid=eedbd0d4-db6f-425b-8ed4-5fd32ebf2386","http://zotero.org/users/14213812/items/GJBTTQWQ"],"itemData":{"id":2521,"type":"article-journal","abstract":"The weathering of silicates is a major control on atmospheric &lt;span classCombining double low line\"inline-formula\"&gt;CO2&lt;/span&gt; at geologic timescales. It was proposed to enhance this process to actively remove &lt;span classCombining double low line\"inline-formula\"&gt;CO2&lt;/span&gt; from the atmosphere. While there are some studies that propose and theoretically analyze the application of rock powder to agricultural land, results from field experiments are still scarce.","container-title":"Biogeosciences","DOI":"10.5194/bg-17-103-2020","ISSN":"17264189","issue":"1","page":"103-119","title":"Enhanced Weathering and related element fluxes - A cropland mesocosm approach","volume":"17","author":[{"family":"Amann","given":"Thorben"},{"family":"Hartmann","given":"Jens"},{"family":"Struyf","given":"Eric"},{"family":"De Oliveira Garcia","given":"Wagner"},{"family":"Fischer","given":"Elke K."},{"family":"Janssens","given":"Ivan"},{"family":"Meire","given":"Patrick"},{"family":"Schoelynck","given":"Jonas"}],"issued":{"date-parts":[["2020"]]}}}],"schema":"https://github.com/citation-style-language/schema/raw/master/csl-citation.json"} </w:instrText>
      </w:r>
      <w:r w:rsidRPr="003D76AE">
        <w:rPr>
          <w:rFonts w:cstheme="minorHAnsi"/>
        </w:rPr>
        <w:fldChar w:fldCharType="separate"/>
      </w:r>
      <w:r w:rsidR="00971A76" w:rsidRPr="00971A76">
        <w:rPr>
          <w:rFonts w:ascii="Calibri" w:hAnsi="Calibri" w:cs="Calibri"/>
          <w:vertAlign w:val="superscript"/>
        </w:rPr>
        <w:t>36</w:t>
      </w:r>
      <w:r w:rsidRPr="003D76AE">
        <w:rPr>
          <w:rFonts w:cstheme="minorHAnsi"/>
        </w:rPr>
        <w:fldChar w:fldCharType="end"/>
      </w:r>
      <w:r w:rsidR="00A03519">
        <w:rPr>
          <w:rFonts w:cstheme="minorHAnsi"/>
        </w:rPr>
        <w:t xml:space="preserve"> (Tables 1.</w:t>
      </w:r>
      <w:r w:rsidR="00D95C11">
        <w:rPr>
          <w:rFonts w:cstheme="minorHAnsi"/>
        </w:rPr>
        <w:t>7</w:t>
      </w:r>
      <w:r w:rsidR="00A03519">
        <w:rPr>
          <w:rFonts w:cstheme="minorHAnsi"/>
        </w:rPr>
        <w:t xml:space="preserve"> and 1.</w:t>
      </w:r>
      <w:r w:rsidR="00D95C11">
        <w:rPr>
          <w:rFonts w:cstheme="minorHAnsi"/>
        </w:rPr>
        <w:t>8</w:t>
      </w:r>
      <w:r w:rsidR="00A03519">
        <w:rPr>
          <w:rFonts w:cstheme="minorHAnsi"/>
        </w:rPr>
        <w:t xml:space="preserve"> in the Supplementary Data file, respectively)</w:t>
      </w:r>
      <w:r w:rsidRPr="003D76AE">
        <w:rPr>
          <w:rFonts w:cstheme="minorHAnsi"/>
        </w:rPr>
        <w:t xml:space="preserve">. </w:t>
      </w:r>
      <w:r w:rsidR="005A1A0E" w:rsidRPr="003D76AE">
        <w:rPr>
          <w:rFonts w:ascii="Calibri" w:eastAsia="Calibri" w:hAnsi="Calibri" w:cs="Calibri"/>
        </w:rPr>
        <w:t xml:space="preserve">Although some experiments </w:t>
      </w:r>
      <w:r w:rsidR="004C35D4" w:rsidRPr="003D76AE">
        <w:rPr>
          <w:rFonts w:ascii="Calibri" w:eastAsia="Calibri" w:hAnsi="Calibri" w:cs="Calibri"/>
        </w:rPr>
        <w:t>simulati</w:t>
      </w:r>
      <w:r w:rsidR="00CC189E" w:rsidRPr="003D76AE">
        <w:rPr>
          <w:rFonts w:ascii="Calibri" w:eastAsia="Calibri" w:hAnsi="Calibri" w:cs="Calibri"/>
        </w:rPr>
        <w:t xml:space="preserve">ng inland enhanced weathering conditions </w:t>
      </w:r>
      <w:r w:rsidR="005A1A0E" w:rsidRPr="003D76AE">
        <w:rPr>
          <w:rFonts w:ascii="Calibri" w:eastAsia="Calibri" w:hAnsi="Calibri" w:cs="Calibri"/>
        </w:rPr>
        <w:t>found slower dissolution rates for certain elements</w:t>
      </w:r>
      <w:r w:rsidR="00850F76" w:rsidRPr="003D76AE">
        <w:rPr>
          <w:rFonts w:ascii="Calibri" w:eastAsia="Calibri" w:hAnsi="Calibri" w:cs="Calibri"/>
        </w:rPr>
        <w:t xml:space="preserve"> relative to the</w:t>
      </w:r>
      <w:r w:rsidR="00D4216F" w:rsidRPr="003D76AE">
        <w:rPr>
          <w:rFonts w:ascii="Calibri" w:eastAsia="Calibri" w:hAnsi="Calibri" w:cs="Calibri"/>
        </w:rPr>
        <w:t xml:space="preserve"> alkaline metals driving the CDR</w:t>
      </w:r>
      <w:r w:rsidR="005A1A0E" w:rsidRPr="003D76AE">
        <w:rPr>
          <w:rFonts w:ascii="Calibri" w:eastAsia="Calibri" w:hAnsi="Calibri" w:cs="Calibri"/>
        </w:rPr>
        <w:fldChar w:fldCharType="begin" w:fldLock="1"/>
      </w:r>
      <w:r w:rsidR="00971A76">
        <w:rPr>
          <w:rFonts w:ascii="Calibri" w:eastAsia="Calibri" w:hAnsi="Calibri" w:cs="Calibri"/>
        </w:rPr>
        <w:instrText xml:space="preserve"> ADDIN ZOTERO_ITEM CSL_CITATION {"citationID":"NJrUe3if","properties":{"formattedCitation":"\\super 36,37\\nosupersub{}","plainCitation":"36,37","noteIndex":0},"citationItems":[{"id":2521,"uris":["http://www.mendeley.com/documents/?uuid=eedbd0d4-db6f-425b-8ed4-5fd32ebf2386","http://zotero.org/users/14213812/items/GJBTTQWQ"],"itemData":{"id":2521,"type":"article-journal","abstract":"The weathering of silicates is a major control on atmospheric &lt;span classCombining double low line\"inline-formula\"&gt;CO2&lt;/span&gt; at geologic timescales. It was proposed to enhance this process to actively remove &lt;span classCombining double low line\"inline-formula\"&gt;CO2&lt;/span&gt; from the atmosphere. While there are some studies that propose and theoretically analyze the application of rock powder to agricultural land, results from field experiments are still scarce.","container-title":"Biogeosciences","DOI":"10.5194/bg-17-103-2020","ISSN":"17264189","issue":"1","page":"103-119","title":"Enhanced Weathering and related element fluxes - A cropland mesocosm approach","volume":"17","author":[{"family":"Amann","given":"Thorben"},{"family":"Hartmann","given":"Jens"},{"family":"Struyf","given":"Eric"},{"family":"De Oliveira Garcia","given":"Wagner"},{"family":"Fischer","given":"Elke K."},{"family":"Janssens","given":"Ivan"},{"family":"Meire","given":"Patrick"},{"family":"Schoelynck","given":"Jonas"}],"issued":{"date-parts":[["2020"]]}}},{"id":2713,"uris":["http://www.mendeley.com/documents/?uuid=7edb158e-fb8c-4f56-a343-62b3b7949511","http://zotero.org/users/14213812/items/4277QQFS"],"itemData":{"id":2713,"type":"article-journal","container-title":"Applied Geochemistry","DOI":"10.1016/j.apgeochem.2022.105482","ISSN":"08832927","issue":"July","note":"publisher: Elsevier Ltd","page":"105482","title":"Soil core study indicates limited CO2 removal by enhanced weathering in dry croplands in the UK","volume":"147","author":[{"family":"Buckingham","given":"F."},{"family":"Henderson","given":"G.M."},{"family":"Holdship","given":"P."},{"family":"Renforth","given":"P."}],"issued":{"date-parts":[["2022"]]}}}],"schema":"https://github.com/citation-style-language/schema/raw/master/csl-citation.json"} </w:instrText>
      </w:r>
      <w:r w:rsidR="005A1A0E" w:rsidRPr="003D76AE">
        <w:rPr>
          <w:rFonts w:ascii="Calibri" w:eastAsia="Calibri" w:hAnsi="Calibri" w:cs="Calibri"/>
        </w:rPr>
        <w:fldChar w:fldCharType="separate"/>
      </w:r>
      <w:r w:rsidR="00971A76" w:rsidRPr="00971A76">
        <w:rPr>
          <w:rFonts w:ascii="Calibri" w:hAnsi="Calibri" w:cs="Calibri"/>
          <w:vertAlign w:val="superscript"/>
        </w:rPr>
        <w:t>36,37</w:t>
      </w:r>
      <w:r w:rsidR="005A1A0E" w:rsidRPr="003D76AE">
        <w:rPr>
          <w:rFonts w:ascii="Calibri" w:eastAsia="Calibri" w:hAnsi="Calibri" w:cs="Calibri"/>
        </w:rPr>
        <w:fldChar w:fldCharType="end"/>
      </w:r>
      <w:r w:rsidR="005A1A0E" w:rsidRPr="003D76AE">
        <w:rPr>
          <w:rFonts w:ascii="Calibri" w:eastAsia="Calibri" w:hAnsi="Calibri" w:cs="Calibri"/>
        </w:rPr>
        <w:t>, they did not quantify the accumulation of metals in the soil surface, which could be substantial</w:t>
      </w:r>
      <w:r w:rsidR="005A1A0E" w:rsidRPr="003D76AE">
        <w:rPr>
          <w:rFonts w:ascii="Calibri" w:eastAsia="Calibri" w:hAnsi="Calibri" w:cs="Calibri"/>
        </w:rPr>
        <w:fldChar w:fldCharType="begin" w:fldLock="1"/>
      </w:r>
      <w:r w:rsidR="00971A76">
        <w:rPr>
          <w:rFonts w:ascii="Calibri" w:eastAsia="Calibri" w:hAnsi="Calibri" w:cs="Calibri"/>
        </w:rPr>
        <w:instrText xml:space="preserve"> ADDIN ZOTERO_ITEM CSL_CITATION {"citationID":"VtskFBEs","properties":{"formattedCitation":"\\super 43\\nosupersub{}","plainCitation":"43","noteIndex":0},"citationItems":[{"id":2705,"uris":["http://www.mendeley.com/documents/?uuid=8474ed98-53df-4dfa-93db-438b5314f097","http://zotero.org/users/14213812/items/Y8TWZU62"],"itemData":{"id":2705,"type":"article-journal","abstract":"Land-based enhanced rock weathering (ERW) is a biogeochemical carbon dioxide removal (CDR) strategy aiming to accelerate natural geological processes of carbon sequestration through application of crushed silicate rocks, such as basalt, to croplands and forested landscapes. However, the efficacy of the approach when undertaken with basalt, and its potential co-benefits for agriculture, require experimental and field evaluation. Here we report that amending a UK clay-loam agricultural soil with a high loading (10 kg/m2) of relatively coarse-grained crushed basalt significantly increased the yield (21 ± 9.4%, SE) of the important C4 cereal Sorghum bicolor under controlled environmental conditions, without accumulation of potentially toxic trace elements in the seeds. Yield increases resulted from the basalt treatment after 120 days without P- and K-fertilizer addition. Shoot silicon concentrations also increased significantly (26 ± 5.4%, SE), with potential benefits for crop resistance to biotic and abiotic stress. Elemental budgets indicate substantial release of base cations important for inorganic carbon removal and their accumulation mainly in the soil exchangeable pools. Geochemical reactive transport modelling, constrained by elemental budgets, indicated CO2 sequestration rates of 2–4 t CO2/ha, 1–5 years after a single application of basaltic rock dust, including via newly formed soil carbonate minerals whose long-term fate requires assessment through field trials. This represents an approximately fourfold increase in carbon capture compared to control plant–soil systems without basalt. Our results build support for ERW deployment as a CDR technique compatible with spreading basalt powder on acidic loamy soils common across millions of hectares of western European and North American agriculture.","container-title":"Global Change Biology","ISSN":"13652486","issue":"6","note":"PMID: 32314496","page":"3658-3676","title":"Increased yield and CO2 sequestration potential with the C4 cereal Sorghum bicolor cultivated in basaltic rock dust-amended agricultural soil","volume":"26","author":[{"family":"Kelland","given":"Mike E."},{"family":"Wade","given":"Peter W."},{"family":"Lewis","given":"Amy L."},{"family":"Taylor","given":"Lyla L."},{"family":"Sarkar","given":"Binoy"},{"family":"Andrews","given":"M. Grace"},{"family":"Lomas","given":"Mark R."},{"family":"Cotton","given":"T. E.Anne"},{"family":"Kemp","given":"Simon J."},{"family":"James","given":"Rachael H."},{"family":"Pearce","given":"Christopher R."},{"family":"Hartley","given":"Sue E."},{"family":"Hodson","given":"Mark E."},{"family":"Leake","given":"Jonathan R."},{"family":"Banwart","given":"Steven A."},{"family":"Beerling","given":"David J."}],"issued":{"date-parts":[["2020"]]}}}],"schema":"https://github.com/citation-style-language/schema/raw/master/csl-citation.json"} </w:instrText>
      </w:r>
      <w:r w:rsidR="005A1A0E" w:rsidRPr="003D76AE">
        <w:rPr>
          <w:rFonts w:ascii="Calibri" w:eastAsia="Calibri" w:hAnsi="Calibri" w:cs="Calibri"/>
        </w:rPr>
        <w:fldChar w:fldCharType="separate"/>
      </w:r>
      <w:r w:rsidR="00971A76" w:rsidRPr="00971A76">
        <w:rPr>
          <w:rFonts w:ascii="Calibri" w:hAnsi="Calibri" w:cs="Calibri"/>
          <w:vertAlign w:val="superscript"/>
        </w:rPr>
        <w:t>43</w:t>
      </w:r>
      <w:r w:rsidR="005A1A0E" w:rsidRPr="003D76AE">
        <w:rPr>
          <w:rFonts w:ascii="Calibri" w:eastAsia="Calibri" w:hAnsi="Calibri" w:cs="Calibri"/>
        </w:rPr>
        <w:fldChar w:fldCharType="end"/>
      </w:r>
      <w:r w:rsidR="005A1A0E" w:rsidRPr="003D76AE">
        <w:rPr>
          <w:rFonts w:ascii="Calibri" w:eastAsia="Calibri" w:hAnsi="Calibri" w:cs="Calibri"/>
        </w:rPr>
        <w:t xml:space="preserve">. Furthermore, metals can potentially </w:t>
      </w:r>
      <w:r w:rsidR="00415EF8" w:rsidRPr="003D76AE">
        <w:rPr>
          <w:rFonts w:ascii="Calibri" w:eastAsia="Calibri" w:hAnsi="Calibri" w:cs="Calibri"/>
        </w:rPr>
        <w:t xml:space="preserve">be </w:t>
      </w:r>
      <w:r w:rsidR="005A1A0E" w:rsidRPr="003D76AE">
        <w:rPr>
          <w:rFonts w:ascii="Calibri" w:eastAsia="Calibri" w:hAnsi="Calibri" w:cs="Calibri"/>
        </w:rPr>
        <w:t>released due to changes in the soil pH or redox conditions</w:t>
      </w:r>
      <w:r w:rsidR="005A1A0E" w:rsidRPr="003D76AE">
        <w:rPr>
          <w:rFonts w:ascii="Calibri" w:eastAsia="Calibri" w:hAnsi="Calibri" w:cs="Calibri"/>
        </w:rPr>
        <w:fldChar w:fldCharType="begin" w:fldLock="1"/>
      </w:r>
      <w:r w:rsidR="00971A76">
        <w:rPr>
          <w:rFonts w:ascii="Calibri" w:eastAsia="Calibri" w:hAnsi="Calibri" w:cs="Calibri"/>
        </w:rPr>
        <w:instrText xml:space="preserve"> ADDIN ZOTERO_ITEM CSL_CITATION {"citationID":"NM7g9czT","properties":{"formattedCitation":"\\super 44,45\\nosupersub{}","plainCitation":"44,45","noteIndex":0},"citationItems":[{"id":2829,"uris":["http://www.mendeley.com/documents/?uuid=82685ec6-2c7a-461c-8c2d-661b2bd40961","http://zotero.org/users/14213812/items/UKAX9ZAB"],"itemData":{"id":2829,"type":"chapter","abstract":"Given that less than 10% of family owned businesses (FOBs) survive into the third generation, the issue of top executive succession has received a good deal of attention. Unfortunately, the literature on the topic is fragmented, as it deals with different parts of the elephant. This synthetic effort tries to put together the pieces to (1) derive a more encompassing model of what it takes for a succession to succeed, (2) determine the trends, consensus findings, as well as the gaps in our conceptual and empirical knowledge, and (3) suggest areas for further research.","container-title":"Biogeodynamics of Pollutants in Soils and Sediments","note":"DOI: 10.1007/978-3-642-79418-6_4\nissue: Stigliani 1993","page":"87-102","title":"Mobilization of Heavy Metals as Affected by pH and Redox Conditions","author":[{"family":"Bourg","given":"A. C. M."},{"family":"Loch","given":"J. P. G."}],"issued":{"date-parts":[["1995"]]}}},{"id":2831,"uris":["http://www.mendeley.com/documents/?uuid=9d087d09-edc8-470a-b99e-104d699b4f9f","http://www.mendeley.com/documents/?uuid=c22e8c1b-39af-48f8-bdfe-a4206805cc7a","http://zotero.org/users/14213812/items/WNN3NXGX"],"itemData":{"id":2831,"type":"article-journal","abstract":"The role of ultramafic rock weathering in global chromium (Cr) budgets and how these may be linked to changes in Earth's climate over geological time was investigated by compiling dissolved Cr speciation and fluxes in (i) 73 of the worlds large rivers, representing ~35% of global river discharge to oceans, and in (ii) an ultramafic catchment (Putah Creek watershed) in the California Coast Range Mountains, USA. Weathering of ultramafic rocks creates ideal conditions for Cr release and redox cycling. Alkaline river water draining ultramafic catchments is naturally enriched in Cr (up to 582 nmol/L). Chromium concentrations increase with the extent of rock-water interaction (as indicated by correlations with Mg and HCO3- concentrations and pH), whereas Cr cycling depends on the availability of electron donors and acceptors (e.g. Fe(II), organics, Mn(III/IV)-oxides). Thus, dissolved Cr is exported from ultramafic watersheds as both the soluble hexavalent Cr(VI) species (MgCrO4, CrO42-), and also as trivalent Cr(III) species (CrOH(CO3)22-), Cr(OH)3). The latter Cr(III) species were previously thought to have low solubility. Ultramafic catchments have higher area normalized Cr and major ion fluxes for a given runoff when compared to global rivers and may thus have a disproportional impact on global Cr-budgets, long-term carbon cycling and moderation of the Earth's climate over million-year timescales. Riverine export fluxes of Cr are linearly correlated with fluxes of Ca + Mg and alkalinity in both ultramafic catchments and global rivers. This suggests that silicate weathering is a key control on Cr fluxes and that major element weathering fluxes may be a useful proxy for estimating Cr and other trace element fluxes. Globally, present-day riverine dissolved Cr fluxes to oceans are spatially variable and estimated to be 1.7 × 109 mol/yr, three times higher than previously reported. However, when geochemical reactions in estuaries are considered riverine Cr fluxes may be lower. Throughout Earth history, Cr weathering fluxes also may have varied with changes in the global distribution of ultramafic rocks, Cr concentrations in continental rocks, or climactic conditions (e.g. atmospheric CO2 levels or runoff). Such variation should be considered when interpreting both modern and past Cr seawater isotopic compositions and residence times.","container-title":"Chemical Geology","DOI":"10.1016/j.chemgeo.2016.01.021","ISSN":"00092541","page":"135-157","title":"Chromium fluxes and speciation in ultramafic catchments and global rivers","volume":"426","author":[{"family":"McClain","given":"C. N."},{"family":"Maher","given":"K."}],"issued":{"date-parts":[["2016"]]}}}],"schema":"https://github.com/citation-style-language/schema/raw/master/csl-citation.json"} </w:instrText>
      </w:r>
      <w:r w:rsidR="005A1A0E" w:rsidRPr="003D76AE">
        <w:rPr>
          <w:rFonts w:ascii="Calibri" w:eastAsia="Calibri" w:hAnsi="Calibri" w:cs="Calibri"/>
        </w:rPr>
        <w:fldChar w:fldCharType="separate"/>
      </w:r>
      <w:r w:rsidR="00971A76" w:rsidRPr="00971A76">
        <w:rPr>
          <w:rFonts w:ascii="Calibri" w:hAnsi="Calibri" w:cs="Calibri"/>
          <w:vertAlign w:val="superscript"/>
        </w:rPr>
        <w:t>44,45</w:t>
      </w:r>
      <w:r w:rsidR="005A1A0E" w:rsidRPr="003D76AE">
        <w:rPr>
          <w:rFonts w:ascii="Calibri" w:eastAsia="Calibri" w:hAnsi="Calibri" w:cs="Calibri"/>
        </w:rPr>
        <w:fldChar w:fldCharType="end"/>
      </w:r>
      <w:r w:rsidR="005A1A0E" w:rsidRPr="003D76AE">
        <w:rPr>
          <w:rFonts w:ascii="Calibri" w:eastAsia="Calibri" w:hAnsi="Calibri" w:cs="Calibri"/>
        </w:rPr>
        <w:t>, hard to control in an open field.</w:t>
      </w:r>
      <w:r w:rsidR="00B44C8C" w:rsidRPr="003D76AE">
        <w:rPr>
          <w:rFonts w:ascii="Calibri" w:eastAsia="Calibri" w:hAnsi="Calibri" w:cs="Calibri"/>
        </w:rPr>
        <w:t xml:space="preserve"> </w:t>
      </w:r>
      <w:r w:rsidR="00C01587" w:rsidRPr="003D76AE">
        <w:rPr>
          <w:rFonts w:ascii="Calibri" w:eastAsia="Calibri" w:hAnsi="Calibri" w:cs="Calibri"/>
        </w:rPr>
        <w:t>Th</w:t>
      </w:r>
      <w:r w:rsidR="00166651" w:rsidRPr="003D76AE">
        <w:rPr>
          <w:rFonts w:ascii="Calibri" w:eastAsia="Calibri" w:hAnsi="Calibri" w:cs="Calibri"/>
        </w:rPr>
        <w:t>us</w:t>
      </w:r>
      <w:r w:rsidR="00C01587" w:rsidRPr="003D76AE">
        <w:rPr>
          <w:rFonts w:ascii="Calibri" w:eastAsia="Calibri" w:hAnsi="Calibri" w:cs="Calibri"/>
        </w:rPr>
        <w:t xml:space="preserve">, </w:t>
      </w:r>
      <w:r w:rsidR="00166651" w:rsidRPr="003D76AE">
        <w:rPr>
          <w:rFonts w:ascii="Calibri" w:eastAsia="Calibri" w:hAnsi="Calibri" w:cs="Calibri"/>
        </w:rPr>
        <w:t xml:space="preserve">we </w:t>
      </w:r>
      <w:r w:rsidR="003C4CA2" w:rsidRPr="003D76AE">
        <w:rPr>
          <w:rFonts w:ascii="Calibri" w:eastAsia="Calibri" w:hAnsi="Calibri" w:cs="Calibri"/>
        </w:rPr>
        <w:t>assumed</w:t>
      </w:r>
      <w:r w:rsidR="00166651" w:rsidRPr="003D76AE">
        <w:rPr>
          <w:rFonts w:ascii="Calibri" w:eastAsia="Calibri" w:hAnsi="Calibri" w:cs="Calibri"/>
        </w:rPr>
        <w:t xml:space="preserve"> that all the elements in the rock </w:t>
      </w:r>
      <w:r w:rsidR="00DD3D70">
        <w:rPr>
          <w:rFonts w:ascii="Calibri" w:eastAsia="Calibri" w:hAnsi="Calibri" w:cs="Calibri"/>
        </w:rPr>
        <w:t xml:space="preserve">are </w:t>
      </w:r>
      <w:r w:rsidR="00166651" w:rsidRPr="003D76AE">
        <w:rPr>
          <w:rFonts w:ascii="Calibri" w:eastAsia="Calibri" w:hAnsi="Calibri" w:cs="Calibri"/>
        </w:rPr>
        <w:t>dissolve</w:t>
      </w:r>
      <w:r w:rsidR="00DD3D70">
        <w:rPr>
          <w:rFonts w:ascii="Calibri" w:eastAsia="Calibri" w:hAnsi="Calibri" w:cs="Calibri"/>
        </w:rPr>
        <w:t>d</w:t>
      </w:r>
      <w:r w:rsidR="00166651" w:rsidRPr="003D76AE">
        <w:rPr>
          <w:rFonts w:ascii="Calibri" w:eastAsia="Calibri" w:hAnsi="Calibri" w:cs="Calibri"/>
        </w:rPr>
        <w:t xml:space="preserve"> at the same rate as the alkaline metals</w:t>
      </w:r>
      <w:r w:rsidR="00D62CB6">
        <w:rPr>
          <w:rFonts w:ascii="Calibri" w:eastAsia="Calibri" w:hAnsi="Calibri" w:cs="Calibri"/>
        </w:rPr>
        <w:t xml:space="preserve">, and </w:t>
      </w:r>
      <w:r w:rsidR="00D62CB6">
        <w:rPr>
          <w:rFonts w:cstheme="minorHAnsi"/>
        </w:rPr>
        <w:t>allocate the impacts of the elementary flows occurring on a given year to that year’s CDR</w:t>
      </w:r>
      <w:r w:rsidR="00E34BFB">
        <w:rPr>
          <w:rFonts w:cstheme="minorHAnsi"/>
        </w:rPr>
        <w:t>.</w:t>
      </w:r>
    </w:p>
    <w:p w14:paraId="7A691305" w14:textId="544370B3" w:rsidR="00003A41" w:rsidRPr="003D76AE" w:rsidRDefault="00FB145F" w:rsidP="00396706">
      <w:pPr>
        <w:spacing w:line="360" w:lineRule="auto"/>
        <w:jc w:val="both"/>
      </w:pPr>
      <w:r w:rsidRPr="003D76AE">
        <w:t>On the other hand, w</w:t>
      </w:r>
      <w:r w:rsidR="00DB67E1" w:rsidRPr="003D76AE">
        <w:t xml:space="preserve">e </w:t>
      </w:r>
      <w:r w:rsidRPr="003D76AE">
        <w:t>consider</w:t>
      </w:r>
      <w:r w:rsidR="00DB67E1" w:rsidRPr="003D76AE">
        <w:t xml:space="preserve"> that the release of </w:t>
      </w:r>
      <w:r w:rsidR="00416F3A" w:rsidRPr="003D76AE">
        <w:t>phosphorus</w:t>
      </w:r>
      <w:r w:rsidR="009B5DEA" w:rsidRPr="003D76AE">
        <w:t xml:space="preserve"> </w:t>
      </w:r>
      <w:r w:rsidR="00092CB4" w:rsidRPr="003D76AE">
        <w:t>contributes to biomass fertilization, and therefore</w:t>
      </w:r>
      <w:r w:rsidR="004E06DA">
        <w:t>, when rocks are applied to croplands, it</w:t>
      </w:r>
      <w:r w:rsidR="00DB67E1" w:rsidRPr="003D76AE">
        <w:t xml:space="preserve"> </w:t>
      </w:r>
      <w:r w:rsidR="009E59D3" w:rsidRPr="003D76AE">
        <w:t>prevents</w:t>
      </w:r>
      <w:r w:rsidR="00DB67E1" w:rsidRPr="003D76AE">
        <w:t xml:space="preserve"> the</w:t>
      </w:r>
      <w:r w:rsidR="00A96EAD" w:rsidRPr="003D76AE">
        <w:t xml:space="preserve"> production </w:t>
      </w:r>
      <w:r w:rsidR="006E5532" w:rsidRPr="003D76AE">
        <w:t>of an equivalent amount of</w:t>
      </w:r>
      <w:r w:rsidR="00DB67E1" w:rsidRPr="003D76AE">
        <w:t xml:space="preserve"> </w:t>
      </w:r>
      <w:r w:rsidR="001011D2" w:rsidRPr="003D76AE">
        <w:t xml:space="preserve">phosphate </w:t>
      </w:r>
      <w:r w:rsidR="00DB67E1" w:rsidRPr="003D76AE">
        <w:t>industrial fertilizers</w:t>
      </w:r>
      <w:r w:rsidR="006E5532" w:rsidRPr="003D76AE">
        <w:t>.</w:t>
      </w:r>
      <w:r w:rsidR="009C3956" w:rsidRPr="003D76AE">
        <w:t xml:space="preserve"> </w:t>
      </w:r>
      <w:r w:rsidR="00914384" w:rsidRPr="003D76AE">
        <w:t xml:space="preserve">Our model does not account for the </w:t>
      </w:r>
      <w:r w:rsidR="00914384" w:rsidRPr="004D43F9">
        <w:t xml:space="preserve">potential implications of concurrently applying nitrogen fertilizers </w:t>
      </w:r>
      <w:r w:rsidR="00387060" w:rsidRPr="004D43F9">
        <w:t>and</w:t>
      </w:r>
      <w:r w:rsidR="00914384" w:rsidRPr="004D43F9">
        <w:t xml:space="preserve"> rock particles</w:t>
      </w:r>
      <w:r w:rsidR="00387060" w:rsidRPr="004D43F9">
        <w:t xml:space="preserve"> to the soil</w:t>
      </w:r>
      <w:r w:rsidR="00C17617" w:rsidRPr="004D43F9">
        <w:t>;</w:t>
      </w:r>
      <w:r w:rsidR="00914384" w:rsidRPr="004D43F9">
        <w:t xml:space="preserve"> </w:t>
      </w:r>
      <w:r w:rsidR="003B42E1" w:rsidRPr="004D43F9">
        <w:t xml:space="preserve">while </w:t>
      </w:r>
      <w:r w:rsidR="00914384" w:rsidRPr="004D43F9">
        <w:t>the latter could partially abate the fertilizer-derived N</w:t>
      </w:r>
      <w:r w:rsidR="00914384" w:rsidRPr="004D43F9">
        <w:rPr>
          <w:vertAlign w:val="subscript"/>
        </w:rPr>
        <w:t>2</w:t>
      </w:r>
      <w:r w:rsidR="00914384" w:rsidRPr="004D43F9">
        <w:t>O</w:t>
      </w:r>
      <w:r w:rsidR="009C3956" w:rsidRPr="004D43F9">
        <w:t xml:space="preserve"> </w:t>
      </w:r>
      <w:r w:rsidR="00914384" w:rsidRPr="004D43F9">
        <w:t>emission</w:t>
      </w:r>
      <w:r w:rsidR="00914384" w:rsidRPr="00CB76A7">
        <w:t xml:space="preserve">s, </w:t>
      </w:r>
      <w:r w:rsidR="00914384" w:rsidRPr="00CB76A7">
        <w:rPr>
          <w:rFonts w:ascii="Calibri" w:eastAsia="Calibri" w:hAnsi="Calibri" w:cs="Calibri"/>
        </w:rPr>
        <w:t>the weathering could be driven by HNO</w:t>
      </w:r>
      <w:r w:rsidR="00914384" w:rsidRPr="00CB76A7">
        <w:rPr>
          <w:rFonts w:ascii="Calibri" w:eastAsia="Calibri" w:hAnsi="Calibri" w:cs="Calibri"/>
          <w:vertAlign w:val="subscript"/>
        </w:rPr>
        <w:t>3</w:t>
      </w:r>
      <w:r w:rsidR="00914384" w:rsidRPr="00CB76A7">
        <w:rPr>
          <w:rFonts w:ascii="Calibri" w:eastAsia="Calibri" w:hAnsi="Calibri" w:cs="Calibri"/>
        </w:rPr>
        <w:t xml:space="preserve"> instead of the dissolved CO</w:t>
      </w:r>
      <w:r w:rsidR="00914384" w:rsidRPr="00CB76A7">
        <w:rPr>
          <w:rFonts w:ascii="Calibri" w:eastAsia="Calibri" w:hAnsi="Calibri" w:cs="Calibri"/>
          <w:vertAlign w:val="subscript"/>
        </w:rPr>
        <w:t>2</w:t>
      </w:r>
      <w:r w:rsidR="00914384" w:rsidRPr="00CB76A7">
        <w:rPr>
          <w:rFonts w:ascii="Calibri" w:eastAsia="Calibri" w:hAnsi="Calibri" w:cs="Calibri"/>
        </w:rPr>
        <w:t>, undermining the CDR efficiency</w:t>
      </w:r>
      <w:r w:rsidR="00707AAF" w:rsidRPr="00CB76A7">
        <w:rPr>
          <w:rFonts w:ascii="Calibri" w:eastAsia="Calibri" w:hAnsi="Calibri" w:cs="Calibri"/>
        </w:rPr>
        <w:fldChar w:fldCharType="begin" w:fldLock="1"/>
      </w:r>
      <w:r w:rsidR="00B4317C">
        <w:rPr>
          <w:rFonts w:ascii="Calibri" w:eastAsia="Calibri" w:hAnsi="Calibri" w:cs="Calibri"/>
        </w:rPr>
        <w:instrText xml:space="preserve"> ADDIN ZOTERO_ITEM CSL_CITATION {"citationID":"CemOQSFl","properties":{"formattedCitation":"\\super 46,47\\nosupersub{}","plainCitation":"46,47","noteIndex":0},"citationItems":[{"id":1257,"uris":["http://www.mendeley.com/documents/?uuid=7d00fdc9-de00-45fc-9a17-bf00a71dc4dd","http://zotero.org/users/14213812/items/X8KXIH3W"],"itemData":{"id":1257,"type":"article-journal","abstract":"Chemical weathering is an integral part of both the rock and carbon cycles and is being affected by changes in land use, particularly as a result of agricultural practices such as tilling, mineral fertilization, or liming to adjust soil pH. These human activities have already altered the terrestrial chemical cycles and land-ocean flux of major elements, although the extent remains difficult to quantify. When deployed on a grand scale, Enhanced Weathering (a form of mineral fertilization), the application of finely ground minerals over the land surface, could be used to remove CO&lt;inf&gt;2&lt;/inf&gt; from the atmosphere. The release of cations during the dissolution of such silicate minerals would convert dissolved CO&lt;inf&gt;2&lt;/inf&gt; to bicarbonate, increasing the alkalinity and pH of natural waters. Some products of mineral dissolution would precipitate in soils or be taken up by ecosystems, but a significant portion would be transported to the coastal zone and the open ocean, where the increase in alkalinity would partially counteract \"ocean acidification\" associated with the current marked increase in atmospheric CO&lt;inf&gt;2&lt;/inf&gt;. Other elements released during this mineral dissolution, like Si, P, or K, could stimulate biological productivity, further helping to remove CO&lt;inf&gt;2&lt;/inf&gt; from the atmosphere. On land, the terrestrial carbon pool would likely increase in response to Enhanced Weathering in areas where ecosystem growth rates are currently limited by one of the nutrients that would be released during mineral dissolution. In the ocean, the biological carbon pumps (which export organic matter and CaCO&lt;inf&gt;3&lt;/inf&gt; to the deep ocean) may be altered by the resulting influx of nutrients and alkalinity to the ocean. This review merges current interdisciplinary knowledge about Enhanced Weathering, the processes involved, and the applicability as well as some of the consequences and risks of applying the method. Key Points Enhanced Weathering impacts the C-cycle, NPP and ocean acidity Enhanced Weathering alters besides the C-cycle further nutrient cycles The rock for crop concept is already applied as Enhanced Weathering © 2013. American Geophysical Union. All Rights Reserved.","container-title":"Reviews of Geophysics","DOI":"10.1002/rog.20004","ISSN":"19449208","issue":"2","page":"113-149","title":"Enhanced chemical weathering as a geoengineering strategy to reduce atmospheric carbon dioxide, supply nutrients, and mitigate ocean acidification","volume":"51","author":[{"family":"Hartmann","given":"Jens"},{"family":"West","given":"A. Joshua"},{"family":"Renforth","given":"Phil"},{"family":"Köhler","given":"Peter"},{"family":"De La Rocha","given":"Christina L."},{"family":"Wolf-Gladrow","given":"Dieter A."},{"family":"Dürr","given":"Hans H."},{"family":"Scheffran","given":"Jürgen"}],"issued":{"date-parts":[["2013"]]}}},{"id":"z2fanENt/u0X9OeiI","uris":["http://www.mendeley.com/documents/?uuid=3c3c3141-2e35-4637-98f6-d6848bb391a7"],"itemData":{"DOI":"10.1016/j.scitotenv.2024.176568","ISSN":"18791026","PMID":"39389132","abstract":"Enhanced weathering (EW) of silicate rocks such as basalt provides a potential carbon dioxide removal (CDR) technology for combatting climate change. Modelling and mesocosm studies suggest significant CDR via EW but there are few field studies. This study aimed to directly measure in-field CDR via EW of basalt applied to sugarcane on acidic (pH 5.8, 0–0.25 m) Ultisol in tropical northeastern Australia, where weathering potential is high. Coarsely crushed basalt produced as a byproduct of gravel manufacture (&lt;5 mm) was applied annually from 2018 to 2022 at 0 or 50 t ha−1 a−1, incorporated into the soil in 2018 but not in subsequent years. Measurements in 2022 show increased soil pH and extractable Mg and Si at 0–0.25 m depth, indicating significant weathering of the basalt, but showed no increase in crop yield. Soil inorganic carbon content and bicarbonate (HCO3−) flux to deep drainage (1.25 m depth) were measured to quantify CDR in the 2022–2023 wet season (i.e. one year). Soil inorganic carbon was below detection limits. Mean HCO3− flux was 3.15 kmol ha−1 a−1 (±0.40) in the basalt-treated plots and 2.56 kmol ha−1 a−1 (±0.18) in the untreated plots but the difference (0.59 kmol ha−1 a−1 or 0.026 t CO2 ha−1 a−1) was not significant (p = 0.082). Most weathering of the basalt was attributed to acids stronger than carbonic acid. These were, in decreasing order of contribution, surface-bound protons (inherent soil acidity), nitric acid (from nitrification), organic acids, and acids associated with cation uptake by plants. These results indicate in-field CDR via EW of basalt is low where soil and regolith pH is well below the pKa1 of 6.4 for H2CO3. However, increased soil pH, and the consumption of strong acids by weathering will eventually lead to reduced CO2 emission from soil or evasion from rivers, with continued basalt addition.","author":[{"dropping-particle":"","family":"Holden","given":"Fredrick J.","non-dropping-particle":"","parse-names":false,"suffix":""},{"dropping-particle":"","family":"Davies","given":"Kalu","non-dropping-particle":"","parse-names":false,"suffix":""},{"dropping-particle":"","family":"Bird","given":"Michael I.","non-dropping-particle":"","parse-names":false,"suffix":""},{"dropping-particle":"","family":"Hume","given":"Ruby","non-dropping-particle":"","parse-names":false,"suffix":""},{"dropping-particle":"","family":"Green","given":"Hannah","non-dropping-particle":"","parse-names":false,"suffix":""},{"dropping-particle":"","family":"Beerling","given":"David J.","non-dropping-particle":"","parse-names":false,"suffix":""},{"dropping-particle":"","family":"Nelson","given":"Paul N.","non-dropping-particle":"","parse-names":false,"suffix":""}],"container-title":"Science of the Total Environment","id":"ITEM-2","issue":"September","issued":{"date-parts":[["2024"]]},"page":"176568","publisher":"Elsevier B.V.","title":"In-field carbon dioxide removal via weathering of crushed basalt applied to acidic tropical agricultural soil","type":"article-journal","volume":"955"}}],"schema":"https://github.com/citation-style-language/schema/raw/master/csl-citation.json"} </w:instrText>
      </w:r>
      <w:r w:rsidR="00707AAF" w:rsidRPr="00CB76A7">
        <w:rPr>
          <w:rFonts w:ascii="Calibri" w:eastAsia="Calibri" w:hAnsi="Calibri" w:cs="Calibri"/>
        </w:rPr>
        <w:fldChar w:fldCharType="separate"/>
      </w:r>
      <w:r w:rsidR="00971A76" w:rsidRPr="00971A76">
        <w:rPr>
          <w:rFonts w:ascii="Calibri" w:hAnsi="Calibri" w:cs="Calibri"/>
          <w:vertAlign w:val="superscript"/>
        </w:rPr>
        <w:t>46,47</w:t>
      </w:r>
      <w:r w:rsidR="00707AAF" w:rsidRPr="00CB76A7">
        <w:rPr>
          <w:rFonts w:ascii="Calibri" w:eastAsia="Calibri" w:hAnsi="Calibri" w:cs="Calibri"/>
        </w:rPr>
        <w:fldChar w:fldCharType="end"/>
      </w:r>
      <w:r w:rsidR="00914384" w:rsidRPr="00CB76A7">
        <w:rPr>
          <w:rFonts w:ascii="Calibri" w:eastAsia="Calibri" w:hAnsi="Calibri" w:cs="Calibri"/>
        </w:rPr>
        <w:t>.</w:t>
      </w:r>
      <w:r w:rsidR="00914384" w:rsidRPr="003D76AE">
        <w:rPr>
          <w:rFonts w:ascii="Calibri" w:eastAsia="Calibri" w:hAnsi="Calibri" w:cs="Calibri"/>
        </w:rPr>
        <w:t xml:space="preserve"> </w:t>
      </w:r>
      <w:r w:rsidR="002D1224">
        <w:rPr>
          <w:rFonts w:ascii="Calibri" w:eastAsia="Calibri" w:hAnsi="Calibri" w:cs="Calibri"/>
        </w:rPr>
        <w:lastRenderedPageBreak/>
        <w:t>Furthermore</w:t>
      </w:r>
      <w:r w:rsidR="006938FF">
        <w:rPr>
          <w:rFonts w:ascii="Calibri" w:eastAsia="Calibri" w:hAnsi="Calibri" w:cs="Calibri"/>
        </w:rPr>
        <w:t xml:space="preserve">, </w:t>
      </w:r>
      <w:r w:rsidR="00A404BE">
        <w:rPr>
          <w:rFonts w:ascii="Calibri" w:eastAsia="Calibri" w:hAnsi="Calibri" w:cs="Calibri"/>
        </w:rPr>
        <w:t xml:space="preserve">enhanced weathering could </w:t>
      </w:r>
      <w:r w:rsidR="0080028D">
        <w:rPr>
          <w:rFonts w:ascii="Calibri" w:eastAsia="Calibri" w:hAnsi="Calibri" w:cs="Calibri"/>
        </w:rPr>
        <w:t>lead to CDR through</w:t>
      </w:r>
      <w:r w:rsidR="00A404BE">
        <w:rPr>
          <w:rFonts w:ascii="Calibri" w:eastAsia="Calibri" w:hAnsi="Calibri" w:cs="Calibri"/>
        </w:rPr>
        <w:t xml:space="preserve"> </w:t>
      </w:r>
      <w:r w:rsidR="00593953">
        <w:rPr>
          <w:rFonts w:ascii="Calibri" w:eastAsia="Calibri" w:hAnsi="Calibri" w:cs="Calibri"/>
        </w:rPr>
        <w:t>an increase in soil organic carbon</w:t>
      </w:r>
      <w:r w:rsidR="002169B4">
        <w:rPr>
          <w:rFonts w:ascii="Calibri" w:eastAsia="Calibri" w:hAnsi="Calibri" w:cs="Calibri"/>
        </w:rPr>
        <w:t>, which we did not quantify here</w:t>
      </w:r>
      <w:r w:rsidR="003D01DA">
        <w:rPr>
          <w:rFonts w:ascii="Calibri" w:eastAsia="Calibri" w:hAnsi="Calibri" w:cs="Calibri"/>
        </w:rPr>
        <w:fldChar w:fldCharType="begin" w:fldLock="1"/>
      </w:r>
      <w:r w:rsidR="00B4317C">
        <w:rPr>
          <w:rFonts w:ascii="Calibri" w:eastAsia="Calibri" w:hAnsi="Calibri" w:cs="Calibri"/>
        </w:rPr>
        <w:instrText xml:space="preserve"> ADDIN ZOTERO_ITEM CSL_CITATION {"citationID":"ZTqTvpHQ","properties":{"formattedCitation":"\\super 48\\nosupersub{}","plainCitation":"48","noteIndex":0},"citationItems":[{"id":"z2fanENt/LOlZ8M7Y","uris":["http://www.mendeley.com/documents/?uuid=4b9e94f5-68d3-4242-9ebc-118df60d59e2"],"itemData":{"DOI":"10.1111/gcb.17464","ISSN":"13652486","abstract":"Enhanced silicate rock weathering (ERW) is an emerging strategy for carbon dioxide removal (CDR) from the atmosphere to mitigate anthropogenic climate change. ERW aims at promoting soil inorganic carbon sequestration by accelerating geochemical weathering processes. Theoretically, ERW may also impact soil organic carbon (SOC), the largest carbon pool in terrestrial ecosystems, but experimental evidence for this is largely lacking. Here, we conducted a 2-year field experiment in tropical rubber plantations in the southeast of China to evaluate the effects of wollastonite powder additions (0, 0.25, and 0.5 kg m−2) on both soil organic and inorganic carbon at 0–10 cm depth. We found that ERW significantly increased the concentration of SOC and HCO3−, but the increases in SOC were four and eight times higher than that of HCO3− with low- and high-level wollastonite applications. ERW had positive effects on the accrual of organic carbon in mineral-associated organic matter (MAOM) and macroaggregate fractions, but not on particulate organic matter. Path analysis suggested that ERW increased MAOM mainly by increasing the release of Ca, Si, and Fe, and to a lesser extent by stimulating root growth and microbial-derived carbon inputs. Our study indicates that ERW with wollastonite can promote SOC sequestration in stable MOAM in surface soils through both the soil mineral carbon pump and microbial carbon pump. These effects may have been larger than the inorganic CDR during our experiment. We argue it is essential to account for the responses of SOC in the assessments of CDR by ERW.","author":[{"dropping-particle":"","family":"Xu","given":"Tongtong","non-dropping-particle":"","parse-names":false,"suffix":""},{"dropping-particle":"","family":"Yuan","given":"Zuoqiang","non-dropping-particle":"","parse-names":false,"suffix":""},{"dropping-particle":"","family":"Vicca","given":"Sara","non-dropping-particle":"","parse-names":false,"suffix":""},{"dropping-particle":"","family":"Goll","given":"Daniel S.","non-dropping-particle":"","parse-names":false,"suffix":""},{"dropping-particle":"","family":"Li","given":"Guochen","non-dropping-particle":"","parse-names":false,"suffix":""},{"dropping-particle":"","family":"Lin","given":"Luxiang","non-dropping-particle":"","parse-names":false,"suffix":""},{"dropping-particle":"","family":"Chen","given":"Hui","non-dropping-particle":"","parse-names":false,"suffix":""},{"dropping-particle":"","family":"Bi","given":"Boyuan","non-dropping-particle":"","parse-names":false,"suffix":""},{"dropping-particle":"","family":"Chen","given":"Qiong","non-dropping-particle":"","parse-names":false,"suffix":""},{"dropping-particle":"","family":"Li","given":"Chenlu","non-dropping-particle":"","parse-names":false,"suffix":""},{"dropping-particle":"","family":"Wang","given":"Xing","non-dropping-particle":"","parse-names":false,"suffix":""},{"dropping-particle":"","family":"Wang","given":"Chao","non-dropping-particle":"","parse-names":false,"suffix":""},{"dropping-particle":"","family":"Hao","given":"Zhanqing","non-dropping-particle":"","parse-names":false,"suffix":""},{"dropping-particle":"","family":"Fang","given":"Yunting","non-dropping-particle":"","parse-names":false,"suffix":""},{"dropping-particle":"","family":"Beerling","given":"David J.","non-dropping-particle":"","parse-names":false,"suffix":""}],"container-title":"Global Change Biology","id":"ITEM-1","issue":"8","issued":{"date-parts":[["2024"]]},"page":"1-17","title":"Enhanced silicate weathering accelerates forest carbon sequestration by stimulating the soil mineral carbon pump","type":"article-journal","volume":"30"}}],"schema":"https://github.com/citation-style-language/schema/raw/master/csl-citation.json"} </w:instrText>
      </w:r>
      <w:r w:rsidR="003D01DA">
        <w:rPr>
          <w:rFonts w:ascii="Calibri" w:eastAsia="Calibri" w:hAnsi="Calibri" w:cs="Calibri"/>
        </w:rPr>
        <w:fldChar w:fldCharType="separate"/>
      </w:r>
      <w:r w:rsidR="00971A76" w:rsidRPr="00971A76">
        <w:rPr>
          <w:rFonts w:ascii="Calibri" w:hAnsi="Calibri" w:cs="Calibri"/>
          <w:vertAlign w:val="superscript"/>
        </w:rPr>
        <w:t>48</w:t>
      </w:r>
      <w:r w:rsidR="003D01DA">
        <w:rPr>
          <w:rFonts w:ascii="Calibri" w:eastAsia="Calibri" w:hAnsi="Calibri" w:cs="Calibri"/>
        </w:rPr>
        <w:fldChar w:fldCharType="end"/>
      </w:r>
      <w:r w:rsidR="003C5C97">
        <w:rPr>
          <w:rFonts w:ascii="Calibri" w:eastAsia="Calibri" w:hAnsi="Calibri" w:cs="Calibri"/>
        </w:rPr>
        <w:t>.</w:t>
      </w:r>
    </w:p>
    <w:p w14:paraId="6A79AAB1" w14:textId="51AC512A" w:rsidR="00AA540F" w:rsidRDefault="00656690" w:rsidP="00AA540F">
      <w:pPr>
        <w:spacing w:line="360" w:lineRule="auto"/>
        <w:jc w:val="both"/>
        <w:rPr>
          <w:rFonts w:cstheme="minorHAnsi"/>
        </w:rPr>
      </w:pPr>
      <w:r>
        <w:rPr>
          <w:rFonts w:cstheme="minorHAnsi"/>
        </w:rPr>
        <w:t>W</w:t>
      </w:r>
      <w:r w:rsidR="00AA540F" w:rsidRPr="003D76AE">
        <w:rPr>
          <w:rFonts w:cstheme="minorHAnsi"/>
        </w:rPr>
        <w:t xml:space="preserve">e estimated the electricity demand for the rock crushing and grinding operations using the correlation between the particle size and the energy consumption provided by </w:t>
      </w:r>
      <w:proofErr w:type="spellStart"/>
      <w:r w:rsidR="00AA540F" w:rsidRPr="003D76AE">
        <w:rPr>
          <w:rFonts w:cstheme="minorHAnsi"/>
        </w:rPr>
        <w:t>Strefler</w:t>
      </w:r>
      <w:proofErr w:type="spellEnd"/>
      <w:r w:rsidR="00AA540F" w:rsidRPr="003D76AE">
        <w:rPr>
          <w:rFonts w:cstheme="minorHAnsi"/>
        </w:rPr>
        <w:t xml:space="preserve"> et al.</w:t>
      </w:r>
      <w:r w:rsidR="00AA540F" w:rsidRPr="003D76AE">
        <w:rPr>
          <w:rFonts w:cstheme="minorHAnsi"/>
        </w:rPr>
        <w:fldChar w:fldCharType="begin" w:fldLock="1"/>
      </w:r>
      <w:r w:rsidR="00971A76">
        <w:rPr>
          <w:rFonts w:cstheme="minorHAnsi"/>
        </w:rPr>
        <w:instrText xml:space="preserve"> ADDIN ZOTERO_ITEM CSL_CITATION {"citationID":"eZTteM7Z","properties":{"formattedCitation":"\\super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AA540F" w:rsidRPr="003D76AE">
        <w:rPr>
          <w:rFonts w:cstheme="minorHAnsi"/>
        </w:rPr>
        <w:fldChar w:fldCharType="separate"/>
      </w:r>
      <w:r w:rsidR="00971A76" w:rsidRPr="00971A76">
        <w:rPr>
          <w:rFonts w:ascii="Calibri" w:hAnsi="Calibri" w:cs="Calibri"/>
          <w:vertAlign w:val="superscript"/>
        </w:rPr>
        <w:t>38</w:t>
      </w:r>
      <w:r w:rsidR="00AA540F" w:rsidRPr="003D76AE">
        <w:rPr>
          <w:rFonts w:cstheme="minorHAnsi"/>
        </w:rPr>
        <w:fldChar w:fldCharType="end"/>
      </w:r>
      <w:r w:rsidR="00AA540F" w:rsidRPr="003D76AE">
        <w:rPr>
          <w:rFonts w:cstheme="minorHAnsi"/>
        </w:rPr>
        <w:t>. Our inventories do not include land occupation or transformation elementary flows in the foreground sy</w:t>
      </w:r>
      <w:r w:rsidR="00AA540F" w:rsidRPr="0034160B">
        <w:rPr>
          <w:rFonts w:cstheme="minorHAnsi"/>
        </w:rPr>
        <w:t xml:space="preserve">stem </w:t>
      </w:r>
      <w:r w:rsidR="00083352" w:rsidRPr="0034160B">
        <w:rPr>
          <w:rFonts w:cstheme="minorHAnsi"/>
        </w:rPr>
        <w:t>because</w:t>
      </w:r>
      <w:r w:rsidR="00AA540F" w:rsidRPr="0034160B">
        <w:rPr>
          <w:rFonts w:cstheme="minorHAnsi"/>
        </w:rPr>
        <w:t xml:space="preserve"> </w:t>
      </w:r>
      <w:r w:rsidR="00AA540F" w:rsidRPr="0034160B">
        <w:t>croplands, forestlands and coastal areas continue providing the same services as prior to the implementation of the enhanced weathering practices.</w:t>
      </w:r>
      <w:r w:rsidR="00AA540F" w:rsidRPr="003D76AE">
        <w:t xml:space="preserve"> </w:t>
      </w:r>
      <w:r w:rsidR="00AA540F" w:rsidRPr="003D76AE">
        <w:rPr>
          <w:rFonts w:cstheme="minorHAnsi"/>
        </w:rPr>
        <w:t>We considered an average distance from the rock source to the application areas of 300 km, which has been estimated to be sufficient to reach 80 and 95% of temperate and warm regions, respectively</w:t>
      </w:r>
      <w:r w:rsidR="00AA540F" w:rsidRPr="003D76AE">
        <w:rPr>
          <w:rFonts w:cstheme="minorHAnsi"/>
        </w:rPr>
        <w:fldChar w:fldCharType="begin" w:fldLock="1"/>
      </w:r>
      <w:r w:rsidR="00971A76">
        <w:rPr>
          <w:rFonts w:cstheme="minorHAnsi"/>
        </w:rPr>
        <w:instrText xml:space="preserve"> ADDIN ZOTERO_ITEM CSL_CITATION {"citationID":"qVssq8Jg","properties":{"formattedCitation":"\\super 38\\nosupersub{}","plainCitation":"38","noteIndex":0},"citationItems":[{"id":1383,"uris":["http://www.mendeley.com/documents/?uuid=d22bd436-1bee-428b-8e0b-46e9d800b027","http://zotero.org/users/14213812/items/AP37XE6P"],"itemData":{"id":1383,"type":"article-journal","abstract":"The chemical weathering of rocks currently absorbs about 1.1 Gt CO2 a-1 being mainly stored as bicarbonate in the ocean. An enhancement of this slow natural process could remove substantial amounts of CO2 from the atmosphere, aiming to offset some unavoidable anthropogenic emissions in order to comply with the Paris Agreement, while at the same time it may decrease ocean acidification. We provide the first comprehensive assessment of economic costs, energy requirements, technical parameterization, and global and regional carbon removal potential. The crucial parameters defining this potential are the grain size and weathering rates. The main uncertainties about the potential relate to weathering rates and rock mass that can be integrated into the soil. The discussed results do not specifically address the enhancement of weathering through microbial processes, feedback of geogenic nutrient release, and bioturbation. We do not only assess dunite rock, predominantly bearing olivine (in the form of forsterite) as the mineral that has been previously proposed to be best suited for carbon removal, but focus also on basaltic rock to minimize potential negative side effects. Our results show that enhanced weathering is an option for carbon dioxide removal that could be competitive already at 60 US $ t-1 CO2 removed for dunite, but only at 200 US $ t-1 CO2 removed for basalt. The potential carbon removal on cropland areas could be as large as 95 Gt CO2 a-1 for dunite and 4.9 Gt CO2 a-1 for basalt. The best suited locations are warm and humid areas, particularly in India, Brazil, South-East Asia and China, where almost 75% of the global potential can be realized. This work presents a techno-economic assessment framework, which also allows for the incorporation of further processes.","container-title":"Environmental Research Letters","DOI":"10.1088/1748-9326/aaa9c4","ISSN":"17489326","issue":"3","page":"034010","title":"Potential and costs of carbon dioxide removal by enhanced weathering of rocks","volume":"13","author":[{"family":"Strefler","given":"Jessica"},{"family":"Amann","given":"Thorben"},{"family":"Bauer","given":"Nico"},{"family":"Kriegler","given":"Elmar"},{"family":"Hartmann","given":"Jens"}],"issued":{"date-parts":[["2018"]]}}}],"schema":"https://github.com/citation-style-language/schema/raw/master/csl-citation.json"} </w:instrText>
      </w:r>
      <w:r w:rsidR="00AA540F" w:rsidRPr="003D76AE">
        <w:rPr>
          <w:rFonts w:cstheme="minorHAnsi"/>
        </w:rPr>
        <w:fldChar w:fldCharType="separate"/>
      </w:r>
      <w:r w:rsidR="00971A76" w:rsidRPr="00971A76">
        <w:rPr>
          <w:rFonts w:ascii="Calibri" w:hAnsi="Calibri" w:cs="Calibri"/>
          <w:vertAlign w:val="superscript"/>
        </w:rPr>
        <w:t>38</w:t>
      </w:r>
      <w:r w:rsidR="00AA540F" w:rsidRPr="003D76AE">
        <w:rPr>
          <w:rFonts w:cstheme="minorHAnsi"/>
        </w:rPr>
        <w:fldChar w:fldCharType="end"/>
      </w:r>
      <w:r w:rsidR="00AA540F" w:rsidRPr="003D76AE">
        <w:rPr>
          <w:rFonts w:cstheme="minorHAnsi"/>
        </w:rPr>
        <w:t>. Our sensitivity analysis considered ±50% changes in the transportation distance.</w:t>
      </w:r>
    </w:p>
    <w:p w14:paraId="20479193" w14:textId="77777777" w:rsidR="00B729B9" w:rsidRDefault="00B729B9" w:rsidP="00AA540F">
      <w:pPr>
        <w:spacing w:line="360" w:lineRule="auto"/>
        <w:jc w:val="both"/>
        <w:rPr>
          <w:rFonts w:cstheme="minorHAnsi"/>
        </w:rPr>
      </w:pPr>
    </w:p>
    <w:p w14:paraId="121ACD93" w14:textId="1A121C3C" w:rsidR="00834427" w:rsidRPr="0058585E" w:rsidRDefault="007B7988" w:rsidP="0030210C">
      <w:pPr>
        <w:pStyle w:val="Ttulo2"/>
        <w:spacing w:after="240"/>
        <w:rPr>
          <w:rFonts w:asciiTheme="minorHAnsi" w:hAnsiTheme="minorHAnsi" w:cstheme="minorHAnsi"/>
          <w:b/>
          <w:bCs/>
          <w:color w:val="auto"/>
          <w:sz w:val="22"/>
          <w:szCs w:val="22"/>
        </w:rPr>
      </w:pPr>
      <w:bookmarkStart w:id="10" w:name="_Toc194330855"/>
      <w:r>
        <w:rPr>
          <w:rFonts w:asciiTheme="minorHAnsi" w:hAnsiTheme="minorHAnsi" w:cstheme="minorHAnsi"/>
          <w:b/>
          <w:bCs/>
          <w:color w:val="auto"/>
          <w:sz w:val="22"/>
          <w:szCs w:val="22"/>
        </w:rPr>
        <w:t>3</w:t>
      </w:r>
      <w:r w:rsidR="00834427" w:rsidRPr="0058585E">
        <w:rPr>
          <w:rFonts w:asciiTheme="minorHAnsi" w:hAnsiTheme="minorHAnsi" w:cstheme="minorHAnsi"/>
          <w:b/>
          <w:bCs/>
          <w:color w:val="auto"/>
          <w:sz w:val="22"/>
          <w:szCs w:val="22"/>
        </w:rPr>
        <w:t>.4 Bioenergy with Carbon Capture and Storage</w:t>
      </w:r>
      <w:bookmarkEnd w:id="10"/>
    </w:p>
    <w:p w14:paraId="4E2BB5B4" w14:textId="3204E3E0" w:rsidR="00E83D5D" w:rsidRDefault="00DD5FD3" w:rsidP="000E3F7E">
      <w:pPr>
        <w:spacing w:line="360" w:lineRule="auto"/>
        <w:jc w:val="both"/>
      </w:pPr>
      <w:r>
        <w:t>In the</w:t>
      </w:r>
      <w:r w:rsidR="009F0D63">
        <w:t xml:space="preserve"> </w:t>
      </w:r>
      <w:r>
        <w:t xml:space="preserve">BECCS scenarios, </w:t>
      </w:r>
      <w:r w:rsidR="00016844">
        <w:t>atmospheric CO</w:t>
      </w:r>
      <w:r w:rsidR="00016844" w:rsidRPr="005C53ED">
        <w:rPr>
          <w:vertAlign w:val="subscript"/>
        </w:rPr>
        <w:t>2</w:t>
      </w:r>
      <w:r w:rsidR="00016844">
        <w:t xml:space="preserve"> is </w:t>
      </w:r>
      <w:r w:rsidR="003A1519">
        <w:t>absorb</w:t>
      </w:r>
      <w:r w:rsidR="00016844">
        <w:t xml:space="preserve">ed </w:t>
      </w:r>
      <w:r w:rsidR="008232A0">
        <w:t xml:space="preserve">by </w:t>
      </w:r>
      <w:r w:rsidR="00016844">
        <w:t xml:space="preserve">biomass </w:t>
      </w:r>
      <w:r w:rsidR="008232A0">
        <w:t xml:space="preserve">during </w:t>
      </w:r>
      <w:r w:rsidR="00016844">
        <w:t>photosynthesis</w:t>
      </w:r>
      <w:r w:rsidR="002E7B1E">
        <w:t xml:space="preserve">, </w:t>
      </w:r>
      <w:r w:rsidR="00A87C13">
        <w:t>released</w:t>
      </w:r>
      <w:r w:rsidR="00C25AB2">
        <w:t xml:space="preserve"> </w:t>
      </w:r>
      <w:r w:rsidR="00377682">
        <w:t>in</w:t>
      </w:r>
      <w:r w:rsidR="00A87C13">
        <w:t xml:space="preserve"> the bioenergy production process</w:t>
      </w:r>
      <w:r w:rsidR="00E52E72">
        <w:t>, captured</w:t>
      </w:r>
      <w:r w:rsidR="00D97068">
        <w:t>,</w:t>
      </w:r>
      <w:r w:rsidR="008A2BB6">
        <w:t xml:space="preserve"> a</w:t>
      </w:r>
      <w:r w:rsidR="00D75028">
        <w:t xml:space="preserve">nd </w:t>
      </w:r>
      <w:r w:rsidR="00420CB4">
        <w:t xml:space="preserve">finally </w:t>
      </w:r>
      <w:r w:rsidR="00D75028">
        <w:t>injected into a geological reservoir</w:t>
      </w:r>
      <w:r w:rsidR="00D61488" w:rsidRPr="00D61488">
        <w:t>, with all the</w:t>
      </w:r>
      <w:r w:rsidR="0065543A">
        <w:t>se</w:t>
      </w:r>
      <w:r w:rsidR="00D61488" w:rsidRPr="00D61488">
        <w:t xml:space="preserve"> </w:t>
      </w:r>
      <w:r w:rsidR="00107F86" w:rsidRPr="00D61488">
        <w:t>stages happen</w:t>
      </w:r>
      <w:r w:rsidR="00D61488" w:rsidRPr="00D61488">
        <w:t>ing</w:t>
      </w:r>
      <w:r w:rsidR="00107F86" w:rsidRPr="00D61488">
        <w:t xml:space="preserve"> within the year of </w:t>
      </w:r>
      <w:r w:rsidR="00F06631" w:rsidRPr="00D61488">
        <w:t xml:space="preserve">CDR </w:t>
      </w:r>
      <w:r w:rsidR="00107F86" w:rsidRPr="00D61488">
        <w:t>deployment</w:t>
      </w:r>
      <w:r w:rsidR="00D75028" w:rsidRPr="00D61488">
        <w:t xml:space="preserve">. </w:t>
      </w:r>
      <w:r w:rsidR="00733D46">
        <w:t>The biomass feedstock consists of forest residues and</w:t>
      </w:r>
      <w:r w:rsidR="006A1877">
        <w:t xml:space="preserve"> two </w:t>
      </w:r>
      <w:r w:rsidR="00482DC3">
        <w:t>crops</w:t>
      </w:r>
      <w:r w:rsidR="00172A1B">
        <w:t>: a short rotation woody crop (poplar) and a perennial grass (</w:t>
      </w:r>
      <w:r w:rsidR="00172A1B" w:rsidRPr="000A3291">
        <w:rPr>
          <w:i/>
          <w:iCs/>
        </w:rPr>
        <w:t>Miscanthus</w:t>
      </w:r>
      <w:r w:rsidR="00172A1B">
        <w:t>)</w:t>
      </w:r>
      <w:r w:rsidR="00E52E72">
        <w:t>–</w:t>
      </w:r>
      <w:r w:rsidR="004F28FB">
        <w:t xml:space="preserve">both with </w:t>
      </w:r>
      <w:r w:rsidR="001C33CE">
        <w:t>a</w:t>
      </w:r>
      <w:r w:rsidR="00A51E66">
        <w:t xml:space="preserve"> broad geographical distribution</w:t>
      </w:r>
      <w:r w:rsidR="00A52BD2">
        <w:t xml:space="preserve"> worldwide</w:t>
      </w:r>
      <w:r w:rsidR="00251FCB">
        <w:fldChar w:fldCharType="begin" w:fldLock="1"/>
      </w:r>
      <w:r w:rsidR="00B4317C">
        <w:instrText xml:space="preserve"> ADDIN ZOTERO_ITEM CSL_CITATION {"citationID":"gJuJcOwu","properties":{"formattedCitation":"\\super 49,50\\nosupersub{}","plainCitation":"49,50","noteIndex":0},"citationItems":[{"id":"z2fanENt/pHfR8YIB","uris":["http://www.mendeley.com/documents/?uuid=acc6a174-30e3-4866-ada6-bb61d3a91337"],"itemData":{"DOI":"10.1007/978-1-4419-1541-2_14","ISBN":"9781441915412","abstract":"As a model system, Populus offers the opportunity to study biological questions pertinent to perennial growth habits such as lignocellulosic cell wall biogenesis and dormancy cycles. In the past years, much has been learnt about the transcriptional control of such processes and there is an ever-growing resource of publicly available transcriptomics data and EST sequences available. More recently greater emphasis has been placed on the study of metabolomic data and particularly in linking metabolic changes to both development and ecosystem functioning. Populus represents an ideal model system in which genetic and genomic studies can be conducted in a ecological key-stone species as well in a commercially important forest tree crop. To facilitate biological understanding a number of bioinformatics resources have become available for Populus alongside greater integration of the species in centralized sequence data sources such as NCBI and Interpro. These developments are rapidly advancing the ability to use Populus as a model system for the study of developmental, ecological and comparative genomics questions. Here we overview the current state of bioinformatics resources available for studies involving Populus as well as detailing the genetic material available to conduct studies on.","author":[{"dropping-particle":"","family":"Stanton","given":"Brian J","non-dropping-particle":"","parse-names":false,"suffix":""},{"dropping-particle":"","family":"Neale","given":"David B","non-dropping-particle":"","parse-names":false,"suffix":""},{"dropping-particle":"","family":"Li","given":"Shanwen","non-dropping-particle":"","parse-names":false,"suffix":""}],"container-title":"Genetics and Genomics of Populus","id":"ITEM-1","issue":"December 2010","issued":{"date-parts":[["2010"]]},"title":"Populus Breeding: From the Classical to the Genomic Approach","type":"chapter"}},{"id":2216,"uris":["http://www.mendeley.com/documents/?uuid=232187c0-57a8-3e52-8681-16f632923f33","http://zotero.org/users/14213812/items/KJZRG8FH"],"itemData":{"id":2216,"type":"chapter","abstract":"The C4 grass Miscanthus × giganteus is of increasing interest as a biomass feedstock for renewable fuel production. This review describes what is known to date on M × giganteus from extensive research in Europe and more recently in the US. Research trials have shown that M × giganteus productivity is among the highest recorded within temperate climates. The crop's high productivity results from greater levels of seasonal carbon fixation than other C4 crops during the growing season. Genetic sequencing of M × giganteus has identified close homology with related crop species such as sorghum (Sorghum bicolor (L.) Moench) and sugarcane (Saccharum officinarum L.), and breeding of new varieties is underway. Miscanthus × giganteus has high water use efficiency; however, its exceptional productivity causes higher water use than other arable crops, potentially causing changes in hydrology in agricultural areas. Nitrogen use patterns are inconsistent and may indicate association with N fixing microorganisms. Miscanthus × giganteus has great promise as an economically and ecologically viable biomass crop; however, there are still challenges to widespread commercial development. © 2010 Elsevier Ltd.","container-title":"Advances in Botanical Research","note":"DOI: 10.1016/B978-0-12-381518-7.00003-0\nissue: C\nISSN: 0065-2296","page":"75-137","publisher":"Academic Press","title":"Chapter 3 - Miscanthus: A Promising Biomass Crop","volume":"56","author":[{"family":"Heaton","given":"Emily A."},{"family":"Dohleman","given":"Frank G."},{"family":"Miguez","given":"A. Fernando"},{"family":"Juvik","given":"John A."},{"family":"Lozovaya","given":"Vera"},{"family":"Widholm","given":"Jack"},{"family":"Zabotina","given":"Olga A."},{"family":"McIsaac","given":"Gregory F."},{"family":"David","given":"Mark B."},{"family":"Voigt","given":"Thomas B."},{"family":"Boersma","given":"Nicholas N."},{"family":"Long","given":"Stephen P."}],"accessed":{"date-parts":[["2021",11,22]]},"issued":{"date-parts":[["2010",1,1]]}}}],"schema":"https://github.com/citation-style-language/schema/raw/master/csl-citation.json"} </w:instrText>
      </w:r>
      <w:r w:rsidR="00251FCB">
        <w:fldChar w:fldCharType="separate"/>
      </w:r>
      <w:r w:rsidR="00971A76" w:rsidRPr="00971A76">
        <w:rPr>
          <w:rFonts w:ascii="Calibri" w:hAnsi="Calibri" w:cs="Calibri"/>
          <w:vertAlign w:val="superscript"/>
        </w:rPr>
        <w:t>49,50</w:t>
      </w:r>
      <w:r w:rsidR="00251FCB">
        <w:fldChar w:fldCharType="end"/>
      </w:r>
      <w:r w:rsidR="000524E1">
        <w:t xml:space="preserve">. </w:t>
      </w:r>
    </w:p>
    <w:p w14:paraId="6898E300" w14:textId="7C8434C2" w:rsidR="00F50F0A" w:rsidRDefault="00F50F0A" w:rsidP="00F50F0A">
      <w:pPr>
        <w:spacing w:before="240" w:line="360" w:lineRule="auto"/>
        <w:jc w:val="both"/>
        <w:rPr>
          <w:rFonts w:cstheme="minorHAnsi"/>
        </w:rPr>
      </w:pPr>
      <w:r w:rsidRPr="00F50F0A">
        <w:rPr>
          <w:rFonts w:cstheme="minorHAnsi"/>
        </w:rPr>
        <w:t xml:space="preserve">We focus on forest residues instead of other biogenic carbon sources (such as agricultural residues, manure, or municipal organic wastes) because they offer a more consistent and predictable biomass supply. Their relatively uniform properties (e.g., moisture content or energy density) simplify </w:t>
      </w:r>
      <w:r w:rsidR="00DF76CD">
        <w:rPr>
          <w:rFonts w:cstheme="minorHAnsi"/>
        </w:rPr>
        <w:t>processing activities</w:t>
      </w:r>
      <w:r w:rsidRPr="00F50F0A">
        <w:rPr>
          <w:rFonts w:cstheme="minorHAnsi"/>
        </w:rPr>
        <w:t xml:space="preserve"> in bioenergy facilities, enabling stable operating conditions. Moreover, decentralized feedstocks like agricultural residues would further complicate the logistics of biomass supply chains, potentially increasing the greenhouse gas emissions linked to transportation.</w:t>
      </w:r>
    </w:p>
    <w:p w14:paraId="5986E536" w14:textId="24E3A61F" w:rsidR="007B1AAF" w:rsidRPr="00F50F0A" w:rsidRDefault="007B25A1" w:rsidP="00F50F0A">
      <w:pPr>
        <w:spacing w:before="240" w:line="360" w:lineRule="auto"/>
        <w:jc w:val="both"/>
        <w:rPr>
          <w:rFonts w:cstheme="minorHAnsi"/>
        </w:rPr>
      </w:pPr>
      <w:r w:rsidRPr="001F4005">
        <w:t>The deployment potential of biomass residues is limited due to their role in maintaining soil carbon stocks and soil fertility</w:t>
      </w:r>
      <w:r w:rsidRPr="001F4005">
        <w:fldChar w:fldCharType="begin" w:fldLock="1"/>
      </w:r>
      <w:r w:rsidR="00B4317C">
        <w:instrText xml:space="preserve"> ADDIN ZOTERO_ITEM CSL_CITATION {"citationID":"5er6dAxh","properties":{"formattedCitation":"\\super 51\\uc0\\u8211{}53\\nosupersub{}","plainCitation":"51–53","noteIndex":0},"citationItems":[{"id":1641,"uris":["http://www.mendeley.com/documents/?uuid=8688d7c6-085d-3dc8-938a-8a57857de02b","http://zotero.org/users/14213812/items/PAAD8A72"],"itemData":{"id":1641,"type":"article-journal","abstract":"Agricultural crop residues represent a significant part of the biomass potentially available for renewable energy systems. Sustaining soil organic carbon (C) is a common limiting factor applied to the biophysically available resource to determine crop residues potential for bioenergy. Studies quantifying this potential have so far largely considered crop biomass to produce renewable energy as being independent from the energy conversion pathway. However, the conversion method has great influence on how much C in crop residues can be returned back and retained in soils. Here, we applied the C-TOOL soil C model for two extreme conversion pathways of agricultural straw management in terms of C returned back to soils, using Denmark as a case study. Those were anaerobic digestion, involving the return of recalcitrant C to fields, and combustion, involving no C returns to agricultural fields. Danish agriculture was represented by six different soil-cropping schemes units on which our two extreme bioenergy pathways were modelled. We applied a premise that for a given geographical unit, the same long-term soil C level needs to be achieved under these extreme bioenergy scenarios; therefore, we identified how much straw could be removed from agricultural fields in each case while maintaining equal soil organic carbon (SOC) levels. We found that at the scale of the whole country, only 26% of the straw potential can be harvested for use in combustion to maintain in average long-term SOC at the same level as it would have been with the anaerobic digestion scenario. Thus, consideration for the biomass conversion pathway is important when identifying agricultural residue potentials for energy conversion while ensuring that SOC level is not compromised.","container-title":"GCB Bioenergy","DOI":"10.1111/gcbb.12733","ISSN":"1757-1693","issue":"11","note":"publisher: Blackwell Publishing Ltd","page":"1002-1013","title":"Agricultural residues bioenergy potential that sustain soil carbon depends on energy conversion pathways","volume":"12","author":[{"family":"Hansen","given":"Julie H."},{"family":"Hamelin","given":"Lorie"},{"family":"</w:instrText>
      </w:r>
      <w:r w:rsidR="00B4317C">
        <w:rPr>
          <w:rFonts w:hint="eastAsia"/>
        </w:rPr>
        <w:instrText>Taghizadeh</w:instrText>
      </w:r>
      <w:r w:rsidR="00B4317C">
        <w:rPr>
          <w:rFonts w:hint="eastAsia"/>
        </w:rPr>
        <w:instrText>‐</w:instrText>
      </w:r>
      <w:r w:rsidR="00B4317C">
        <w:rPr>
          <w:rFonts w:hint="eastAsia"/>
        </w:rPr>
        <w:instrText>Toosi","given":"Arezoo"},{"family":"Olesen","given":"Jørgen E."},{"family":"Wenzel","given":"Henrik"}],"issued":{"date-parts":[["2020",11,26]]}}},{"id":"z2fanENt/5JnDAvjX","uris":["http://www.mendeley.com/documents/?uuid=4634010e-6a1d-40dd-9446</w:instrText>
      </w:r>
      <w:r w:rsidR="00B4317C">
        <w:instrText xml:space="preserve">-ef3a850c3c53"],"itemData":{"DOI":"10.1016/j.apenergy.2022.120192","ISSN":"03062619","abstract":"Crop residues are a key bulk feedstock for supplying renewable carbon for bioenergy production and the broader bioeconomy without compromising food security. However, it is frequently advised to harvest no more than half of this potential to ensure the preservation of soil organic carbon (SOC) stocks. In this study, we challenge this recommendation and demonstrate that the crop residue potential allowing to maintain long-term SOC stocks is spatially differentiated and strongly dependent upon the bioeconomy conversion pathway for which it is intended. We assessed the interaction between the residues' usage for the bioeconomy and the maintenance of SOC stocks over 100 years by considering the coproduct return to soils from five bioeconomy pathways: pyrolysis, gasification, hydrothermal liquefaction, anaerobic digestion, and lignocellulosic ethanol production. To compare the long-term SOC changes from these scenarios against a reference where crop residues are unharvested, we developed a novel framework, applicable to any site or region, by coupling a SOC model that includes recalcitrant organic matter deriving from a bioeconomy calculation module. The adapted SOC model considers the recalcitrance to degradation of each coproduct, while the bioeconomy module determines the share of carbon from the crop residues ending in the coproducts. The framework was tested and applied with a high spatial resolution (&gt;60,000 simulation units) to the context of French croplands over the period of 2020–2120, with state-of-the-art sensitivity analyses. The case study results revealed, among others, that an additional crop residue potential equivalent to 71–225 PJ (pathway-dependent) could be available for the French bioeconomy without SOC decreases, compared to applying a stringent removal limit of 31.5%.","author":[{"dropping-particle":"","family":"Andrade Díaz","given":"Christhel","non-dropping-particle":"","parse-names":false,"suffix":""},{"dropping-particle":"","family":"Clivot","given":"Hugues","non-dropping-particle":"","parse-names":false,"suffix":""},{"dropping-particle":"","family":"Albers","given":"Ariane","non-dropping-particle":"","parse-names":false,"suffix":""},{"dropping-particle":"","family":"Zamora-Ledezma","given":"Ezequiel","non-dropping-particle":"","parse-names":false,"suffix":""},{"dropping-particle":"","family":"Hamelin","given":"Lorie","non-dropping-particle":"","parse-names":false,"suffix":""}],"container-title":"Applied Energy","id":"ITEM-2","issue":"October 2022","issued":{"date-parts":[["2023"]]},"page":"120192","publisher":"Elsevier Ltd","title":"The crop residue conundrum: Maintaining long-term soil organic carbon stocks while reinforcing the bioeconomy, compatible endeavors?","type":"article-journal","volume":"329"}},{"id":"z2fanENt/a0AnftWi","uris":["http://www.mendeley.com/documents/?uuid=0efbc8d8-f0e3-4672-b866-e386fd832d28"],"itemData":{"DOI":"10.1016/j.biombioe.2019.01.021","ISSN":"18732909","abstract":"This paper provides estimates of available agricultural residues at the European level. It complements previous studies by expanding the geographical study area to 36 European countries, and improving the methodology by incorporating temporal variability of the theoretical potential resources and taking into consideration technical and environmental constraints. The amount of residues potentially obtainable from the main crops cultivated in Europe, namely wheat, rye, barley, oats, maize, rice, rapeseed and sunflower was assessed. Detailed spatial distribution maps of different crop residue potentials (theoretical, technical, environmental and sustainable) are provided at 1 km spatial resolution. The average theoretical potential was estimated at 291 and 367 Mt DM in the EU and Europe, respectively. Significant yearly variability of crop residue production has been noticed, between 209 and 365 million tonnes dry yr−1 (3673–6389 PJ) in the EU and between 253 and 483 million tonnes dry yr−1 (4434–8453 PJ) across Europe. The average technical potential of crop residue was estimated at 168 million tonnes dry yr−1 (2941 PJ) in the EU and at 212 million tonnes dry yr−1 (3715 PJ) in Europe. The average sustainable potential considering both technical and environmental constraints in each location was estimated at about 124 million tonnes dry yr−1 (2162 PJ) in the EU and at 14 Mt DM (2601 PJ) in Europe.","author":[{"dropping-particle":"","family":"Scarlat","given":"N.","non-dropping-particle":"","parse-names":false,"suffix":""},{"dropping-particle":"","family":"Fahl","given":"F.","non-dropping-particle":"","parse-names":false,"suffix":""},{"dropping-particle":"","family":"Lugato","given":"E.","non-dropping-particle":"","parse-names":false,"suffix":""},{"dropping-particle":"","family":"Monforti-Ferrario","given":"F.","non-dropping-particle":"","parse-names":false,"suffix":""},{"dropping-particle":"","family":"Dallemand","given":"J. F.","non-dropping-particle":"","parse-names":false,"suffix":""}],"container-title":"Biomass and Bioenergy","id":"ITEM-3","issue":"September 2018","issued":{"date-parts":[["2019"]]},"page":"257-269","publisher":"Elsevier Ltd","title":"Integrated and spatially explicit assessment of sustainable crop residues potential in Europe","type":"article-journal","volume":"122"}}],"schema":"https://github.com/citation-style-language/schema/raw/master/csl-citation.json"} </w:instrText>
      </w:r>
      <w:r w:rsidRPr="001F4005">
        <w:fldChar w:fldCharType="separate"/>
      </w:r>
      <w:r w:rsidR="00971A76" w:rsidRPr="00971A76">
        <w:rPr>
          <w:rFonts w:ascii="Calibri" w:hAnsi="Calibri" w:cs="Calibri"/>
          <w:vertAlign w:val="superscript"/>
        </w:rPr>
        <w:t>51–53</w:t>
      </w:r>
      <w:r w:rsidRPr="001F4005">
        <w:fldChar w:fldCharType="end"/>
      </w:r>
      <w:r w:rsidR="00550528" w:rsidRPr="00603865">
        <w:t>.</w:t>
      </w:r>
      <w:r w:rsidR="00975157">
        <w:t xml:space="preserve"> </w:t>
      </w:r>
      <w:r w:rsidR="005362BB">
        <w:t>We use</w:t>
      </w:r>
      <w:r w:rsidR="00E86174">
        <w:t xml:space="preserve"> </w:t>
      </w:r>
      <w:r w:rsidR="00B33C4D">
        <w:t>a conservative</w:t>
      </w:r>
      <w:r w:rsidR="00E86174">
        <w:t xml:space="preserve"> estimate of </w:t>
      </w:r>
      <w:r w:rsidR="00B33C4D">
        <w:t xml:space="preserve">the amount of </w:t>
      </w:r>
      <w:r w:rsidR="00E86174">
        <w:t xml:space="preserve">forest residues </w:t>
      </w:r>
      <w:r w:rsidR="005426FA">
        <w:t xml:space="preserve">that could be sustainably </w:t>
      </w:r>
      <w:r w:rsidR="005426FA" w:rsidRPr="00A74712">
        <w:rPr>
          <w:rFonts w:cstheme="minorHAnsi"/>
        </w:rPr>
        <w:t>collected</w:t>
      </w:r>
      <w:r w:rsidR="005362BB">
        <w:rPr>
          <w:rFonts w:ascii="Times New Roman" w:hAnsi="Times New Roman" w:cs="Times New Roman"/>
          <w:iCs/>
        </w:rPr>
        <w:t xml:space="preserve"> </w:t>
      </w:r>
      <w:r w:rsidR="003D39B5">
        <w:rPr>
          <w:rFonts w:ascii="Times New Roman" w:hAnsi="Times New Roman" w:cs="Times New Roman"/>
          <w:iCs/>
        </w:rPr>
        <w:t>(</w:t>
      </w:r>
      <w:r w:rsidR="003D39B5" w:rsidRPr="008714C4">
        <w:rPr>
          <w:rFonts w:cstheme="minorHAnsi"/>
          <w:iCs/>
        </w:rPr>
        <w:t>3 EJ/year</w:t>
      </w:r>
      <w:r w:rsidR="00B33C4D">
        <w:rPr>
          <w:rFonts w:ascii="Times New Roman" w:hAnsi="Times New Roman" w:cs="Times New Roman"/>
          <w:iCs/>
        </w:rPr>
        <w:fldChar w:fldCharType="begin"/>
      </w:r>
      <w:r w:rsidR="00B4317C">
        <w:rPr>
          <w:rFonts w:ascii="Times New Roman" w:hAnsi="Times New Roman" w:cs="Times New Roman"/>
          <w:iCs/>
        </w:rPr>
        <w:instrText xml:space="preserve"> ADDIN ZOTERO_ITEM CSL_CITATION {"citationID":"Zp4HmrMi","properties":{"formattedCitation":"\\super 54\\nosupersub{}","plainCitation":"54","noteIndex":0},"citationItems":[{"id":"z2fanENt/Xfnq5Bhe","uris":["http://zotero.org/users/local/lhmAtxw2/items/PSQ9BZXY"],"itemData":{"id":3042,"type":"article-journal","abstract":"Many climate change mitigation strategies rely on strong projected growth in biomass energy, supported by literature estimating high future bioenergy potential. However, expectations to 2050 are highly divergent. Examining the most widely cited studies ﬁnds that some assumptions in these models are inconsistent with the best available evidence. By identifying literature-supported, up-to-date assumptions for parameters including crop yields, land availability, and costs, we revise upper-end estimates of potential biomass availability from dedicated energy crops. Even allowing for the conversion of virtually all ‘unused’ grassland and savannah, we ﬁnd that the maximum plausible limit to sustainable energy crop production in 2050 would be 40–110 EJ yrÀ1. Combined with forestry, crop residues, and wastes, the maximum limit to long-term total biomass availability is 60–120 EJ yrÀ1 in primary energy. After accounting for current trends in bioenergy allocation and conversion losses, we estimate maximum potentials of 10–20 EJ yrÀ1 of biofuel, 20–40 EJ yrÀ1 of electricity, and 10–30 EJ yrÀ1 of heating in 2050. These ﬁndings suggest that many technical projections and aspirational goals for future bioenergy use could be difﬁcult or impossible to achieve sustainably.","container-title":"GCB Bioenergy","DOI":"10.1111/gcbb.12141","ISSN":"1757-1693, 1757-1707","issue":"2","journalAbbreviation":"GCB Bioenergy","language":"en","page":"328-336","source":"DOI.org (Crossref)","title":"A reassessment of global bioenergy potential in 2050","volume":"7","author":[{"family":"Searle","given":"Stephanie"},{"family":"Malins","given":"Chris"}],"issued":{"date-parts":[["2015",3]]}}}],"schema":"https://github.com/citation-style-language/schema/raw/master/csl-citation.json"} </w:instrText>
      </w:r>
      <w:r w:rsidR="00B33C4D">
        <w:rPr>
          <w:rFonts w:ascii="Times New Roman" w:hAnsi="Times New Roman" w:cs="Times New Roman"/>
          <w:iCs/>
        </w:rPr>
        <w:fldChar w:fldCharType="separate"/>
      </w:r>
      <w:r w:rsidR="00971A76" w:rsidRPr="00971A76">
        <w:rPr>
          <w:rFonts w:ascii="Times New Roman" w:hAnsi="Times New Roman" w:cs="Times New Roman"/>
          <w:vertAlign w:val="superscript"/>
        </w:rPr>
        <w:t>54</w:t>
      </w:r>
      <w:r w:rsidR="00B33C4D">
        <w:rPr>
          <w:rFonts w:ascii="Times New Roman" w:hAnsi="Times New Roman" w:cs="Times New Roman"/>
          <w:iCs/>
        </w:rPr>
        <w:fldChar w:fldCharType="end"/>
      </w:r>
      <w:r w:rsidR="00430867">
        <w:rPr>
          <w:rFonts w:ascii="Times New Roman" w:hAnsi="Times New Roman" w:cs="Times New Roman"/>
          <w:iCs/>
        </w:rPr>
        <w:t>)</w:t>
      </w:r>
      <w:r w:rsidR="003D39B5" w:rsidRPr="008714C4">
        <w:rPr>
          <w:rFonts w:cstheme="minorHAnsi"/>
          <w:iCs/>
        </w:rPr>
        <w:t xml:space="preserve"> </w:t>
      </w:r>
      <w:r w:rsidR="0013648E" w:rsidRPr="008714C4">
        <w:rPr>
          <w:rFonts w:cstheme="minorHAnsi"/>
          <w:iCs/>
        </w:rPr>
        <w:t xml:space="preserve">and the higher heating value and carbon content reported in </w:t>
      </w:r>
      <w:r w:rsidR="0013648E" w:rsidRPr="008714C4">
        <w:rPr>
          <w:rFonts w:cstheme="minorHAnsi"/>
          <w:iCs/>
        </w:rPr>
        <w:fldChar w:fldCharType="begin"/>
      </w:r>
      <w:r w:rsidR="00971A76">
        <w:rPr>
          <w:rFonts w:cstheme="minorHAnsi"/>
          <w:iCs/>
        </w:rPr>
        <w:instrText xml:space="preserve"> ADDIN ZOTERO_ITEM CSL_CITATION {"citationID":"aewMLFKy","properties":{"formattedCitation":"\\super 55\\nosupersub{}","plainCitation":"55","noteIndex":0},"citationItems":[{"id":3307,"uris":["http://zotero.org/users/14213812/items/KPIPP4T7"],"itemData":{"id":3307,"type":"article-journal","abstract":"Forest residues are a potentially important source of renewable energy. They are generated as a byproduct of timber harvesting around the world. To optimize the utilization of such biomass, one must know its physical and chemical properties. This paper presents an analysis of comminuted forest residues from Pinus sylvestris L. They were classified into four size fractions for which three density parameters were established pursuant to relevant standards. The mean bulk density of the fractions amounted to 110 to 190 kg/m3, apparent density 725 to 908 kg/m3, and specific density 1111 to 1350 kg/m3. The findings were compared to the results of previous research on other forms of forest biomass. The measured apparent-to-specific density conversion coefficient was β = 0.64. The elementary composition of forest residues measured in this work differed from that of other biomass types described in literature. In terms of carbon, nitrogen, sulfur, oxygen, and ash content, statistical analysis showed that the two compared types of biomass (forest residues and energy wood chips) formed two separate homogeneous groups, while both of these materials constituted one homogeneous group in the case of hydrogen content. The calorific value of the forest residues was 15.78 ± 0.39 MJ/kg.","container-title":"BioResources","DOI":"10.15376/biores.14.1.6-20","ISSN":"19302126, 19302126","issue":"1","journalAbbreviation":"BioRes","language":"en","page":"6-20","source":"DOI.org (Crossref)","title":"Forest residues as a renewable source of energy: Elemental composition and physical properties","title-short":"Forest residues as a renewable source of energy","volume":"14","author":[{"family":"Nurek","given":"Tomasz"},{"family":"Gendek","given":"Arkadiusz"},{"family":"Roman","given":"Kamil"}],"issued":{"date-parts":[["2018",11,5]]}}}],"schema":"https://github.com/citation-style-language/schema/raw/master/csl-citation.json"} </w:instrText>
      </w:r>
      <w:r w:rsidR="0013648E" w:rsidRPr="008714C4">
        <w:rPr>
          <w:rFonts w:cstheme="minorHAnsi"/>
          <w:iCs/>
        </w:rPr>
        <w:fldChar w:fldCharType="separate"/>
      </w:r>
      <w:r w:rsidR="00971A76" w:rsidRPr="00971A76">
        <w:rPr>
          <w:rFonts w:ascii="Calibri" w:hAnsi="Calibri" w:cs="Calibri"/>
          <w:vertAlign w:val="superscript"/>
        </w:rPr>
        <w:t>55</w:t>
      </w:r>
      <w:r w:rsidR="0013648E" w:rsidRPr="008714C4">
        <w:rPr>
          <w:rFonts w:cstheme="minorHAnsi"/>
          <w:iCs/>
        </w:rPr>
        <w:fldChar w:fldCharType="end"/>
      </w:r>
      <w:r w:rsidR="0013648E" w:rsidRPr="008714C4">
        <w:rPr>
          <w:rFonts w:cstheme="minorHAnsi"/>
          <w:iCs/>
        </w:rPr>
        <w:t xml:space="preserve"> </w:t>
      </w:r>
      <w:r w:rsidR="005362BB">
        <w:rPr>
          <w:rFonts w:cstheme="minorHAnsi"/>
          <w:iCs/>
        </w:rPr>
        <w:t>to estimate</w:t>
      </w:r>
      <w:r w:rsidR="0013648E" w:rsidRPr="008714C4">
        <w:rPr>
          <w:rFonts w:cstheme="minorHAnsi"/>
          <w:iCs/>
        </w:rPr>
        <w:t xml:space="preserve"> that </w:t>
      </w:r>
      <w:r w:rsidR="008714C4" w:rsidRPr="008714C4">
        <w:rPr>
          <w:rFonts w:cstheme="minorHAnsi"/>
          <w:iCs/>
        </w:rPr>
        <w:t>0</w:t>
      </w:r>
      <w:r w:rsidR="0013648E" w:rsidRPr="008714C4">
        <w:rPr>
          <w:rFonts w:cstheme="minorHAnsi"/>
          <w:iCs/>
        </w:rPr>
        <w:t>.2</w:t>
      </w:r>
      <w:r w:rsidR="00E42DE1">
        <w:rPr>
          <w:rFonts w:cstheme="minorHAnsi"/>
          <w:iCs/>
        </w:rPr>
        <w:t>4</w:t>
      </w:r>
      <w:r w:rsidR="0013648E" w:rsidRPr="008714C4">
        <w:rPr>
          <w:rFonts w:cstheme="minorHAnsi"/>
          <w:iCs/>
        </w:rPr>
        <w:t>-0.2</w:t>
      </w:r>
      <w:r w:rsidR="00E42DE1">
        <w:rPr>
          <w:rFonts w:cstheme="minorHAnsi"/>
          <w:iCs/>
        </w:rPr>
        <w:t>6</w:t>
      </w:r>
      <w:r w:rsidR="0013648E" w:rsidRPr="008714C4">
        <w:rPr>
          <w:rFonts w:cstheme="minorHAnsi"/>
          <w:iCs/>
        </w:rPr>
        <w:t xml:space="preserve"> GtCO</w:t>
      </w:r>
      <w:r w:rsidR="0013648E" w:rsidRPr="00691717">
        <w:rPr>
          <w:rFonts w:cstheme="minorHAnsi"/>
          <w:iCs/>
          <w:vertAlign w:val="subscript"/>
        </w:rPr>
        <w:t>2</w:t>
      </w:r>
      <w:r w:rsidR="0013648E" w:rsidRPr="008714C4">
        <w:rPr>
          <w:rFonts w:cstheme="minorHAnsi"/>
          <w:iCs/>
        </w:rPr>
        <w:t xml:space="preserve">/year could be </w:t>
      </w:r>
      <w:r w:rsidR="006239FF">
        <w:rPr>
          <w:rFonts w:cstheme="minorHAnsi"/>
          <w:iCs/>
        </w:rPr>
        <w:t>remov</w:t>
      </w:r>
      <w:r w:rsidR="00343EC0">
        <w:rPr>
          <w:rFonts w:cstheme="minorHAnsi"/>
          <w:iCs/>
        </w:rPr>
        <w:t>e</w:t>
      </w:r>
      <w:r w:rsidR="0013648E" w:rsidRPr="008714C4">
        <w:rPr>
          <w:rFonts w:cstheme="minorHAnsi"/>
          <w:iCs/>
        </w:rPr>
        <w:t xml:space="preserve">d </w:t>
      </w:r>
      <w:r w:rsidR="0005119E">
        <w:rPr>
          <w:rFonts w:cstheme="minorHAnsi"/>
          <w:iCs/>
        </w:rPr>
        <w:t xml:space="preserve">between 2030 and 2050 </w:t>
      </w:r>
      <w:r w:rsidR="0013648E" w:rsidRPr="008714C4">
        <w:rPr>
          <w:rFonts w:cstheme="minorHAnsi"/>
          <w:iCs/>
        </w:rPr>
        <w:t xml:space="preserve">through </w:t>
      </w:r>
      <w:r w:rsidR="00BF1182">
        <w:rPr>
          <w:rFonts w:cstheme="minorHAnsi"/>
          <w:iCs/>
        </w:rPr>
        <w:t>combustion-</w:t>
      </w:r>
      <w:r w:rsidR="0013648E" w:rsidRPr="008714C4">
        <w:rPr>
          <w:rFonts w:cstheme="minorHAnsi"/>
          <w:iCs/>
        </w:rPr>
        <w:t xml:space="preserve">BECCS </w:t>
      </w:r>
      <w:r w:rsidR="00691717">
        <w:rPr>
          <w:rFonts w:cstheme="minorHAnsi"/>
          <w:iCs/>
        </w:rPr>
        <w:t>fed with</w:t>
      </w:r>
      <w:r w:rsidR="0013648E" w:rsidRPr="008714C4">
        <w:rPr>
          <w:rFonts w:cstheme="minorHAnsi"/>
          <w:iCs/>
        </w:rPr>
        <w:t xml:space="preserve"> forest residues</w:t>
      </w:r>
      <w:r w:rsidR="00CC79B8">
        <w:rPr>
          <w:rFonts w:cstheme="minorHAnsi"/>
          <w:iCs/>
        </w:rPr>
        <w:t xml:space="preserve"> </w:t>
      </w:r>
      <w:r w:rsidR="004C46C3">
        <w:rPr>
          <w:rFonts w:cstheme="minorHAnsi"/>
          <w:iCs/>
        </w:rPr>
        <w:t>(0.1</w:t>
      </w:r>
      <w:r w:rsidR="00E42DE1">
        <w:rPr>
          <w:rFonts w:cstheme="minorHAnsi"/>
          <w:iCs/>
        </w:rPr>
        <w:t>1</w:t>
      </w:r>
      <w:r w:rsidR="004C46C3">
        <w:rPr>
          <w:rFonts w:cstheme="minorHAnsi"/>
          <w:iCs/>
        </w:rPr>
        <w:t>-0.1</w:t>
      </w:r>
      <w:r w:rsidR="00E42DE1">
        <w:rPr>
          <w:rFonts w:cstheme="minorHAnsi"/>
          <w:iCs/>
        </w:rPr>
        <w:t>3</w:t>
      </w:r>
      <w:r w:rsidR="004C46C3">
        <w:rPr>
          <w:rFonts w:cstheme="minorHAnsi"/>
          <w:iCs/>
        </w:rPr>
        <w:t xml:space="preserve"> </w:t>
      </w:r>
      <w:r w:rsidR="004C46C3" w:rsidRPr="008714C4">
        <w:rPr>
          <w:rFonts w:cstheme="minorHAnsi"/>
          <w:iCs/>
        </w:rPr>
        <w:t>GtCO</w:t>
      </w:r>
      <w:r w:rsidR="004C46C3" w:rsidRPr="00691717">
        <w:rPr>
          <w:rFonts w:cstheme="minorHAnsi"/>
          <w:iCs/>
          <w:vertAlign w:val="subscript"/>
        </w:rPr>
        <w:t>2</w:t>
      </w:r>
      <w:r w:rsidR="004C46C3" w:rsidRPr="008714C4">
        <w:rPr>
          <w:rFonts w:cstheme="minorHAnsi"/>
          <w:iCs/>
        </w:rPr>
        <w:t>/</w:t>
      </w:r>
      <w:r w:rsidR="004C46C3" w:rsidRPr="004C46C3">
        <w:rPr>
          <w:rFonts w:cstheme="minorHAnsi"/>
          <w:iCs/>
        </w:rPr>
        <w:t>year</w:t>
      </w:r>
      <w:r w:rsidR="004C46C3" w:rsidRPr="004C46C3">
        <w:rPr>
          <w:rStyle w:val="Refdecomentario"/>
          <w:sz w:val="22"/>
          <w:szCs w:val="22"/>
        </w:rPr>
        <w:t xml:space="preserve"> with gasification-BECCS)</w:t>
      </w:r>
      <w:r w:rsidR="004C46C3">
        <w:rPr>
          <w:rFonts w:cstheme="minorHAnsi"/>
          <w:iCs/>
        </w:rPr>
        <w:t>.</w:t>
      </w:r>
      <w:r w:rsidR="00D551A6">
        <w:rPr>
          <w:rFonts w:cstheme="minorHAnsi"/>
          <w:iCs/>
        </w:rPr>
        <w:t xml:space="preserve"> The remaini</w:t>
      </w:r>
      <w:r w:rsidR="009E2A2F">
        <w:rPr>
          <w:rFonts w:cstheme="minorHAnsi"/>
          <w:iCs/>
        </w:rPr>
        <w:t xml:space="preserve">ng biomass demand is </w:t>
      </w:r>
      <w:r w:rsidR="00BA409D">
        <w:rPr>
          <w:rFonts w:cstheme="minorHAnsi"/>
          <w:iCs/>
        </w:rPr>
        <w:t xml:space="preserve">met with </w:t>
      </w:r>
      <w:r w:rsidR="002F597C">
        <w:rPr>
          <w:rFonts w:cstheme="minorHAnsi"/>
          <w:iCs/>
        </w:rPr>
        <w:t xml:space="preserve">poplar and </w:t>
      </w:r>
      <w:r w:rsidR="002F597C" w:rsidRPr="0088491F">
        <w:rPr>
          <w:rFonts w:cstheme="minorHAnsi"/>
          <w:i/>
        </w:rPr>
        <w:t>Miscanthus</w:t>
      </w:r>
      <w:r w:rsidR="002F597C">
        <w:rPr>
          <w:rFonts w:cstheme="minorHAnsi"/>
          <w:iCs/>
        </w:rPr>
        <w:t xml:space="preserve"> </w:t>
      </w:r>
      <w:r w:rsidR="000D388A">
        <w:rPr>
          <w:rFonts w:cstheme="minorHAnsi"/>
          <w:iCs/>
        </w:rPr>
        <w:t>(50/50%).</w:t>
      </w:r>
      <w:r w:rsidR="002F597C">
        <w:rPr>
          <w:rFonts w:cstheme="minorHAnsi"/>
          <w:iCs/>
        </w:rPr>
        <w:t xml:space="preserve"> </w:t>
      </w:r>
      <w:r w:rsidR="005E72D6">
        <w:rPr>
          <w:rFonts w:cstheme="minorHAnsi"/>
          <w:iCs/>
        </w:rPr>
        <w:t>T</w:t>
      </w:r>
      <w:r w:rsidR="002A3C09">
        <w:rPr>
          <w:rFonts w:cstheme="minorHAnsi"/>
          <w:iCs/>
        </w:rPr>
        <w:t xml:space="preserve">ables 2.7-2.15 </w:t>
      </w:r>
      <w:r w:rsidR="00A879A7">
        <w:rPr>
          <w:rFonts w:cstheme="minorHAnsi"/>
          <w:iCs/>
        </w:rPr>
        <w:t xml:space="preserve">of the Supplementary Data file </w:t>
      </w:r>
      <w:r w:rsidR="002A3C09">
        <w:rPr>
          <w:rFonts w:cstheme="minorHAnsi"/>
          <w:iCs/>
        </w:rPr>
        <w:t>show t</w:t>
      </w:r>
      <w:r w:rsidR="005E72D6">
        <w:rPr>
          <w:rFonts w:cstheme="minorHAnsi"/>
          <w:iCs/>
        </w:rPr>
        <w:t xml:space="preserve">he </w:t>
      </w:r>
      <w:r w:rsidR="001607B8">
        <w:rPr>
          <w:rFonts w:cstheme="minorHAnsi"/>
          <w:iCs/>
        </w:rPr>
        <w:t xml:space="preserve">distribution </w:t>
      </w:r>
      <w:r w:rsidR="005E72D6">
        <w:rPr>
          <w:rFonts w:cstheme="minorHAnsi"/>
          <w:iCs/>
        </w:rPr>
        <w:t>of biomass sources in the BECCS scenarios</w:t>
      </w:r>
      <w:r w:rsidR="001607B8">
        <w:rPr>
          <w:rFonts w:cstheme="minorHAnsi"/>
          <w:iCs/>
        </w:rPr>
        <w:t xml:space="preserve">. </w:t>
      </w:r>
    </w:p>
    <w:p w14:paraId="2CF2B3C4" w14:textId="40F6BD20" w:rsidR="00DF77B9" w:rsidRDefault="00D81CB0" w:rsidP="00DF77B9">
      <w:pPr>
        <w:spacing w:line="360" w:lineRule="auto"/>
        <w:jc w:val="both"/>
      </w:pPr>
      <w:r>
        <w:lastRenderedPageBreak/>
        <w:t>Estimates o</w:t>
      </w:r>
      <w:r w:rsidR="00795B04">
        <w:t>f</w:t>
      </w:r>
      <w:r>
        <w:t xml:space="preserve"> t</w:t>
      </w:r>
      <w:r w:rsidR="00B86B8E">
        <w:t xml:space="preserve">he </w:t>
      </w:r>
      <w:r w:rsidR="003C232B">
        <w:t>future</w:t>
      </w:r>
      <w:r w:rsidR="00B86B8E">
        <w:t xml:space="preserve"> availab</w:t>
      </w:r>
      <w:r w:rsidR="003C232B">
        <w:t>ility of</w:t>
      </w:r>
      <w:r w:rsidR="00B86B8E">
        <w:t xml:space="preserve"> marginal land for energy crops </w:t>
      </w:r>
      <w:r>
        <w:t>vary widely</w:t>
      </w:r>
      <w:r w:rsidR="009A68FC" w:rsidRPr="007E4C63">
        <w:rPr>
          <w:rFonts w:cstheme="minorHAnsi"/>
          <w:iCs/>
        </w:rPr>
        <w:fldChar w:fldCharType="begin"/>
      </w:r>
      <w:r w:rsidR="00971A76">
        <w:rPr>
          <w:rFonts w:cstheme="minorHAnsi"/>
          <w:iCs/>
        </w:rPr>
        <w:instrText xml:space="preserve"> ADDIN ZOTERO_ITEM CSL_CITATION {"citationID":"BfLsz0qY","properties":{"formattedCitation":"\\super 56\\uc0\\u8211{}61\\nosupersub{}","plainCitation":"56–61","noteIndex":0},"citationItems":[{"id":1609,"uris":["http://zotero.org/users/14213812/items/Y5HFRT4A"],"itemData":{"id":1609,"type":"article-journal","abstract":"To have a &gt;50% chance of limiting warming below 2 °C, most recent scenarios from integrated assessment models (IAMs) require large-scale deployment of negative emissions technologies (NETs). These are technologies that result in the net removal of greenhouse gases from the atmosphere. We quantify potential global impacts of the different NETs on various factors (such as land, greenhouse gas emissions, water, albedo, nutrients and energy) to determine the biophysical limits to, and economic costs of, their widespread application. Resource implications vary between technologies and need to be satisfactorily addressed if NETs are to have a significant role in achieving climate goals.","container-title":"Nature Climate Change","DOI":"10.1038/nclimate2870","ISSN":"17586798","issue":"1","note":"publisher: Nature Publishing Group","page":"42-50","title":"Biophysical and economic limits to negative CO2 emissions","volume":"6","author":[{"family":"Smith","given":"Pete"},{"family":"Davis","given":"Steven J."},{"family":"Creutzig","given":"Felix"},{"family":"Fuss","given":"Sabine"},{"family":"Minx","given":"Jan"},{"family":"Gabrielle","given":"Benoit"},{"family":"Kato","given":"Etsushi"},{"family":"Jackson","given":"Robert B."},{"family":"Cowie","given":"Annette"},{"family":"Kriegler","given":"Elmar"},{"family":"Van Vuuren","given":"Detlef P."},{"family":"Rogelj","given":"Joeri"},{"family":"Ciais","given":"Philippe"},{"family":"Milne","given":"Jennifer"},{"family":"Canadell","given":"Josep G."},{"family":"McCollum","given":"David"},{"family":"Peters","given":"Glen"},{"family":"Andrew","given":"Robbie"},{"family":"Krey","given":"Volker"},{"family":"Shrestha","given":"Gyami"},{"family":"Friedlingstein","given":"Pierre"},{"family":"Gasser","given":"Thomas"},{"family":"Grübler","given":"Arnulf"},{"family":"Heidug","given":"Wolfgang K."},{"family":"Jonas","given":"Matthias"},{"family":"Jones","given":"Chris D."},{"family":"Kraxner","given":"Florian"},{"family":"Littleton","given":"Emma"},{"family":"Lowe","given":"Jason"},{"family":"Moreira","given":"José Roberto"},{"family":"Nakicenovic","given":"Nebojsa"},{"family":"Obersteiner","given":"Michael"},{"family":"Patwardhan","given":"Anand"},{"family":"Rogner","given":"Mathis"},{"family":"Rubin","given":"Ed"},{"family":"Sharifi","given":"Ayyoob"},{"family":"Torvanger","given":"Asbjørn"},{"family":"Yamagata","given":"Yoshiki"},{"family":"Edmonds","given":"Jae"},{"family":"Yongsung","given":"Cho"}],"issued":{"date-parts":[["2016"]]}}},{"id":3304,"uris":["http://zotero.org/users/14213812/items/QNPFVT2U"],"itemData":{"id":3304,"type":"article-journal","abstract":"Biomass Energy with Carbon Capture and Storage (BECCS) is heavily relied upon in scenarios of future emissions that are consistent with limiting global mean temperature increase to 1.5 ◦C or 2 ◦C above pre-industrial. These temperature limits are deﬁned in the Paris Agreement in order to reduce the risks and impacts of climate change. Here, we explore the use of BECCS technologies in a reference scenario and three low emission scenarios generated by an integrated assessment model (IMAGE). Using these scenarios we investigate the feasibility of key implicit and explicit assumptions about these BECCS technologies, including biomass resource, land use, CO2 storage capacity and carbon capture and storage (CCS) deployment rate. In these scenarios, we ﬁnd that half of all global CO2 storage required by 2100 occurs in USA, Western Europe, China and India, which is compatible with current estimates of regional CO2 storage capacity. CCS deployment rates in the scenarios are very challenging compared to historical rates of fossil, renewable or nuclear technologies and are entirely dependent on stringent policy action to incentivise CCS. In the scenarios, half of the biomass resource is derived from agricultural and forestry residues and half from dedicated bioenergy crops grown on abandoned agricultural land and expansion into grasslands (i.e. land for forests and food production is protected). Poor governance of the sustainability of bioenergy crop production can signiﬁcantly limit the amount of CO2 removed by BECCS, through soil carbon loss from direct and indirect land use change. Only one-third of the bioenergy crops are grown in regions associated with more developed governance frameworks. Overall, the scenarios in IMAGE are ambitious but consistent with current relevant literature with respect to assumed biomass resource, land use and CO2 storage capacity.","container-title":"Environmental Research Letters","DOI":"10.1088/1748-9326/aaaa02","ISSN":"1748-9326","issue":"4","journalAbbreviation":"Environ. Res. Lett.","language":"en","page":"044014","source":"DOI.org (Crossref)","title":"Evaluating the use of biomass energy with carbon capture and storage in low emission scenarios","volume":"13","author":[{"family":"Vaughan","given":"Naomi E"},{"family":"Gough","given":"Clair"},{"family":"Mander","given":"Sarah"},{"family":"Littleton","given":"Emma W"},{"family":"Welfle","given":"Andrew"},{"family":"Gernaat","given":"David E H J"},{"family":"Van Vuuren","given":"Detlef P"}],"issued":{"date-parts":[["2018",4,1]]}}},{"id":1657,"uris":["http://zotero.org/users/14213812/items/5L497HC4"],"itemData":{"id":1657,"type":"article-journal","abstract":"Scenarios that limit global warming to below 2 °C by 2100 assume significant land-use change to support large-scale carbon dioxide (CO2) removal from the atmosphere by afforestation/reforestation, avoided deforestation, and Biomass Energy with Carbon Capture and Storage (BECCS). The more ambitious mitigation scenarios require even greater land area for mitigation and/or earlier adoption of CO2 removal strategies. Here we show that additional land-use change to meet a 1.5 °C climate change target could result in net losses of carbon from the land. The effectiveness of BECCS strongly depends on several assumptions related to the choice of biomass, the fate of initial above ground biomass, and the fossil-fuel emissions offset in the energy system. Depending on these factors, carbon removed from the atmosphere through BECCS could easily be offset by losses due to land-use change. If BECCS involves replacing high-carbon content ecosystems with crops, then forest-based mitigation could be more efficient for atmospheric CO2 removal than BECCS.","container-title":"Nature Communications","DOI":"10.1038/s41467-018-05340-z","ISSN":"20411723","issue":"1","note":"PMID: 30087330\nISBN: 4146701805","page":"2938","title":"Land-use emissions play a critical role in land-based mitigation for Paris climate targets","volume":"9","author":[{"family":"Harper","given":"Anna B."},{"family":"Powell","given":"Tom"},{"family":"Cox","given":"Peter M."},{"family":"House","given":"Joanna"},{"family":"Huntingford","given":"Chris"},{"family":"Lenton","given":"Timothy M."},{"family":"Sitch","given":"Stephen"},{"family":"Burke","given":"Eleanor"},{"family":"Chadburn","given":"Sarah E."},{"family":"Collins","given":"William J."},{"family":"Comyn-Platt","given":"Edward"},{"family":"Daioglou","given":"Vassilis"},{"family":"Doelman","given":"Jonathan C."},{"family":"Hayman","given":"Garry"},{"family":"Robertson","given":"Eddy"},{"family":"Vuuren","given":"Detlef","non-dropping-particle":"van"},{"family":"Wiltshire","given":"Andy"},{"family":"Webber","given":"Christopher P."},{"family":"Bastos","given":"Ana"},{"family":"Boysen","given":"Lena"},{"family":"Ciais","given":"Philippe"},{"family":"Devaraju","given":"Narayanappa"},{"family":"Jain","given":"Atul K."},{"family":"Krause","given":"Andreas"},{"family":"Poulter","given":"Ben"},{"family":"Shu","given":"Shijie"}],"issued":{"date-parts":[["2018"]]}}},{"id":3298,"uris":["http://zotero.org/users/14213812/items/5MUUUH6K"],"itemData":{"id":3298,"type":"article-journal","abstract":"Massive near-term greenhouse gas emissions reduction is a precondition for staying “well below 2</w:instrText>
      </w:r>
      <w:r w:rsidR="00971A76">
        <w:rPr>
          <w:rFonts w:ascii="Cambria Math" w:hAnsi="Cambria Math" w:cs="Cambria Math"/>
          <w:iCs/>
        </w:rPr>
        <w:instrText>∘</w:instrText>
      </w:r>
      <w:r w:rsidR="00971A76">
        <w:rPr>
          <w:rFonts w:cstheme="minorHAnsi"/>
          <w:iCs/>
        </w:rPr>
        <w:instrText>C</w:instrText>
      </w:r>
      <w:r w:rsidR="00971A76">
        <w:rPr>
          <w:rFonts w:ascii="Calibri" w:hAnsi="Calibri" w:cs="Calibri"/>
          <w:iCs/>
        </w:rPr>
        <w:instrText>”</w:instrText>
      </w:r>
      <w:r w:rsidR="00971A76">
        <w:rPr>
          <w:rFonts w:cstheme="minorHAnsi"/>
          <w:iCs/>
        </w:rPr>
        <w:instrText xml:space="preserve"> global warming as envisaged by the Paris Agreement. Furthermore, extensive terrestrial carbon dioxide removal (tCDR) through managed biomass growth and subsequent carbon capture and storage is required to avoid temperature </w:instrText>
      </w:r>
      <w:r w:rsidR="00971A76">
        <w:rPr>
          <w:rFonts w:ascii="Calibri" w:hAnsi="Calibri" w:cs="Calibri"/>
          <w:iCs/>
        </w:rPr>
        <w:instrText>“</w:instrText>
      </w:r>
      <w:r w:rsidR="00971A76">
        <w:rPr>
          <w:rFonts w:cstheme="minorHAnsi"/>
          <w:iCs/>
        </w:rPr>
        <w:instrText>overshoot</w:instrText>
      </w:r>
      <w:r w:rsidR="00971A76">
        <w:rPr>
          <w:rFonts w:ascii="Calibri" w:hAnsi="Calibri" w:cs="Calibri"/>
          <w:iCs/>
        </w:rPr>
        <w:instrText>”</w:instrText>
      </w:r>
      <w:r w:rsidR="00971A76">
        <w:rPr>
          <w:rFonts w:cstheme="minorHAnsi"/>
          <w:iCs/>
        </w:rPr>
        <w:instrText xml:space="preserve"> in most pertinent scenarios. Here, we address two major issues: First, we calculate the extent of tCDR required to </w:instrText>
      </w:r>
      <w:r w:rsidR="00971A76">
        <w:rPr>
          <w:rFonts w:ascii="Calibri" w:hAnsi="Calibri" w:cs="Calibri"/>
          <w:iCs/>
        </w:rPr>
        <w:instrText>“</w:instrText>
      </w:r>
      <w:r w:rsidR="00971A76">
        <w:rPr>
          <w:rFonts w:cstheme="minorHAnsi"/>
          <w:iCs/>
        </w:rPr>
        <w:instrText>repair</w:instrText>
      </w:r>
      <w:r w:rsidR="00971A76">
        <w:rPr>
          <w:rFonts w:ascii="Calibri" w:hAnsi="Calibri" w:cs="Calibri"/>
          <w:iCs/>
        </w:rPr>
        <w:instrText>”</w:instrText>
      </w:r>
      <w:r w:rsidR="00971A76">
        <w:rPr>
          <w:rFonts w:cstheme="minorHAnsi"/>
          <w:iCs/>
        </w:rPr>
        <w:instrText xml:space="preserve"> delayed or insu</w:instrText>
      </w:r>
      <w:r w:rsidR="00971A76">
        <w:rPr>
          <w:rFonts w:ascii="Calibri" w:hAnsi="Calibri" w:cs="Calibri"/>
          <w:iCs/>
        </w:rPr>
        <w:instrText>ﬃ</w:instrText>
      </w:r>
      <w:r w:rsidR="00971A76">
        <w:rPr>
          <w:rFonts w:cstheme="minorHAnsi"/>
          <w:iCs/>
        </w:rPr>
        <w:instrText>cient emissions reduction policies unable to prevent global mean temperature rise of 2.5</w:instrText>
      </w:r>
      <w:r w:rsidR="00971A76">
        <w:rPr>
          <w:rFonts w:ascii="Cambria Math" w:hAnsi="Cambria Math" w:cs="Cambria Math"/>
          <w:iCs/>
        </w:rPr>
        <w:instrText>∘</w:instrText>
      </w:r>
      <w:r w:rsidR="00971A76">
        <w:rPr>
          <w:rFonts w:cstheme="minorHAnsi"/>
          <w:iCs/>
        </w:rPr>
        <w:instrText>C or even 4.5</w:instrText>
      </w:r>
      <w:r w:rsidR="00971A76">
        <w:rPr>
          <w:rFonts w:ascii="Cambria Math" w:hAnsi="Cambria Math" w:cs="Cambria Math"/>
          <w:iCs/>
        </w:rPr>
        <w:instrText>∘</w:instrText>
      </w:r>
      <w:r w:rsidR="00971A76">
        <w:rPr>
          <w:rFonts w:cstheme="minorHAnsi"/>
          <w:iCs/>
        </w:rPr>
        <w:instrText xml:space="preserve">C above pre-industrial level. Our results show that those tCDR measures are unable to counteract </w:instrText>
      </w:r>
      <w:r w:rsidR="00971A76">
        <w:rPr>
          <w:rFonts w:ascii="Calibri" w:hAnsi="Calibri" w:cs="Calibri"/>
          <w:iCs/>
        </w:rPr>
        <w:instrText>“</w:instrText>
      </w:r>
      <w:r w:rsidR="00971A76">
        <w:rPr>
          <w:rFonts w:cstheme="minorHAnsi"/>
          <w:iCs/>
        </w:rPr>
        <w:instrText>business-as-usual</w:instrText>
      </w:r>
      <w:r w:rsidR="00971A76">
        <w:rPr>
          <w:rFonts w:ascii="Calibri" w:hAnsi="Calibri" w:cs="Calibri"/>
          <w:iCs/>
        </w:rPr>
        <w:instrText>”</w:instrText>
      </w:r>
      <w:r w:rsidR="00971A76">
        <w:rPr>
          <w:rFonts w:cstheme="minorHAnsi"/>
          <w:iCs/>
        </w:rPr>
        <w:instrText xml:space="preserve"> emissions without eliminating virtually all natural ecosystems. Even if considerable (Representative Concentration Pathway 4.5 [RCP4.5]) emissions reductions are assumed, tCDR with 50% storage e</w:instrText>
      </w:r>
      <w:r w:rsidR="00971A76">
        <w:rPr>
          <w:rFonts w:ascii="Calibri" w:hAnsi="Calibri" w:cs="Calibri"/>
          <w:iCs/>
        </w:rPr>
        <w:instrText>ﬃ</w:instrText>
      </w:r>
      <w:r w:rsidR="00971A76">
        <w:rPr>
          <w:rFonts w:cstheme="minorHAnsi"/>
          <w:iCs/>
        </w:rPr>
        <w:instrText>ciency requires &gt;1.1 Gha of the most productive agricultural areas or the elimination of &gt;50% of natural forests. In addition, &gt;100 MtN/yr fertilizers would be needed to remove the roughly 320 GtC foreseen in these scenarios. Such interventions would severely compromise food production and/or biosphere functioning. Second, we reanalyze the requirements for achieving the 160–190 GtC tCDR that would complement strong mitigation action (RCP2.6) in order to avoid 2</w:instrText>
      </w:r>
      <w:r w:rsidR="00971A76">
        <w:rPr>
          <w:rFonts w:ascii="Cambria Math" w:hAnsi="Cambria Math" w:cs="Cambria Math"/>
          <w:iCs/>
        </w:rPr>
        <w:instrText>∘</w:instrText>
      </w:r>
      <w:r w:rsidR="00971A76">
        <w:rPr>
          <w:rFonts w:cstheme="minorHAnsi"/>
          <w:iCs/>
        </w:rPr>
        <w:instrText xml:space="preserve">C overshoot anytime. We </w:instrText>
      </w:r>
      <w:r w:rsidR="00971A76">
        <w:rPr>
          <w:rFonts w:ascii="Calibri" w:hAnsi="Calibri" w:cs="Calibri"/>
          <w:iCs/>
        </w:rPr>
        <w:instrText>ﬁ</w:instrText>
      </w:r>
      <w:r w:rsidR="00971A76">
        <w:rPr>
          <w:rFonts w:cstheme="minorHAnsi"/>
          <w:iCs/>
        </w:rPr>
        <w:instrText>nd that a combination of high irrigation water input and/or more e</w:instrText>
      </w:r>
      <w:r w:rsidR="00971A76">
        <w:rPr>
          <w:rFonts w:ascii="Calibri" w:hAnsi="Calibri" w:cs="Calibri"/>
          <w:iCs/>
        </w:rPr>
        <w:instrText>ﬃ</w:instrText>
      </w:r>
      <w:r w:rsidR="00971A76">
        <w:rPr>
          <w:rFonts w:cstheme="minorHAnsi"/>
          <w:iCs/>
        </w:rPr>
        <w:instrText>cient conversion to stored carbon is necessary. In the face of severe trade-o</w:instrText>
      </w:r>
      <w:r w:rsidR="00971A76">
        <w:rPr>
          <w:rFonts w:ascii="Calibri" w:hAnsi="Calibri" w:cs="Calibri"/>
          <w:iCs/>
        </w:rPr>
        <w:instrText>ﬀ</w:instrText>
      </w:r>
      <w:r w:rsidR="00971A76">
        <w:rPr>
          <w:rFonts w:cstheme="minorHAnsi"/>
          <w:iCs/>
        </w:rPr>
        <w:instrText>s with society and the biosphere, we conclude that large-scale tCDR is not a viable alternative to aggressive emissions reduction. However, we argue that tCDR might serve as a valuable “supporting actor” for strong mitigation if sustainable schemes are established immediately.","container-title":"Earth's Future","DOI":"10.1002/2016EF000469","ISSN":"2328-4277, 2328-4277","issue":"5","journalAbbreviation":"Earth's Future","language":"en","license":"http://creativecommons.org/licenses/by-nc-nd/4.0/","</w:instrText>
      </w:r>
      <w:r w:rsidR="00971A76">
        <w:rPr>
          <w:rFonts w:cstheme="minorHAnsi" w:hint="eastAsia"/>
          <w:iCs/>
        </w:rPr>
        <w:instrText>page":"463-474","source":"DOI.org (Crossref)","title":"The limits to global</w:instrText>
      </w:r>
      <w:r w:rsidR="00971A76">
        <w:rPr>
          <w:rFonts w:cstheme="minorHAnsi" w:hint="eastAsia"/>
          <w:iCs/>
        </w:rPr>
        <w:instrText>‐</w:instrText>
      </w:r>
      <w:r w:rsidR="00971A76">
        <w:rPr>
          <w:rFonts w:cstheme="minorHAnsi" w:hint="eastAsia"/>
          <w:iCs/>
        </w:rPr>
        <w:instrText>warming mitigation by terrestrial carbon removal","volume":"5","author":[{"family":"Boysen","given":"Lena R."},{"family":"Lucht","given":"Wolfgang"},{"family":"Gerten","given":"Di</w:instrText>
      </w:r>
      <w:r w:rsidR="00971A76">
        <w:rPr>
          <w:rFonts w:cstheme="minorHAnsi"/>
          <w:iCs/>
        </w:rPr>
        <w:instrText xml:space="preserve">eter"},{"family":"Heck","given":"Vera"},{"family":"Lenton","given":"Timothy M."},{"family":"Schellnhuber","given":"Hans Joachim"}],"issued":{"date-parts":[["2017",5]]}}},{"id":1679,"uris":["http://zotero.org/users/14213812/items/RD7VGZSW"],"itemData":{"id":1679,"type":"article-journal","abstract":"Bioenergy with carbon capture and storage (BECCS) can act as a negative emission technology and is considered crucial in many climate change mitigation pathways that limit global warming to 1.5–2 °C; however, the negative emission potential of BECCS has not been rigorously assessed. Here we perform a global spatially explicit analysis of life-cycle GHG emissions for lignocellulosic crop-based BECCS. We show that negative emissions greatly depend on biomass cultivation location, treatment of original vegetation, the final energy carrier produced and the evaluation period considered. We find a global potential of 28 EJ per year for electricity with negative emissions, sequestering 2.5 GtCO2 per year when accounting emissions over 30 years, which increases to 220 EJ per year and 40 GtCO2 per year over 80 years. We show that BECCS sequestration projected in IPCC SR1.5 °C pathways can be approached biophysically; however, considering its potentially very large land requirements, we suggest substantially limited and earlier deployment.","container-title":"Nature Climate Change","DOI":"10.1038/s41558-020-0885-y","ISSN":"17586798","issue":"11","note":"publisher: Springer US","page":"1023-1029","title":"The climate change mitigation potential of bioenergy with carbon capture and storage","volume":"10","author":[{"family":"Hanssen","given":"S. V."},{"family":"Daioglou","given":"V."},{"family":"Steinmann","given":"Z. J.N."},{"family":"Doelman","given":"J. C."},{"family":"Van Vuuren","given":"D. P."},{"family":"Huijbregts","given":"M. A.J."}],"issued":{"date-parts":[["2020"]]}}},{"id":3299,"uris":["http://zotero.org/users/14213812/items/QEKGQXYK"],"itemData":{"id":3299,"type":"article-journal","abstract":"Abstract\n            \n              Natural revegetation, afforestation, and lignocellulosic crops for bioenergy, possibly coupled with a developing technology like carbon capture and storage, are the most common land-based climate change mitigation options. However, they can compete for land and threaten food security or nature conservation. Using abandoned cropland for their deployment can minimize these risks, but associated potentials are unclear. Here, we compare alternative land-based mitigation options by integrating historical and future (up to 2050) abandoned cropland with site-specific biomass yields and life-cycle emissions. Considering natural revegetation in biodiversity priority areas and different measures in the remaining land can achieve a mitigation potential of 0.8–4.0 GtCO\n              2\n              -equivalents yr\n              −1\n              (2–11% of 2021 global CO\n              2\n              emissions). Afforestation generally provides larger climate benefits than bioenergy, but bioenergy with carbon capture and storage delivers the highest mitigation in most locations. Overall, these results offer refined estimates of mitigation potentials from abandoned cropland and highlight opportunities for context-specific mitigation measures.","container-title":"Communications Earth &amp; Environment","DOI":"10.1038/s43247-023-00696-7","ISSN":"2662-4435","issue":"1","journalAbbreviation":"Commun Earth Environ","language":"en","page":"39","source":"DOI.org (Crossref)","title":"Potential of land-based climate change mitigation strategies on abandoned cropland","volume":"4","author":[{"family":"Gvein","given":"Maren H."},{"family":"Hu","given":"Xiangping"},{"family":"Næss","given":"Jan S."},{"family":"Watanabe","given":"Marcos D. B."},{"family":"Cavalett","given":"Otávio"},{"family":"Malbranque","given":"Maxime"},{"family":"Kindermann","given":"Georg"},{"family":"Cherubini","given":"Francesco"}],"issued":{"date-parts":[["2023",2,16]]}}}],"schema":"https://github.com/citation-style-language/schema/raw/master/csl-citation.json"} </w:instrText>
      </w:r>
      <w:r w:rsidR="009A68FC" w:rsidRPr="007E4C63">
        <w:rPr>
          <w:rFonts w:cstheme="minorHAnsi"/>
          <w:iCs/>
        </w:rPr>
        <w:fldChar w:fldCharType="separate"/>
      </w:r>
      <w:r w:rsidR="00971A76" w:rsidRPr="00971A76">
        <w:rPr>
          <w:rFonts w:ascii="Calibri" w:hAnsi="Calibri" w:cs="Calibri"/>
          <w:vertAlign w:val="superscript"/>
        </w:rPr>
        <w:t>56–61</w:t>
      </w:r>
      <w:r w:rsidR="009A68FC" w:rsidRPr="007E4C63">
        <w:rPr>
          <w:rFonts w:cstheme="minorHAnsi"/>
          <w:iCs/>
        </w:rPr>
        <w:fldChar w:fldCharType="end"/>
      </w:r>
      <w:r w:rsidR="00E0385D">
        <w:rPr>
          <w:rFonts w:ascii="Times New Roman" w:hAnsi="Times New Roman" w:cs="Times New Roman"/>
          <w:iCs/>
        </w:rPr>
        <w:t>.</w:t>
      </w:r>
      <w:r>
        <w:t xml:space="preserve"> </w:t>
      </w:r>
      <w:r w:rsidR="00057B7C">
        <w:t>Here w</w:t>
      </w:r>
      <w:r w:rsidR="00144CDC">
        <w:t>e</w:t>
      </w:r>
      <w:r w:rsidR="005E4808">
        <w:t xml:space="preserve"> assume that</w:t>
      </w:r>
      <w:r w:rsidR="00E918F5">
        <w:t xml:space="preserve"> </w:t>
      </w:r>
      <w:r w:rsidR="00360CCE">
        <w:t xml:space="preserve">energy crops are </w:t>
      </w:r>
      <w:r w:rsidR="001F0CDC">
        <w:t>cultivated on</w:t>
      </w:r>
      <w:r w:rsidR="00360CCE">
        <w:t xml:space="preserve"> abandoned croplands</w:t>
      </w:r>
      <w:r w:rsidR="00E951EC">
        <w:t xml:space="preserve"> and grasslands in equal shares</w:t>
      </w:r>
      <w:r w:rsidR="00FA2097">
        <w:t xml:space="preserve">, </w:t>
      </w:r>
      <w:r w:rsidR="008A7DF0">
        <w:t>considering</w:t>
      </w:r>
      <w:r w:rsidR="00E918F5">
        <w:t xml:space="preserve"> </w:t>
      </w:r>
      <w:r w:rsidR="0016100C">
        <w:rPr>
          <w:rFonts w:cstheme="minorHAnsi"/>
        </w:rPr>
        <w:t>±50%</w:t>
      </w:r>
      <w:r w:rsidR="00FA2097">
        <w:t xml:space="preserve"> </w:t>
      </w:r>
      <w:r w:rsidR="008A7DF0">
        <w:t xml:space="preserve">changes </w:t>
      </w:r>
      <w:r w:rsidR="00D651DF">
        <w:t xml:space="preserve">for the sensitivity </w:t>
      </w:r>
      <w:r w:rsidR="00D651DF" w:rsidRPr="00147020">
        <w:t xml:space="preserve">analysis (Table </w:t>
      </w:r>
      <w:r w:rsidR="00C02027" w:rsidRPr="00147020">
        <w:t>1.</w:t>
      </w:r>
      <w:r w:rsidR="004C46C3">
        <w:t>9</w:t>
      </w:r>
      <w:r w:rsidR="00D651DF" w:rsidRPr="00147020">
        <w:t xml:space="preserve"> in</w:t>
      </w:r>
      <w:r w:rsidR="00D651DF">
        <w:t xml:space="preserve"> the Supplementary Data file). </w:t>
      </w:r>
      <w:r w:rsidR="00DF77B9">
        <w:t xml:space="preserve">We consider that the yields of crops planted on grasslands are equal to those obtained for optimal soil conditions (reported in </w:t>
      </w:r>
      <w:r w:rsidR="00DF77B9">
        <w:fldChar w:fldCharType="begin" w:fldLock="1"/>
      </w:r>
      <w:r w:rsidR="00971A76">
        <w:instrText xml:space="preserve"> ADDIN ZOTERO_ITEM CSL_CITATION {"citationID":"MLJS5in8","properties":{"formattedCitation":"\\super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rsidR="00DF77B9">
        <w:fldChar w:fldCharType="separate"/>
      </w:r>
      <w:r w:rsidR="00971A76" w:rsidRPr="00971A76">
        <w:rPr>
          <w:rFonts w:ascii="Calibri" w:hAnsi="Calibri" w:cs="Calibri"/>
          <w:vertAlign w:val="superscript"/>
        </w:rPr>
        <w:t>16</w:t>
      </w:r>
      <w:r w:rsidR="00DF77B9">
        <w:fldChar w:fldCharType="end"/>
      </w:r>
      <w:r w:rsidR="00DF77B9">
        <w:t xml:space="preserve"> and </w:t>
      </w:r>
      <w:r w:rsidR="00DF77B9">
        <w:fldChar w:fldCharType="begin" w:fldLock="1"/>
      </w:r>
      <w:r w:rsidR="00971A76">
        <w:instrText xml:space="preserve"> ADDIN ZOTERO_ITEM CSL_CITATION {"citationID":"70cWzNHm","properties":{"formattedCitation":"\\super 62\\nosupersub{}","plainCitation":"62","noteIndex":0},"citationItems":[{"id":2127,"uris":["http://www.mendeley.com/documents/?uuid=f2d7e879-3826-47bc-a78b-657a6dfee3e1","http://zotero.org/users/14213812/items/699ZQLJT"],"itemData":{"id":2127,"type":"article-journal","container-title":"Environmental Science and Technology","DOI":"10.1021/es5060786","issue":"8","page":"5195-5202","title":"Biomass Pyrolysis for Biochar or Energy Applications? A Life Cycle Assessment","volume":"49","author":[{"family":"Peters","given":"Jens F"},{"family":"Iribarren","given":"Diego"},{"family":"Dufour","given":"Javier"}],"issued":{"date-parts":[["2015"]]}}}],"schema":"https://github.com/citation-style-language/schema/raw/master/csl-citation.json"} </w:instrText>
      </w:r>
      <w:r w:rsidR="00DF77B9">
        <w:fldChar w:fldCharType="separate"/>
      </w:r>
      <w:r w:rsidR="00971A76" w:rsidRPr="00971A76">
        <w:rPr>
          <w:rFonts w:ascii="Calibri" w:hAnsi="Calibri" w:cs="Calibri"/>
          <w:vertAlign w:val="superscript"/>
        </w:rPr>
        <w:t>62</w:t>
      </w:r>
      <w:r w:rsidR="00DF77B9">
        <w:fldChar w:fldCharType="end"/>
      </w:r>
      <w:r w:rsidR="00DF77B9">
        <w:t xml:space="preserve">). On </w:t>
      </w:r>
      <w:r w:rsidR="009B00DE">
        <w:t xml:space="preserve">abandoned </w:t>
      </w:r>
      <w:r w:rsidR="00DF77B9">
        <w:t xml:space="preserve">croplands, we assume a 33-66% reduction in the crop yields, consistent with </w:t>
      </w:r>
      <w:r w:rsidR="00DF77B9" w:rsidRPr="002D13D9">
        <w:rPr>
          <w:rFonts w:cstheme="minorHAnsi"/>
          <w:iCs/>
        </w:rPr>
        <w:fldChar w:fldCharType="begin"/>
      </w:r>
      <w:r w:rsidR="00B4317C">
        <w:rPr>
          <w:rFonts w:cstheme="minorHAnsi"/>
          <w:iCs/>
        </w:rPr>
        <w:instrText xml:space="preserve"> ADDIN ZOTERO_ITEM CSL_CITATION {"citationID":"0BlgVSBJ","properties":{"formattedCitation":"\\super 63\\nosupersub{}","plainCitation":"63","noteIndex":0},"citationItems":[{"id":"z2fanENt/lxTmJeQf","uris":["http://zotero.org/users/local/lhmAtxw2/items/LHZ4Q2Q2"],"itemData":{"id":3038,"type":"article-journal","abstract":"Cropland redistribution to marginal land has been reported worldwide; however, the resulting impacts on environmental sustainability have not been investigated sufficiently. Here we investigated the environmental impacts of cropland redistribution in China. As a result of urbanization-induced loss of high-quality croplands in south China (</w:instrText>
      </w:r>
      <w:r w:rsidR="00B4317C">
        <w:rPr>
          <w:rFonts w:ascii="Cambria Math" w:hAnsi="Cambria Math" w:cs="Cambria Math"/>
          <w:iCs/>
        </w:rPr>
        <w:instrText>∼</w:instrText>
      </w:r>
      <w:r w:rsidR="00B4317C">
        <w:rPr>
          <w:rFonts w:cstheme="minorHAnsi"/>
          <w:iCs/>
        </w:rPr>
        <w:instrText>8.5 t ha</w:instrText>
      </w:r>
      <w:r w:rsidR="00B4317C">
        <w:rPr>
          <w:rFonts w:ascii="Calibri" w:hAnsi="Calibri" w:cs="Calibri"/>
          <w:iCs/>
        </w:rPr>
        <w:instrText>–</w:instrText>
      </w:r>
      <w:r w:rsidR="00B4317C">
        <w:rPr>
          <w:rFonts w:cstheme="minorHAnsi"/>
          <w:iCs/>
        </w:rPr>
        <w:instrText>1), croplands expanded to marginal lands in northeast (</w:instrText>
      </w:r>
      <w:r w:rsidR="00B4317C">
        <w:rPr>
          <w:rFonts w:ascii="Cambria Math" w:hAnsi="Cambria Math" w:cs="Cambria Math"/>
          <w:iCs/>
        </w:rPr>
        <w:instrText>∼</w:instrText>
      </w:r>
      <w:r w:rsidR="00B4317C">
        <w:rPr>
          <w:rFonts w:cstheme="minorHAnsi"/>
          <w:iCs/>
        </w:rPr>
        <w:instrText>4.5 t ha</w:instrText>
      </w:r>
      <w:r w:rsidR="00B4317C">
        <w:rPr>
          <w:rFonts w:ascii="Calibri" w:hAnsi="Calibri" w:cs="Calibri"/>
          <w:iCs/>
        </w:rPr>
        <w:instrText>–</w:instrText>
      </w:r>
      <w:r w:rsidR="00B4317C">
        <w:rPr>
          <w:rFonts w:cstheme="minorHAnsi"/>
          <w:iCs/>
        </w:rPr>
        <w:instrText>1) and northwest China (</w:instrText>
      </w:r>
      <w:r w:rsidR="00B4317C">
        <w:rPr>
          <w:rFonts w:ascii="Cambria Math" w:hAnsi="Cambria Math" w:cs="Cambria Math"/>
          <w:iCs/>
        </w:rPr>
        <w:instrText>∼</w:instrText>
      </w:r>
      <w:r w:rsidR="00B4317C">
        <w:rPr>
          <w:rFonts w:cstheme="minorHAnsi"/>
          <w:iCs/>
        </w:rPr>
        <w:instrText>2.9 t ha</w:instrText>
      </w:r>
      <w:r w:rsidR="00B4317C">
        <w:rPr>
          <w:rFonts w:ascii="Calibri" w:hAnsi="Calibri" w:cs="Calibri"/>
          <w:iCs/>
        </w:rPr>
        <w:instrText>–</w:instrText>
      </w:r>
      <w:r w:rsidR="00B4317C">
        <w:rPr>
          <w:rFonts w:cstheme="minorHAnsi"/>
          <w:iCs/>
        </w:rPr>
        <w:instrText>1) during 1990</w:instrText>
      </w:r>
      <w:r w:rsidR="00B4317C">
        <w:rPr>
          <w:rFonts w:ascii="Calibri" w:hAnsi="Calibri" w:cs="Calibri"/>
          <w:iCs/>
        </w:rPr>
        <w:instrText>–</w:instrText>
      </w:r>
      <w:r w:rsidR="00B4317C">
        <w:rPr>
          <w:rFonts w:cstheme="minorHAnsi"/>
          <w:iCs/>
        </w:rPr>
        <w:instrText xml:space="preserve">2015 to pursue food security. However, the reclamation in these low-yield and ecologically vulnerable zones considerably undermined local environmental sustainability, for example increasing wind erosion (+3.47%), irrigation water consumption (+34.42%), fertilizer use (+20.02%) and decreasing natural habitats (−3.11%). Forecasts show that further reclamation in marginal lands per current policies would exacerbate environmental costs by 2050. The future cropland security risk will be remarkably intensified because of the conflict between food production and environmental sustainability. Our research suggests that globally emerging reclamation of marginal lands should be restricted and crop yield boost should be encouraged for both food security and environmental benefits.","container-title":"National Science Review","DOI":"10.1093/nsr/nwab091","ISSN":"2095-5138, 2053-714X","issue":"1","language":"en","license":"https://creativecommons.org/licenses/by/4.0/","page":"nwab091","source":"DOI.org (Crossref)","title":"Cropland redistribution to marginal lands undermines environmental sustainability","volume":"9","author":[{"family":"Kuang","given":"Wenhui"},{"family":"Liu","given":"Jiyuan"},{"family":"Tian","given":"Hanqin"},{"family":"Shi","given":"Hao"},{"family":"Dong","given":"Jinwei"},{"family":"Song","given":"Changqing"},{"family":"Li","given":"Xiaoyong"},{"family":"Du","given":"Guoming"},{"family":"Hou","given":"Yali"},{"family":"Lu","given":"Dengsheng"},{"family":"Chi","given":"Wenfeng"},{"family":"Pan","given":"Tao"},{"family":"Zhang","given":"Shuwen"},{"family":"Hamdi","given":"Rafiq"},{"family":"Yin","given":"Zherui"},{"family":"Yan","given":"Huimin"},{"family":"Yan","given":"Changzhen"},{"family":"Wu","given":"Shixin"},{"family":"Li","given":"Rendong"},{"family":"Yang","given":"Jiuchun"},{"family":"Dou","given":"Yinyin"},{"family":"Wu","given":"Wenbin"},{"family":"Liang","given":"Liqiao"},{"family":"Xiang","given":"Bao"},{"family":"Yang","given":"Shiqi"}],"issued":{"date-parts":[["2022",1,19]]}}}],"schema":"https://github.com/citation-style-language/schema/raw/master/csl-citation.json"} </w:instrText>
      </w:r>
      <w:r w:rsidR="00DF77B9" w:rsidRPr="002D13D9">
        <w:rPr>
          <w:rFonts w:cstheme="minorHAnsi"/>
          <w:iCs/>
        </w:rPr>
        <w:fldChar w:fldCharType="separate"/>
      </w:r>
      <w:r w:rsidR="00971A76" w:rsidRPr="00971A76">
        <w:rPr>
          <w:rFonts w:ascii="Calibri" w:hAnsi="Calibri" w:cs="Calibri"/>
          <w:vertAlign w:val="superscript"/>
        </w:rPr>
        <w:t>63</w:t>
      </w:r>
      <w:r w:rsidR="00DF77B9" w:rsidRPr="002D13D9">
        <w:rPr>
          <w:rFonts w:cstheme="minorHAnsi"/>
          <w:iCs/>
        </w:rPr>
        <w:fldChar w:fldCharType="end"/>
      </w:r>
      <w:r w:rsidR="009630AC">
        <w:rPr>
          <w:rFonts w:cstheme="minorHAnsi"/>
          <w:iCs/>
        </w:rPr>
        <w:t xml:space="preserve"> </w:t>
      </w:r>
      <w:r w:rsidR="009630AC" w:rsidRPr="009630AC">
        <w:rPr>
          <w:rFonts w:cstheme="minorHAnsi"/>
        </w:rPr>
        <w:t>(Table 1.10 in the Supplementary Data file)</w:t>
      </w:r>
      <w:r w:rsidR="00DF77B9" w:rsidRPr="009630AC">
        <w:rPr>
          <w:rFonts w:cstheme="minorHAnsi"/>
        </w:rPr>
        <w:t>.</w:t>
      </w:r>
    </w:p>
    <w:p w14:paraId="62339783" w14:textId="22AC903C" w:rsidR="00C94449" w:rsidRDefault="005C2FEA" w:rsidP="000E3F7E">
      <w:pPr>
        <w:spacing w:line="360" w:lineRule="auto"/>
        <w:jc w:val="both"/>
      </w:pPr>
      <w:r w:rsidRPr="0085599E">
        <w:t>N</w:t>
      </w:r>
      <w:r w:rsidR="002309BE" w:rsidRPr="0085599E">
        <w:t xml:space="preserve">atural grasslands </w:t>
      </w:r>
      <w:r w:rsidR="009432E0" w:rsidRPr="0085599E">
        <w:t>must be</w:t>
      </w:r>
      <w:r w:rsidRPr="0085599E">
        <w:t xml:space="preserve"> </w:t>
      </w:r>
      <w:r w:rsidR="002309BE" w:rsidRPr="0085599E">
        <w:t xml:space="preserve">cleared </w:t>
      </w:r>
      <w:r w:rsidR="007B5114" w:rsidRPr="0085599E">
        <w:t>and replaced with</w:t>
      </w:r>
      <w:r w:rsidR="001A3AB2" w:rsidRPr="0085599E">
        <w:t xml:space="preserve"> the</w:t>
      </w:r>
      <w:r w:rsidR="007B5114" w:rsidRPr="0085599E">
        <w:t xml:space="preserve"> biomass plantations</w:t>
      </w:r>
      <w:r w:rsidR="0097240A" w:rsidRPr="0085599E">
        <w:t xml:space="preserve"> the initial year of BECCS deployment</w:t>
      </w:r>
      <w:r w:rsidR="007B5114" w:rsidRPr="0085599E">
        <w:t xml:space="preserve">. This change in the original land cover </w:t>
      </w:r>
      <w:r w:rsidR="001768BC" w:rsidRPr="0085599E">
        <w:t xml:space="preserve">can lead </w:t>
      </w:r>
      <w:r w:rsidR="00840B08" w:rsidRPr="0085599E">
        <w:t xml:space="preserve">to </w:t>
      </w:r>
      <w:r w:rsidR="00287957" w:rsidRPr="0085599E">
        <w:t>variation</w:t>
      </w:r>
      <w:r w:rsidR="00840B08" w:rsidRPr="0085599E">
        <w:t xml:space="preserve">s in the </w:t>
      </w:r>
      <w:r w:rsidR="00287957" w:rsidRPr="0085599E">
        <w:t>soil</w:t>
      </w:r>
      <w:r w:rsidR="00840B08" w:rsidRPr="0085599E">
        <w:t xml:space="preserve"> </w:t>
      </w:r>
      <w:r w:rsidR="00287957" w:rsidRPr="0085599E">
        <w:t>o</w:t>
      </w:r>
      <w:r w:rsidR="00840B08" w:rsidRPr="0085599E">
        <w:t xml:space="preserve">rganic </w:t>
      </w:r>
      <w:r w:rsidR="00287957" w:rsidRPr="0085599E">
        <w:t>c</w:t>
      </w:r>
      <w:r w:rsidR="00840B08" w:rsidRPr="0085599E">
        <w:t>arbon levels</w:t>
      </w:r>
      <w:r w:rsidR="00A77172" w:rsidRPr="0085599E">
        <w:t xml:space="preserve">, </w:t>
      </w:r>
      <w:r w:rsidR="00134695" w:rsidRPr="0085599E">
        <w:t>contribut</w:t>
      </w:r>
      <w:r w:rsidR="0068146A" w:rsidRPr="0085599E">
        <w:t>ing</w:t>
      </w:r>
      <w:r w:rsidR="00955F4A" w:rsidRPr="0085599E">
        <w:t xml:space="preserve"> to</w:t>
      </w:r>
      <w:r w:rsidR="002459B7" w:rsidRPr="0085599E">
        <w:t xml:space="preserve"> either</w:t>
      </w:r>
      <w:r w:rsidR="00955F4A" w:rsidRPr="0085599E">
        <w:t xml:space="preserve"> additional CO</w:t>
      </w:r>
      <w:r w:rsidR="00955F4A" w:rsidRPr="0085599E">
        <w:rPr>
          <w:vertAlign w:val="subscript"/>
        </w:rPr>
        <w:t>2</w:t>
      </w:r>
      <w:r w:rsidR="00955F4A" w:rsidRPr="0085599E">
        <w:t xml:space="preserve"> emissions or</w:t>
      </w:r>
      <w:r w:rsidR="00A77172" w:rsidRPr="0085599E">
        <w:t xml:space="preserve"> soil carbon sequestration</w:t>
      </w:r>
      <w:r w:rsidR="004D57A4" w:rsidRPr="0085599E">
        <w:t>; w</w:t>
      </w:r>
      <w:r w:rsidR="00CB5428" w:rsidRPr="0085599E">
        <w:t xml:space="preserve">e </w:t>
      </w:r>
      <w:r w:rsidR="005D0448" w:rsidRPr="0085599E">
        <w:t>vary the</w:t>
      </w:r>
      <w:r w:rsidR="00CB5428" w:rsidRPr="0085599E">
        <w:t xml:space="preserve"> land-use change</w:t>
      </w:r>
      <w:r w:rsidR="00D11F94" w:rsidRPr="0085599E">
        <w:t xml:space="preserve"> </w:t>
      </w:r>
      <w:r w:rsidR="00EC5500" w:rsidRPr="0085599E">
        <w:t>emission</w:t>
      </w:r>
      <w:r w:rsidR="00AB268B" w:rsidRPr="0085599E">
        <w:t>s</w:t>
      </w:r>
      <w:r w:rsidR="008017C9" w:rsidRPr="0085599E">
        <w:t xml:space="preserve"> </w:t>
      </w:r>
      <w:r w:rsidR="006D7AE8" w:rsidRPr="0085599E">
        <w:t>in</w:t>
      </w:r>
      <w:r w:rsidR="008017C9" w:rsidRPr="0085599E">
        <w:t xml:space="preserve"> our scenarios in accordance with</w:t>
      </w:r>
      <w:r w:rsidR="002A4520" w:rsidRPr="0085599E">
        <w:t xml:space="preserve"> </w:t>
      </w:r>
      <w:r w:rsidR="00350DED" w:rsidRPr="0085599E">
        <w:t>Qin et al.</w:t>
      </w:r>
      <w:r w:rsidR="00A43BA5" w:rsidRPr="00D34E17">
        <w:fldChar w:fldCharType="begin" w:fldLock="1"/>
      </w:r>
      <w:r w:rsidR="00971A76">
        <w:instrText xml:space="preserve"> ADDIN ZOTERO_ITEM CSL_CITATION {"citationID":"pn2c4DUD","properties":{"formattedCitation":"\\super 64\\nosupersub{}","plainCitation":"64","noteIndex":0},"citationItems":[{"id":1807,"uris":["http://www.mendeley.com/documents/?uuid=9fc319b7-d777-4ff1-8a83-75ceb9b4630b","http://zotero.org/users/14213812/items/4IHIMJW5"],"itemData":{"id":1807,"type":"article-journal","abstract":"Soil organic carbon (SOC) change can be a major impact of land use change (LUC) associated with biofuel feedstock production. By collecting and analyzing data from worldwide field observations of major LUCs from cropland, grassland, and forest to lands producing biofuel crops (i.e. corn, switchgrass, Miscanthus, poplar, and willow), we were able to estimate SOC response ratios and sequestration rates and evaluate the effects of soil depth and time scale on SOC change. Both the amount and rate of SOC change were highly dependent on the specific land transition. Irrespective of soil depth or time horizon, cropland conversions resulted in an overall SOC gain of 6-14% relative to initial SOC level, while conversion from grassland or forest to corn (without residue removal) or poplar caused significant carbon loss (9-35%). No significant SOC changes were observed in land converted from grasslands or forests to switchgrass, Miscanthus, or willow. The SOC response ratios were similar in both 0-30 and 0-100 cm soil depths in most cases, suggesting SOC changes in deep soil and that use of top soil only for SOC accounting in biofuel life cycle analysis (LCA) might underestimate total SOC changes. Soil carbon sequestration rates varied greatly among studies and land transition types. Generally, the rates of SOC change tended to be the greatest during the 10 years following land conversion and had declined to approach 0 within about 20 years for most LUCs. Observed trends in SOC change were generally consistent with previous reports. Soil depth and duration of study significantly influence SOC change rates and so should be considered in carbon emission accounting in biofuel LCA. High uncertainty remains for many perennial systems and forest transitions, additional field trials, and modeling efforts are needed to draw conclusions about the site- and system-specific rates and direction of change.","container-title":"GCB Bioenergy","DOI":"10.1111/gcbb.12237","ISSN":"17571707","issue":"1","page":"66-80","title":"Soil carbon sequestration and land use change associated with biofuel production: Empirical evidence","volume":"8","author":[{"family":"Qin","given":"Zhangcai"},{"family":"Dunn","given":"Jennifer B."},{"family":"Kwon","given":"Hoyoung"},{"family":"Mueller","given":"Steffen"},{"family":"Wander","given":"Michelle M."}],"issued":{"date-parts":[["2016"]]}}}],"schema":"https://github.com/citation-style-language/schema/raw/master/csl-citation.json"} </w:instrText>
      </w:r>
      <w:r w:rsidR="00A43BA5" w:rsidRPr="00D34E17">
        <w:fldChar w:fldCharType="separate"/>
      </w:r>
      <w:r w:rsidR="00971A76" w:rsidRPr="00971A76">
        <w:rPr>
          <w:rFonts w:ascii="Calibri" w:hAnsi="Calibri" w:cs="Calibri"/>
          <w:vertAlign w:val="superscript"/>
        </w:rPr>
        <w:t>64</w:t>
      </w:r>
      <w:r w:rsidR="00A43BA5" w:rsidRPr="00D34E17">
        <w:fldChar w:fldCharType="end"/>
      </w:r>
      <w:r w:rsidR="009C408A" w:rsidRPr="00D34E17">
        <w:t xml:space="preserve"> </w:t>
      </w:r>
      <w:r w:rsidR="002A4520" w:rsidRPr="00D34E17">
        <w:t>(</w:t>
      </w:r>
      <w:r w:rsidR="001B2DD7" w:rsidRPr="00D34E17">
        <w:t>Table 1.</w:t>
      </w:r>
      <w:r w:rsidR="005702BB" w:rsidRPr="00D34E17">
        <w:t>11</w:t>
      </w:r>
      <w:r w:rsidR="001B2DD7" w:rsidRPr="0085599E">
        <w:t xml:space="preserve"> in the </w:t>
      </w:r>
      <w:r w:rsidR="002A4520" w:rsidRPr="0085599E">
        <w:t xml:space="preserve">Supplementary Data </w:t>
      </w:r>
      <w:r w:rsidR="001B2DD7" w:rsidRPr="0085599E">
        <w:t>file</w:t>
      </w:r>
      <w:r w:rsidR="002A4520" w:rsidRPr="0085599E">
        <w:t>)</w:t>
      </w:r>
      <w:r w:rsidR="00F1268F" w:rsidRPr="0085599E">
        <w:t>.</w:t>
      </w:r>
      <w:r w:rsidR="002A4520">
        <w:t xml:space="preserve"> </w:t>
      </w:r>
      <w:r w:rsidR="00CF56F1">
        <w:t xml:space="preserve">We </w:t>
      </w:r>
      <w:r w:rsidR="000D1A8F">
        <w:t xml:space="preserve">assume </w:t>
      </w:r>
      <w:r w:rsidR="00CF56F1">
        <w:t xml:space="preserve">that the biomass planted on </w:t>
      </w:r>
      <w:r w:rsidR="00FF23D0">
        <w:t xml:space="preserve">abandoned croplands does not lead to land-use change emissions.  </w:t>
      </w:r>
      <w:r w:rsidR="00810ACE">
        <w:t>O</w:t>
      </w:r>
      <w:r w:rsidR="000E3F7E" w:rsidRPr="00811608">
        <w:t>ur models do not include the biophysical effects of biomass plantations on evapotranspiration or albedo, which could induce additional cooling</w:t>
      </w:r>
      <w:r w:rsidR="000336EE" w:rsidRPr="00811608">
        <w:fldChar w:fldCharType="begin" w:fldLock="1"/>
      </w:r>
      <w:r w:rsidR="00B4317C">
        <w:instrText xml:space="preserve"> ADDIN ZOTERO_ITEM CSL_CITATION {"citationID":"jV1LYcwO","properties":{"formattedCitation":"\\super 65,66\\nosupersub{}","plainCitation":"65,66","noteIndex":0},"citationItems":[{"id":2243,"uris":["http://www.mendeley.com/documents/?uuid=ddbbf46d-d54a-44d3-9544-428c250c9bc1","http://zotero.org/users/14213812/items/JS3L57U7"],"itemData":{"id":2243,"type":"article-journal","abstract":"Bioenergy crop with carbon capture and storage (BECCS) is a key negative emission technology to meet carbon neutrality. However, the biophysical effects of widespread bioenergy crop cultivation on temperature remain unclear. Here, using a coupled atmosphere-land model with an explicit representation of lignocellulosic bioenergy crops, we find that after 50 years of large-scale bioenergy crop cultivation following plausible scenarios, global air temperature decreases by 0.03~0.08 °C, with strong regional contrasts and interannual variability. Over the cultivated regions, woody crops induce stronger cooling effects than herbaceous crops due to larger evapotranspiration rates and smaller aerodynamic resistance. At the continental scale, air temperature changes are not linearly proportional to the cultivation area. Sensitivity tests show that the temperature change is robust for eucalypt but more uncertain for switchgrass among different cultivation maps. Our study calls for new metrics to take the biophysical effects into account when assessing the climate mitigation capacity of BECCS.","container-title":"Nature Communications","DOI":"10.1038/s41467-021-27520-0","issue":"1","note":"publisher: Springer US\nISBN: 4146702127","page":"7255","title":"Global cooling induced by biophysical effects of bioenergy crop cultivation","volume":"12","author":[{"family":"Wang","given":"Jingmeng"},{"family":"Li","given":"Wei"},{"family":"Ciais","given":"Philippe"},{"family":"Li","given":"Laurent Z. X."},{"family":"Chang","given":"Jinfeng"},{"family":"Goll","given":"Daniel"},{"family":"Gasser","given":"Thomas"},{"family":"Huang","given":"Xiaomeng"},{"family":"Devaraju","given":"Narayanappa"},{"family":"Boucher","given":"Olivier"}],"issued":{"date-parts":[["2021"]]}}},{"id":"z2fanENt/lZv5b3c9","uris":["http://www.mendeley.com/documents/?uuid=30326c2d-0e39-4874-b904-6957298a9f5e"],"itemData":{"DOI":"10.1038/s43247-023-00866-7","ISSN":"26624435","abstract":"Carbon dioxide removal is essential for achieving the Paris Agreement targets. Here we compare bioenergy with carbon capture and storage (BECCS) and afforestation and reforestation in terms of their carbon removal potentials and impacts on carbon cycle and surface climate under an overshoot pathway using Earth System Model simulations. Althought initially BECCS can remove more carbon in allocated areas, carbon dioxide emissions from land use change regionally offset the benefits of BECCS compared to afforestation, depending on the carbon capture and storage efficiency and timescales required to achieve mitigation targets. Furthermore, BECCS may cause local cooling in high- and mid-latitude subregions of the Northern Hemisphere dominated by albedo effects, while afforestation causes local cooling in subtropical and tropical subregions through non-radiative mechanisms. The decision to allocate land to bioenergy crops or forests should account for their respective carbon removal potentials, modulated by carbon-concentration and carbon-climate feedbacks, and the effects on climate.","author":[{"dropping-particle":"","family":"Melnikova","given":"Irina","non-dropping-particle":"","parse-names":false,"suffix":""},{"dropping-particle":"","family":"Ciais","given":"Philippe","non-dropping-particle":"","parse-names":false,"suffix":""},{"dropping-particle":"","family":"Tanaka","given":"Katsumasa","non-dropping-particle":"","parse-names":false,"suffix":""},{"dropping-particle":"","family":"Vuichard","given":"Nicolas","non-dropping-particle":"","parse-names":false,"suffix":""},{"dropping-particle":"","family":"Boucher","given":"Olivier","non-dropping-particle":"","parse-names":false,"suffix":""}],"container-title":"Communications Earth and Environment","id":"ITEM-2","issue":"1","issued":{"date-parts":[["2023"]]},"page":"230","publisher":"Springer US","title":"Relative benefits of allocating land to bioenergy crops and forests vary by region","type":"article-journal","volume":"4"}}],"schema":"https://github.com/citation-style-language/schema/raw/master/csl-citation.json"} </w:instrText>
      </w:r>
      <w:r w:rsidR="000336EE" w:rsidRPr="00811608">
        <w:fldChar w:fldCharType="separate"/>
      </w:r>
      <w:r w:rsidR="00971A76" w:rsidRPr="00971A76">
        <w:rPr>
          <w:rFonts w:ascii="Calibri" w:hAnsi="Calibri" w:cs="Calibri"/>
          <w:vertAlign w:val="superscript"/>
        </w:rPr>
        <w:t>65,66</w:t>
      </w:r>
      <w:r w:rsidR="000336EE" w:rsidRPr="00811608">
        <w:fldChar w:fldCharType="end"/>
      </w:r>
      <w:r w:rsidR="000E3F7E" w:rsidRPr="00811608">
        <w:t>.</w:t>
      </w:r>
      <w:r w:rsidR="000E3F7E">
        <w:t xml:space="preserve"> </w:t>
      </w:r>
    </w:p>
    <w:p w14:paraId="7CBB795C" w14:textId="396CF45B" w:rsidR="008F6B51" w:rsidRDefault="008F6B51" w:rsidP="000E3F7E">
      <w:pPr>
        <w:spacing w:line="360" w:lineRule="auto"/>
        <w:jc w:val="both"/>
      </w:pPr>
      <w:r>
        <w:t xml:space="preserve">The life cycle inventories of </w:t>
      </w:r>
      <w:r w:rsidR="006A7462" w:rsidRPr="006A7462">
        <w:t>Miscanthus and poplar</w:t>
      </w:r>
      <w:r w:rsidRPr="006A7462">
        <w:t xml:space="preserve"> are taken</w:t>
      </w:r>
      <w:r>
        <w:t xml:space="preserve"> from </w:t>
      </w:r>
      <w:r>
        <w:fldChar w:fldCharType="begin" w:fldLock="1"/>
      </w:r>
      <w:r w:rsidR="00971A76">
        <w:instrText xml:space="preserve"> ADDIN ZOTERO_ITEM CSL_CITATION {"citationID":"swYVy3nB","properties":{"formattedCitation":"\\super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fldChar w:fldCharType="separate"/>
      </w:r>
      <w:r w:rsidR="00971A76" w:rsidRPr="00971A76">
        <w:rPr>
          <w:rFonts w:ascii="Calibri" w:hAnsi="Calibri" w:cs="Calibri"/>
          <w:vertAlign w:val="superscript"/>
        </w:rPr>
        <w:t>16</w:t>
      </w:r>
      <w:r>
        <w:fldChar w:fldCharType="end"/>
      </w:r>
      <w:r>
        <w:t xml:space="preserve"> and </w:t>
      </w:r>
      <w:r>
        <w:fldChar w:fldCharType="begin" w:fldLock="1"/>
      </w:r>
      <w:r w:rsidR="00971A76">
        <w:instrText xml:space="preserve"> ADDIN ZOTERO_ITEM CSL_CITATION {"citationID":"Va6zLOxL","properties":{"formattedCitation":"\\super 62\\nosupersub{}","plainCitation":"62","noteIndex":0},"citationItems":[{"id":2127,"uris":["http://www.mendeley.com/documents/?uuid=f2d7e879-3826-47bc-a78b-657a6dfee3e1","http://zotero.org/users/14213812/items/699ZQLJT"],"itemData":{"id":2127,"type":"article-journal","container-title":"Environmental Science and Technology","DOI":"10.1021/es5060786","issue":"8","page":"5195-5202","title":"Biomass Pyrolysis for Biochar or Energy Applications? A Life Cycle Assessment","volume":"49","author":[{"family":"Peters","given":"Jens F"},{"family":"Iribarren","given":"Diego"},{"family":"Dufour","given":"Javier"}],"issued":{"date-parts":[["2015"]]}}}],"schema":"https://github.com/citation-style-language/schema/raw/master/csl-citation.json"} </w:instrText>
      </w:r>
      <w:r>
        <w:fldChar w:fldCharType="separate"/>
      </w:r>
      <w:r w:rsidR="00971A76" w:rsidRPr="00971A76">
        <w:rPr>
          <w:rFonts w:ascii="Calibri" w:hAnsi="Calibri" w:cs="Calibri"/>
          <w:vertAlign w:val="superscript"/>
        </w:rPr>
        <w:t>62</w:t>
      </w:r>
      <w:r>
        <w:fldChar w:fldCharType="end"/>
      </w:r>
      <w:r>
        <w:t xml:space="preserve">, respectively. Both crops are irrigated, with the annual water requirements of </w:t>
      </w:r>
      <w:r w:rsidRPr="00F521EF">
        <w:rPr>
          <w:i/>
          <w:iCs/>
        </w:rPr>
        <w:t>Miscanthus</w:t>
      </w:r>
      <w:r>
        <w:t xml:space="preserve"> taken from </w:t>
      </w:r>
      <w:r>
        <w:fldChar w:fldCharType="begin" w:fldLock="1"/>
      </w:r>
      <w:r w:rsidR="00B4317C">
        <w:instrText xml:space="preserve"> ADDIN ZOTERO_ITEM CSL_CITATION {"citationID":"dF6kxrje","properties":{"formattedCitation":"\\super 67\\nosupersub{}","plainCitation":"67","noteIndex":0},"citationItems":[{"id":"z2fanENt/ZVyLsxlY","uris":["http://www.mendeley.com/documents/?uuid=840d5d43-dc9b-40c0-857d-907933af3423"],"itemData":{"DOI":"10.1016/S0378-4290(99)00022-2","ISSN":"03784290","abstract":"The perennial C4 grass Miscanthus has been proposed as a biomass energy crop in Europe. Effects of crop age, irrigation and nitrogen fertilization on biomass and energy yields and N content of Miscanthus were investigated and the energy costs of production determined. After an establishment period of 1 year, cultivation of Miscanthus resulted in a dry matter production of over 37 t ha-1 year-1 over a period of 4 years. Irrigation and nitrogen level greatly affected Miscanthus biomass yield. In absence of N fertilization, irrigation did not modify biomass yield and the effect of irrigation increased with the increase in N level. The average N response ranged from 37 to 50 kg biomass kg-1 N applied. Because the calorific value of Miscanthus biomass (16.5 MJ kg-1) was not affected by irrigation and N fertilization, energy production depended exclusively on biomass yield. Maximum energy yield was 564 GJ ha-1 year-1. Without N supply and irrigation, energy yield was 291 GJ h-1. Net energy yield, calculated as the difference between energy output and input, but without inclusion of drying costs, was 543 GJ ha-1 with N fertilization and irrigation and 284 GJ ha-1 without; the ratios of energy output to input in crop production were 22 and 47, respectively.","author":[{"dropping-particle":"","family":"Ercoli","given":"L.","non-dropping-particle":"","parse-names":false,"suffix":""},{"dropping-particle":"","family":"Mariotti","given":"M.","non-dropping-particle":"","parse-names":false,"suffix":""},{"dropping-particle":"","family":"Masoni","given":"A.","non-dropping-particle":"","parse-names":false,"suffix":""},{"dropping-particle":"","family":"Bonari","given":"E.","non-dropping-particle":"","parse-names":false,"suffix":""}],"container-title":"Field Crops Research","id":"ITEM-1","issue":"1","issued":{"date-parts":[["1999"]]},"page":"3-11","title":"Effect of irrigation and nitrogen fertilization on biomass yield and efficiency of energy use in crop production of Miscanthus","type":"article-journal","volume":"63"}}],"schema":"https://github.com/citation-style-language/schema/raw/master/csl-citation.json"} </w:instrText>
      </w:r>
      <w:r>
        <w:fldChar w:fldCharType="separate"/>
      </w:r>
      <w:r w:rsidR="00971A76" w:rsidRPr="00971A76">
        <w:rPr>
          <w:rFonts w:ascii="Calibri" w:hAnsi="Calibri" w:cs="Calibri"/>
          <w:vertAlign w:val="superscript"/>
        </w:rPr>
        <w:t>67</w:t>
      </w:r>
      <w:r>
        <w:fldChar w:fldCharType="end"/>
      </w:r>
      <w:r>
        <w:t>. The poplar composition and properties are provided by</w:t>
      </w:r>
      <w:r w:rsidRPr="00A65434">
        <w:t xml:space="preserve"> </w:t>
      </w:r>
      <w:r>
        <w:fldChar w:fldCharType="begin" w:fldLock="1"/>
      </w:r>
      <w:r w:rsidR="00B4317C">
        <w:instrText xml:space="preserve"> ADDIN ZOTERO_ITEM CSL_CITATION {"citationID":"HeYkII3g","properties":{"formattedCitation":"\\super 62,68\\nosupersub{}","plainCitation":"62,68","noteIndex":0},"citationItems":[{"id":2127,"uris":["http://www.mendeley.com/documents/?uuid=f2d7e879-3826-47bc-a78b-657a6dfee3e1","http://zotero.org/users/14213812/items/699ZQLJT"],"itemData":{"id":2127,"type":"article-journal","container-title":"Environmental Science and Technology","DOI":"10.1021/es5060786","issue":"8","page":"5195-5202","title":"Biomass Pyrolysis for Biochar or Energy Applications? A Life Cycle Assessment","volume":"49","author":[{"family":"Peters","given":"Jens F"},{"family":"Iribarren","given":"Diego"},{"family":"Dufour","given":"Javier"}],"issued":{"date-parts":[["2015"]]}}},{"id":"z2fanENt/j46aDFGu","uris":["http://www.mendeley.com/documents/?uuid=41629d1a-57ba-48fe-908d-66a29363dbda"],"itemData":{"DOI":"10.3390/en13061495","ISSN":"19961073","abstract":"Bioenergy accounts for 61.7% of all renewable energy sources, with solid fuels accounting for 43% of this amount. Poplar plantations can deliver woody biomass for energy purposes. A field experiment with poplar was located in the north-east of Poland on good quality soil formed from medium loam. The study aimed to determine the yield, the energy value of the yield and the thermophysical properties and elemental composition of the biomass of four poplar clones harvested in two consecutive 4-year harvest rotations. The highest biomass energy value was determined in the UWM 2 clone in the second harvest rotation (231 GJ ha−1·year−1). This value was 27-47% lower for the other clones. The biomass quality showed that poplar wood contained high levels of moisture and low levels of ash, sulphur, nitrogen and chlorine. This indicates that poplar can be grown in the north-east of Poland and that it gives a yield with a high energy value and beneficial biomass properties from the energy generation perspective.","author":[{"dropping-particle":"","family":"Stolarski","given":"Mariusz Jerzy","non-dropping-particle":"","parse-names":false,"suffix":""},{"dropping-particle":"","family":"Warmiński","given":"Kazimierz","non-dropping-particle":"","parse-names":false,"suffix":""},{"dropping-particle":"","family":"Krzyżaniak","given":"Michał","non-dropping-particle":"","parse-names":false,"suffix":""}],"container-title":"Energies","id":"ITEM-2","issue":"6","issued":{"date-parts":[["2020"]]},"page":"1495","title":"Energy value of yield and biomass quality of poplar grown in two consecutive 4-year harvest rotations in the north-east of Poland","type":"article-journal","volume":"13"}}],"schema":"https://github.com/citation-style-language/schema/raw/master/csl-citation.json"} </w:instrText>
      </w:r>
      <w:r>
        <w:fldChar w:fldCharType="separate"/>
      </w:r>
      <w:r w:rsidR="00971A76" w:rsidRPr="00971A76">
        <w:rPr>
          <w:rFonts w:ascii="Calibri" w:hAnsi="Calibri" w:cs="Calibri"/>
          <w:vertAlign w:val="superscript"/>
        </w:rPr>
        <w:t>62,68</w:t>
      </w:r>
      <w:r>
        <w:fldChar w:fldCharType="end"/>
      </w:r>
      <w:r>
        <w:t xml:space="preserve">, and those of </w:t>
      </w:r>
      <w:r w:rsidRPr="000945E8">
        <w:rPr>
          <w:i/>
          <w:iCs/>
        </w:rPr>
        <w:t>Miscanthus</w:t>
      </w:r>
      <w:r>
        <w:t xml:space="preserve"> by </w:t>
      </w:r>
      <w:r>
        <w:fldChar w:fldCharType="begin" w:fldLock="1"/>
      </w:r>
      <w:r w:rsidR="00971A76">
        <w:instrText xml:space="preserve"> ADDIN ZOTERO_ITEM CSL_CITATION {"citationID":"S1v75ikN","properties":{"formattedCitation":"\\super 16,69\\nosupersub{}","plainCitation":"16,69","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id":2223,"uris":["http://www.mendeley.com/documents/?uuid=6826f6fb-75fc-342c-8b10-7b6036a7ed77","http://zotero.org/users/14213812/items/LFGXKAZ9"],"itemData":{"id":2223,"type":"webpage","title":"Phyllis2 database.","URL":"https://phyllis.nl/Browse/Standard/ECN-Phyllis#miscanthus [last accessed: 09.12.21]","accessed":{"date-parts":[["2021",12,9]]}}}],"schema":"https://github.com/citation-style-language/schema/raw/master/csl-citation.json"} </w:instrText>
      </w:r>
      <w:r>
        <w:fldChar w:fldCharType="separate"/>
      </w:r>
      <w:r w:rsidR="00971A76" w:rsidRPr="00971A76">
        <w:rPr>
          <w:rFonts w:ascii="Calibri" w:hAnsi="Calibri" w:cs="Calibri"/>
          <w:vertAlign w:val="superscript"/>
        </w:rPr>
        <w:t>16,69</w:t>
      </w:r>
      <w:r>
        <w:fldChar w:fldCharType="end"/>
      </w:r>
      <w:r>
        <w:t xml:space="preserve">.  The impacts of the forest residues are only linked to the collection and transport life cycle stages (data from </w:t>
      </w:r>
      <w:r>
        <w:fldChar w:fldCharType="begin" w:fldLock="1"/>
      </w:r>
      <w:r w:rsidR="00971A76">
        <w:instrText xml:space="preserve"> ADDIN ZOTERO_ITEM CSL_CITATION {"citationID":"Xn0240bq","properties":{"formattedCitation":"\\super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fldChar w:fldCharType="separate"/>
      </w:r>
      <w:r w:rsidR="00971A76" w:rsidRPr="00971A76">
        <w:rPr>
          <w:rFonts w:ascii="Calibri" w:hAnsi="Calibri" w:cs="Calibri"/>
          <w:vertAlign w:val="superscript"/>
        </w:rPr>
        <w:t>16</w:t>
      </w:r>
      <w:r>
        <w:fldChar w:fldCharType="end"/>
      </w:r>
      <w:r>
        <w:t>).</w:t>
      </w:r>
    </w:p>
    <w:p w14:paraId="4C82C38C" w14:textId="11867EED" w:rsidR="00535E7B" w:rsidRDefault="00D67EA9" w:rsidP="00EC009B">
      <w:pPr>
        <w:spacing w:line="360" w:lineRule="auto"/>
        <w:jc w:val="both"/>
      </w:pPr>
      <w:r w:rsidRPr="00052BDA">
        <w:t xml:space="preserve">The combustion-BECCS scenarios </w:t>
      </w:r>
      <w:r w:rsidR="009614DF">
        <w:t>deploy</w:t>
      </w:r>
      <w:r w:rsidR="007D3438" w:rsidRPr="00052BDA">
        <w:t xml:space="preserve"> a</w:t>
      </w:r>
      <w:r w:rsidR="00036907" w:rsidRPr="00052BDA">
        <w:t xml:space="preserve"> 250 MW circulating fluidized bed boiler</w:t>
      </w:r>
      <w:r w:rsidR="007D3438" w:rsidRPr="00052BDA">
        <w:t>, modeled with the data provided by the IEA</w:t>
      </w:r>
      <w:r w:rsidR="008814AC">
        <w:fldChar w:fldCharType="begin" w:fldLock="1"/>
      </w:r>
      <w:r w:rsidR="00971A76">
        <w:instrText xml:space="preserve"> ADDIN ZOTERO_ITEM CSL_CITATION {"citationID":"CP7Physf","properties":{"formattedCitation":"\\super 70\\nosupersub{}","plainCitation":"70","noteIndex":0},"citationItems":[{"id":1147,"uris":["http://www.mendeley.com/documents/?uuid=b6f77b40-f88d-4356-ae64-87ee1ef85167","http://zotero.org/users/14213812/items/AG47IXGP"],"itemData":{"id":1147,"type":"report","title":"Biomass CCS Study","author":[{"literal":"IEA GHG"}],"issued":{"date-parts":[["2009"]]}}}],"schema":"https://github.com/citation-style-language/schema/raw/master/csl-citation.json"} </w:instrText>
      </w:r>
      <w:r w:rsidR="008814AC">
        <w:fldChar w:fldCharType="separate"/>
      </w:r>
      <w:r w:rsidR="00971A76" w:rsidRPr="00971A76">
        <w:rPr>
          <w:rFonts w:ascii="Calibri" w:hAnsi="Calibri" w:cs="Calibri"/>
          <w:vertAlign w:val="superscript"/>
        </w:rPr>
        <w:t>70</w:t>
      </w:r>
      <w:r w:rsidR="008814AC">
        <w:fldChar w:fldCharType="end"/>
      </w:r>
      <w:r w:rsidR="0073616B">
        <w:t>.</w:t>
      </w:r>
      <w:r w:rsidR="007E246B" w:rsidRPr="00052BDA">
        <w:t xml:space="preserve"> We take the </w:t>
      </w:r>
      <w:r w:rsidR="00290116" w:rsidRPr="00052BDA">
        <w:t>biomass emissions factors from</w:t>
      </w:r>
      <w:r w:rsidR="0073616B">
        <w:t xml:space="preserve"> </w:t>
      </w:r>
      <w:r w:rsidR="0073616B">
        <w:fldChar w:fldCharType="begin" w:fldLock="1"/>
      </w:r>
      <w:r w:rsidR="00971A76">
        <w:instrText xml:space="preserve"> ADDIN ZOTERO_ITEM CSL_CITATION {"citationID":"dVR1CIo6","properties":{"formattedCitation":"\\super 21\\nosupersub{}","plainCitation":"21","noteIndex":0},"citationItems":[{"id":1790,"uris":["http://www.mendeley.com/documents/?uuid=79c2878e-83de-4d13-a822-8c977968ca3f","http://zotero.org/users/14213812/items/2CEUHQZG"],"itemData":{"id":1790,"type":"chapter","container-title":"EMEP/EEA air pollutant emission inventory guidebook 2019","event-place":"Luxembourg","publisher-place":"Luxembourg","title":"Energy industries","author":[{"literal":"European Environment Agency"}],"issued":{"date-parts":[["2019"]]}}}],"schema":"https://github.com/citation-style-language/schema/raw/master/csl-citation.json"} </w:instrText>
      </w:r>
      <w:r w:rsidR="0073616B">
        <w:fldChar w:fldCharType="separate"/>
      </w:r>
      <w:r w:rsidR="00971A76" w:rsidRPr="00971A76">
        <w:rPr>
          <w:rFonts w:ascii="Calibri" w:hAnsi="Calibri" w:cs="Calibri"/>
          <w:vertAlign w:val="superscript"/>
        </w:rPr>
        <w:t>21</w:t>
      </w:r>
      <w:r w:rsidR="0073616B">
        <w:fldChar w:fldCharType="end"/>
      </w:r>
      <w:r w:rsidR="008647CA">
        <w:t>.</w:t>
      </w:r>
      <w:r w:rsidR="00BB7AFA">
        <w:t xml:space="preserve"> </w:t>
      </w:r>
      <w:r w:rsidR="00A1561C" w:rsidRPr="00052BDA">
        <w:t>The scenarios based on post-combustion CO</w:t>
      </w:r>
      <w:r w:rsidR="00A1561C" w:rsidRPr="00052BDA">
        <w:rPr>
          <w:vertAlign w:val="subscript"/>
        </w:rPr>
        <w:t>2</w:t>
      </w:r>
      <w:r w:rsidR="00A1561C" w:rsidRPr="00052BDA">
        <w:t xml:space="preserve"> capture</w:t>
      </w:r>
      <w:r w:rsidR="004E399B" w:rsidRPr="00052BDA">
        <w:t xml:space="preserve"> </w:t>
      </w:r>
      <w:r w:rsidR="00645689" w:rsidRPr="00052BDA">
        <w:t>rely</w:t>
      </w:r>
      <w:r w:rsidR="00CB7E5E" w:rsidRPr="00052BDA">
        <w:t xml:space="preserve"> on a </w:t>
      </w:r>
      <w:proofErr w:type="spellStart"/>
      <w:r w:rsidR="00CB7E5E" w:rsidRPr="00052BDA">
        <w:t>monoethanolamine</w:t>
      </w:r>
      <w:proofErr w:type="spellEnd"/>
      <w:r w:rsidR="00CB7E5E" w:rsidRPr="00052BDA">
        <w:t xml:space="preserve"> </w:t>
      </w:r>
      <w:r w:rsidR="00453C97">
        <w:t xml:space="preserve">(MEA) </w:t>
      </w:r>
      <w:r w:rsidR="00CB7E5E" w:rsidRPr="00052BDA">
        <w:t>absorption-desorption system</w:t>
      </w:r>
      <w:r w:rsidR="0085135C" w:rsidRPr="00052BDA">
        <w:t>. The heat required in the CO</w:t>
      </w:r>
      <w:r w:rsidR="0085135C" w:rsidRPr="0058138D">
        <w:rPr>
          <w:vertAlign w:val="subscript"/>
        </w:rPr>
        <w:t>2</w:t>
      </w:r>
      <w:r w:rsidR="0085135C" w:rsidRPr="00052BDA">
        <w:t xml:space="preserve"> desorption stage</w:t>
      </w:r>
      <w:r w:rsidR="00DA72B8">
        <w:t>–3.8 GJ/tCO</w:t>
      </w:r>
      <w:r w:rsidR="00DA72B8" w:rsidRPr="00DA72B8">
        <w:rPr>
          <w:vertAlign w:val="subscript"/>
        </w:rPr>
        <w:t>2</w:t>
      </w:r>
      <w:r w:rsidR="001613FB">
        <w:rPr>
          <w:vertAlign w:val="subscript"/>
        </w:rPr>
        <w:fldChar w:fldCharType="begin" w:fldLock="1"/>
      </w:r>
      <w:r w:rsidR="00971A76">
        <w:rPr>
          <w:vertAlign w:val="subscript"/>
        </w:rPr>
        <w:instrText xml:space="preserve"> ADDIN ZOTERO_ITEM CSL_CITATION {"citationID":"cSyeIDmt","properties":{"formattedCitation":"\\super 71\\nosupersub{}","plainCitation":"71","noteIndex":0},"citationItems":[{"id":1546,"uris":["http://www.mendeley.com/documents/?uuid=c2612846-a1c8-4172-9f0f-439e490c53cd","http://zotero.org/users/14213812/items/NZQKXGHN"],"itemData":{"id":1546,"type":"article-journal","abstract":"Carbon capture and storage (CCS) is broadly recognised as having the potential to play a key role in meeting climate change targets, delivering low carbon heat and power, decarbonising industry and, more recently, its ability to facilitate the net removal of CO2 from the atmosphere. However, despite this broad consensus and its technical maturity, CCS has not yet been deployed on a scale commensurate with the ambitions articulated a decade ago. Thus, in this paper we review the current state-of-the-art of CO2 capture, transport, utilisation and storage from a multi-scale perspective, moving from the global to molecular scales. In light of the COP21 commitments to limit warming to less than 2 °C, we extend the remit of this study to include the key negative emissions technologies (NETs) of bioenergy with CCS (BECCS), and direct air capture (DAC). Cognisant of the non-technical barriers to deploying CCS, we reflect on recent experience from the UK's CCS commercialisation programme and consider the commercial and political barriers to the large-scale deployment of CCS. In all areas, we focus on identifying and clearly articulating the key research challenges that could usefully be addressed in the coming decade.","container-title":"Energy and Environmental Science","DOI":"10.1039/c7ee02342a","ISSN":"17545706","issue":"5","page":"1062-1176","title":"Carbon capture and storage (CCS): The way forward","volume":"11","author":[{"family":"Bui","given":"Mai"},{"family":"Adjiman","given":"Claire S."},{"family":"Bardow","given":"André"},{"family":"Anthony","given":"Edward J."},{"family":"Boston","given":"Andy"},{"family":"Brown","given":"Solomon"},{"family":"Fennell","given":"Paul S."},{"family":"Fuss","given":"Sabine"},{"family":"Galindo","given":"Amparo"},{"family":"Hackett","given":"Leigh A."},{"family":"Hallett","given":"Jason P."},{"family":"Herzog","given":"Howard J."},{"family":"Jackson","given":"George"},{"family":"Kemper","given":"Jasmin"},{"family":"Krevor","given":"Samuel"},{"family":"Maitland","given":"Geoffrey C."},{"family":"Matuszewski","given":"Michael"},{"family":"Metcalfe","given":"Ian S."},{"family":"Petit","given":"Camille"},{"family":"Puxty","given":"Graeme"},{"family":"Reimer","given":"Jeffrey"},{"family":"Reiner","given":"David M."},{"family":"Rubin","given":"Edward S."},{"family":"Scott","given":"Stuart A."},{"family":"Shah","given":"Nilay"},{"family":"Smit","given":"Berend"},{"family":"Trusler","given":"J. P.Martin"},{"family":"Webley","given":"Paul"},{"family":"Wilcox","given":"Jennifer"},{"family":"Mac Dowell","given":"Niall"}],"issued":{"date-parts":[["2018"]]}}}],"schema":"https://github.com/citation-style-language/schema/raw/master/csl-citation.json"} </w:instrText>
      </w:r>
      <w:r w:rsidR="001613FB">
        <w:rPr>
          <w:vertAlign w:val="subscript"/>
        </w:rPr>
        <w:fldChar w:fldCharType="separate"/>
      </w:r>
      <w:r w:rsidR="00971A76" w:rsidRPr="00971A76">
        <w:rPr>
          <w:rFonts w:ascii="Calibri" w:hAnsi="Calibri" w:cs="Calibri"/>
          <w:vertAlign w:val="superscript"/>
        </w:rPr>
        <w:t>71</w:t>
      </w:r>
      <w:r w:rsidR="001613FB">
        <w:rPr>
          <w:vertAlign w:val="subscript"/>
        </w:rPr>
        <w:fldChar w:fldCharType="end"/>
      </w:r>
      <w:r w:rsidR="00DA70F8">
        <w:t>–</w:t>
      </w:r>
      <w:r w:rsidR="0085135C" w:rsidRPr="00052BDA">
        <w:t xml:space="preserve">is </w:t>
      </w:r>
      <w:r w:rsidR="005A092E" w:rsidRPr="00052BDA">
        <w:t xml:space="preserve">provided by </w:t>
      </w:r>
      <w:r w:rsidR="00F770C1" w:rsidRPr="00052BDA">
        <w:t xml:space="preserve">part of the </w:t>
      </w:r>
      <w:r w:rsidR="00CA194E" w:rsidRPr="00052BDA">
        <w:t>low-pressure</w:t>
      </w:r>
      <w:r w:rsidR="00F770C1" w:rsidRPr="00052BDA">
        <w:t xml:space="preserve"> steam generated in the combustion process</w:t>
      </w:r>
      <w:r w:rsidR="0010593C" w:rsidRPr="00052BDA">
        <w:t xml:space="preserve">, </w:t>
      </w:r>
      <w:r w:rsidR="008E5118">
        <w:t xml:space="preserve">which can no longer be used to generate electricity in the turbines, thereby reducing the power plant’s electricity generation. </w:t>
      </w:r>
      <w:r w:rsidR="00071C2F">
        <w:t>The material</w:t>
      </w:r>
      <w:r w:rsidR="001E4836">
        <w:t xml:space="preserve"> requirements</w:t>
      </w:r>
      <w:r w:rsidR="00CF3959">
        <w:t xml:space="preserve"> and </w:t>
      </w:r>
      <w:r w:rsidR="00B47243">
        <w:t>waste and emissions generated in the post-combustion capture process are taken from</w:t>
      </w:r>
      <w:r w:rsidR="00BB3890">
        <w:fldChar w:fldCharType="begin" w:fldLock="1"/>
      </w:r>
      <w:r w:rsidR="00971A76">
        <w:instrText xml:space="preserve"> ADDIN ZOTERO_ITEM CSL_CITATION {"citationID":"ISzCVZEx","properties":{"formattedCitation":"\\super 28,72,73\\nosupersub{}","plainCitation":"28,72,73","noteIndex":0},"citationItems":[{"id":1811,"uris":["http://www.mendeley.com/documents/?uuid=1a97fd20-f562-4e5a-b154-0f80b60680a1","http://zotero.org/users/14213812/items/EYMHT97N"],"itemData":{"id":1811,"type":"report","title":"An integrated modeling framework for carbon management technologies. Volume 1 – Technical Documentation: Amine-Based CO2 Capture and Storage Systems for Fossil Fuel Power Plant","author":[{"family":"Rao","given":"Anand B."},{"family":"Rubin","given":"Edward S"},{"family":"Berkenpas","given":"Michael B"}],"issued":{"date-parts":[["2004"]]}}},{"id":1444,"uris":["http://www.mendeley.com/documents/?uuid=180d59d0-eb8a-4657-a8e9-9a64160d6cb7","http://zotero.org/users/14213812/items/66TCDPKI"],"itemData":{"id":1444,"type":"article-journal","abstract":"In this study the methodology of life cycle assessment has been used to assess the environmental impacts of three pulverized coal fired electricity supply chains with and without carbon capture and storage (CCS) on a cradle to grave basis. The chain with CCS comprises post-combustion CO2 capture with monoethanolamine, compression, transport by pipeline and storage in a geological reservoir. The two reference chains represent sub-critical and state-of-the-art ultra supercritical pulverized coal fired electricity generation. For the three chains we have constructed a detailed greenhouse gas (GHG) balance, and disclosed environmental trade-offs and co-benefits due to CO2 capture, transport and storage. Results show that, due to CCS, the GHG emissions per kWh are reduced substantially to 243 g/kWh. This is a reduction of 78 and 71% compared to the sub-critical and state-of-the-art power plant, respectively. The removal of CO2 is partially offset by increased GHG emissions in up- and downstream processes, to a small extent (0.7 g/kWh) caused by the CCS infrastructure. An environmental co-benefit is expected following from the deeper reduction of hydrogen fluoride and hydrogen chloride emissions. Most notable environmental trade-offs are the increase in human toxicity, ozone layer depletion and fresh water ecotoxicity potential for which the CCS chain is outperformed by both other chains. The state-of-the-art power plant without CCS also shows a better score for the eutrophication, acidification and photochemical oxidation potential despite the deeper reduction of SOx and NOx in the CCS power plant. These reductions are offset by increased emissions in the life cycle due to the energy penalty and a factor five increase in NH3 emissions. © 2008 Elsevier Ltd. All rights reserved.","container-title":"International Journal of Greenhouse Gas Control","DOI":"10.1016/j.ijggc.2008.06.008","ISSN":"17505836","issue":"4","page":"448-467","title":"Life cycle assessment of a pulverized coal power plant with post-combustion capture, transport and storage of CO2","volume":"2","author":[{"family":"Koornneef","given":"Joris"},{"family":"Keulen","given":"Tim","non-dropping-particle":"van"},{"family":"Faaij","given":"André"},{"family":"Turkenburg","given":"Wim"}],"issued":{"date-parts":[["2008"]]}}},{"id":1813,"uris":["http://www.mendeley.com/documents/?uuid=b7cfd77f-965e-4717-aee0-922134b988b9","http://zotero.org/users/14213812/items/3XPP7ADA"],"itemData":{"id":1813,"type":"report","abstract":"This paper presents the results of a study into the environmental impact of solvent processes for CO2 capture using Life Cycle Assessment (LCA). The study has considered both post- and pre-combustion process. The weighing of different environmental effects has been carried out using the method of shadow prices, allowing for a direct comparison between different capture processes.","note":"issue: October\nISBN: 2006/14","title":"Environmental Impact of Solvent Scrubbing of CO2","author":[{"literal":"International Energy Agency Greenhouse Gas R&amp;D Programme"}],"issued":{"date-parts":[["2006"]]}}}],"schema":"https://github.com/citation-style-language/schema/raw/master/csl-citation.json"} </w:instrText>
      </w:r>
      <w:r w:rsidR="00BB3890">
        <w:fldChar w:fldCharType="separate"/>
      </w:r>
      <w:r w:rsidR="00971A76" w:rsidRPr="00971A76">
        <w:rPr>
          <w:rFonts w:ascii="Calibri" w:hAnsi="Calibri" w:cs="Calibri"/>
          <w:vertAlign w:val="superscript"/>
        </w:rPr>
        <w:t>28,72,73</w:t>
      </w:r>
      <w:r w:rsidR="00BB3890">
        <w:fldChar w:fldCharType="end"/>
      </w:r>
      <w:r w:rsidR="00183DEC">
        <w:t>.</w:t>
      </w:r>
      <w:r w:rsidR="00B47243">
        <w:t xml:space="preserve"> </w:t>
      </w:r>
    </w:p>
    <w:p w14:paraId="27A92ADA" w14:textId="4D0C041B" w:rsidR="00036F76" w:rsidRDefault="00FE59E4" w:rsidP="00EC009B">
      <w:pPr>
        <w:spacing w:line="360" w:lineRule="auto"/>
        <w:jc w:val="both"/>
      </w:pPr>
      <w:r>
        <w:t>O</w:t>
      </w:r>
      <w:r w:rsidR="00B55A49">
        <w:t>xy-combustion</w:t>
      </w:r>
      <w:r w:rsidR="000D3956">
        <w:t xml:space="preserve"> BECCS</w:t>
      </w:r>
      <w:r w:rsidR="00FF409A">
        <w:t xml:space="preserve"> require</w:t>
      </w:r>
      <w:r>
        <w:t>s</w:t>
      </w:r>
      <w:r w:rsidR="00FF409A">
        <w:t xml:space="preserve"> an air separation unit to supply the boiler</w:t>
      </w:r>
      <w:r w:rsidR="000563E4">
        <w:t xml:space="preserve"> with</w:t>
      </w:r>
      <w:r w:rsidR="00FF409A">
        <w:t xml:space="preserve"> the pure oxygen needed in the combustion process</w:t>
      </w:r>
      <w:r w:rsidR="00E35541">
        <w:t>,</w:t>
      </w:r>
      <w:r w:rsidR="00FF409A">
        <w:t xml:space="preserve"> </w:t>
      </w:r>
      <w:r w:rsidR="00C16937">
        <w:t>w</w:t>
      </w:r>
      <w:r w:rsidR="00024315">
        <w:t>hich consumes 0.2 kwh/kg oxygen</w:t>
      </w:r>
      <w:r w:rsidR="00D84ADD">
        <w:t xml:space="preserve"> and 3 kg</w:t>
      </w:r>
      <w:r w:rsidR="005813F0">
        <w:t xml:space="preserve"> </w:t>
      </w:r>
      <w:r w:rsidR="00D84ADD">
        <w:t>cooling water per kwh waste heat</w:t>
      </w:r>
      <w:r w:rsidR="00DD62CB">
        <w:fldChar w:fldCharType="begin" w:fldLock="1"/>
      </w:r>
      <w:r w:rsidR="00971A76">
        <w:instrText xml:space="preserve"> ADDIN ZOTERO_ITEM CSL_CITATION {"citationID":"7qEts34E","properties":{"formattedCitation":"\\super 74\\nosupersub{}","plainCitation":"74","noteIndex":0},"citationItems":[{"id":1823,"uris":["http://www.mendeley.com/documents/?uuid=493b248f-52e9-43e9-8923-940bf642842a","http://zotero.org/users/14213812/items/DKULAUU5"],"itemData":{"id":1823,"type":"report","event-place":"Dübendorf","note":"container-title: Ecoinvent\nissue: 8","page":"1-957","publisher":"EMPA Dübendorf, Swiss Centre for Life Cycle Inventories.","publisher-place":"Dübendorf","title":"Life cycle inventories of chemicals. Data v2.0.","author":[{"family":"Althaus","given":"Hj"},{"family":"Chudacoff","given":"Mike"},{"family":"Hischier","given":"Roland"},{"family":"Jungbluth","given":"Niels"},{"family":"Osses","given":"Maggie"},{"family":"Primas","given":"Alex"},{"family":"Hellweg","given":"Stefanie"}],"issued":{"date-parts":[["2007"]]}}}],"schema":"https://github.com/citation-style-language/schema/raw/master/csl-citation.json"} </w:instrText>
      </w:r>
      <w:r w:rsidR="00DD62CB">
        <w:fldChar w:fldCharType="separate"/>
      </w:r>
      <w:r w:rsidR="00971A76" w:rsidRPr="00971A76">
        <w:rPr>
          <w:rFonts w:ascii="Calibri" w:hAnsi="Calibri" w:cs="Calibri"/>
          <w:vertAlign w:val="superscript"/>
        </w:rPr>
        <w:t>74</w:t>
      </w:r>
      <w:r w:rsidR="00DD62CB">
        <w:fldChar w:fldCharType="end"/>
      </w:r>
      <w:r w:rsidR="00D921CC">
        <w:t>.</w:t>
      </w:r>
      <w:r w:rsidR="00024315">
        <w:t xml:space="preserve"> </w:t>
      </w:r>
      <w:r w:rsidR="00397C2B">
        <w:t>The energy required in the CO</w:t>
      </w:r>
      <w:r w:rsidR="00397C2B" w:rsidRPr="006D5E12">
        <w:rPr>
          <w:vertAlign w:val="subscript"/>
        </w:rPr>
        <w:t>2</w:t>
      </w:r>
      <w:r w:rsidR="00397C2B">
        <w:t xml:space="preserve"> compression and purification unit of the oxy-combustion BECCS </w:t>
      </w:r>
      <w:r w:rsidR="009A1834">
        <w:t>scenarios, 119 kwh/tCO</w:t>
      </w:r>
      <w:r w:rsidR="009A1834" w:rsidRPr="009A1834">
        <w:rPr>
          <w:vertAlign w:val="subscript"/>
        </w:rPr>
        <w:t>2</w:t>
      </w:r>
      <w:r w:rsidR="009A1834">
        <w:t>, is taken from</w:t>
      </w:r>
      <w:r w:rsidR="000C1EAA">
        <w:t xml:space="preserve"> </w:t>
      </w:r>
      <w:r w:rsidR="000C1EAA">
        <w:fldChar w:fldCharType="begin" w:fldLock="1"/>
      </w:r>
      <w:r w:rsidR="00971A76">
        <w:instrText xml:space="preserve"> ADDIN ZOTERO_ITEM CSL_CITATION {"citationID":"x1XdIa3K","properties":{"formattedCitation":"\\super 75\\nosupersub{}","plainCitation":"75","noteIndex":0},"citationItems":[{"id":2824,"uris":["http://www.mendeley.com/documents/?uuid=202e7591-ef1c-4231-b5b8-dca53d23ac07","http://zotero.org/users/14213812/items/B3X5DUZB"],"itemData":{"id":2824,"type":"article-journal","abstract":"In this study, an exergy-based system level methodology is conducted to assess the energy penalty reduction potential of different configurations of first generation oxy-fired pulverized coal power plants. Once the process improvement potential is identified by exergy analysis on an oxy-fired plant with minimal integration, a heat integration methodology minimizing the exergy losses is carried out. Exergy analysis is employed as a guideline weighted by technological and operational constraints. This methodology has been applied to study the conventional cold flue gas recycle scheme and three alternative flue gas recirculation options including the widely studied warm recycle scheme. The integration potential of advanced cryogenic ASUs (air separation units) has also been assessed. Finally, the energy penalty associated to the capture when a high-purity CO2 flow is required has been determined. Among the different cases considered in this study, recirculation of the flue gas before the regenerative heater with an advanced ASU and a double-column CPU (compression and purification unit) leads to thehighest NPE (net plant efficiency). For this case, the NPE is 39.1 % based on the lower heating value (7%-pts energy penalty), which corresponds to a 6.5% improvement compared to the base-case plant. When high-purity CO2 is desired, the energy penalty is increased by 0.2 %-pts for the same configuration. © 2014 Elsevier Ltd.","container-title":"Energy","DOI":"10.1016/j.energy.2014.03.008","ISSN":"03605442","note":"publisher: Elsevier Ltd","page":"272-284","title":"Performance assessment of first generation oxy-coal power plants through an exergy-based process integration methodology","volume":"69","author":[{"family":"Hagi","given":"Hayato"},{"family":"Le Moullec","given":"Yann"},{"family":"Nemer","given":"Maroun"},{"family":"Bouallou","given":"Chakib"}],"issued":{"date-parts":[["2014"]]}}}],"schema":"https://github.com/citation-style-language/schema/raw/master/csl-citation.json"} </w:instrText>
      </w:r>
      <w:r w:rsidR="000C1EAA">
        <w:fldChar w:fldCharType="separate"/>
      </w:r>
      <w:r w:rsidR="00971A76" w:rsidRPr="00971A76">
        <w:rPr>
          <w:rFonts w:ascii="Calibri" w:hAnsi="Calibri" w:cs="Calibri"/>
          <w:vertAlign w:val="superscript"/>
        </w:rPr>
        <w:t>75</w:t>
      </w:r>
      <w:r w:rsidR="000C1EAA">
        <w:fldChar w:fldCharType="end"/>
      </w:r>
      <w:r w:rsidR="000C1EAA">
        <w:t>.</w:t>
      </w:r>
      <w:r w:rsidR="009A1834">
        <w:t xml:space="preserve"> </w:t>
      </w:r>
      <w:r w:rsidR="000B4F6E">
        <w:t>We consider that</w:t>
      </w:r>
      <w:r w:rsidR="00D646FB">
        <w:t xml:space="preserve"> the oxy-combustion process requires a</w:t>
      </w:r>
      <w:r w:rsidR="000B4F6E">
        <w:t xml:space="preserve"> 3.3%</w:t>
      </w:r>
      <w:r w:rsidR="00D646FB">
        <w:t xml:space="preserve"> excess oxygen</w:t>
      </w:r>
      <w:r w:rsidR="00485512">
        <w:fldChar w:fldCharType="begin" w:fldLock="1"/>
      </w:r>
      <w:r w:rsidR="00971A76">
        <w:instrText xml:space="preserve"> ADDIN ZOTERO_ITEM CSL_CITATION {"citationID":"AFetRDsO","properties":{"formattedCitation":"\\super 75\\nosupersub{}","plainCitation":"75","noteIndex":0},"citationItems":[{"id":2824,"uris":["http://www.mendeley.com/documents/?uuid=202e7591-ef1c-4231-b5b8-dca53d23ac07","http://zotero.org/users/14213812/items/B3X5DUZB"],"itemData":{"id":2824,"type":"article-journal","abstract":"In this study, an exergy-based system level methodology is conducted to assess the energy penalty reduction potential of different configurations of first generation oxy-fired pulverized coal power plants. Once the process improvement potential is identified by exergy analysis on an oxy-fired plant with minimal integration, a heat integration methodology minimizing the exergy losses is carried out. Exergy analysis is employed as a guideline weighted by technological and operational constraints. This methodology has been applied to study the conventional cold flue gas recycle scheme and three alternative flue gas recirculation options including the widely studied warm recycle scheme. The integration potential of advanced cryogenic ASUs (air separation units) has also been assessed. Finally, the energy penalty associated to the capture when a high-purity CO2 flow is required has been determined. Among the different cases considered in this study, recirculation of the flue gas before the regenerative heater with an advanced ASU and a double-column CPU (compression and purification unit) leads to thehighest NPE (net plant efficiency). For this case, the NPE is 39.1 % based on the lower heating value (7%-pts energy penalty), which corresponds to a 6.5% improvement compared to the base-case plant. When high-purity CO2 is desired, the energy penalty is increased by 0.2 %-pts for the same configuration. © 2014 Elsevier Ltd.","container-title":"Energy","DOI":"10.1016/j.energy.2014.03.008","ISSN":"03605442","note":"publisher: Elsevier Ltd","page":"272-284","title":"Performance assessment of first generation oxy-coal power plants through an exergy-based process integration methodology","volume":"69","author":[{"family":"Hagi","given":"Hayato"},{"family":"Le Moullec","given":"Yann"},{"family":"Nemer","given":"Maroun"},{"family":"Bouallou","given":"Chakib"}],"issued":{"date-parts":[["2014"]]}}}],"schema":"https://github.com/citation-style-language/schema/raw/master/csl-citation.json"} </w:instrText>
      </w:r>
      <w:r w:rsidR="00485512">
        <w:fldChar w:fldCharType="separate"/>
      </w:r>
      <w:r w:rsidR="00971A76" w:rsidRPr="00971A76">
        <w:rPr>
          <w:rFonts w:ascii="Calibri" w:hAnsi="Calibri" w:cs="Calibri"/>
          <w:vertAlign w:val="superscript"/>
        </w:rPr>
        <w:t>75</w:t>
      </w:r>
      <w:r w:rsidR="00485512">
        <w:fldChar w:fldCharType="end"/>
      </w:r>
      <w:r w:rsidR="00485512">
        <w:t xml:space="preserve">, </w:t>
      </w:r>
      <w:r w:rsidR="002076F2">
        <w:t xml:space="preserve">and </w:t>
      </w:r>
      <w:r w:rsidR="003F7040">
        <w:t xml:space="preserve">75% of the flue gas is recycled back to </w:t>
      </w:r>
      <w:r w:rsidR="00A073A9">
        <w:t xml:space="preserve">the boiler to maintain the flame temperature and the </w:t>
      </w:r>
      <w:r w:rsidR="003B6A92">
        <w:t>oxygen concentration</w:t>
      </w:r>
      <w:r w:rsidR="00CB6B16">
        <w:fldChar w:fldCharType="begin" w:fldLock="1"/>
      </w:r>
      <w:r w:rsidR="00B4317C">
        <w:instrText xml:space="preserve"> ADDIN ZOTERO_ITEM CSL_CITATION {"citationID":"PoJXgOl7","properties":{"formattedCitation":"\\super 76,77\\nosupersub{}","plainCitation":"76,77","noteIndex":0},"citationItems":[{"id":2173,"uris":["http://www.mendeley.com/documents/?uuid=9b6bd57c-55f4-419a-9166-a30cdfbaa77d","http://zotero.org/users/14213812/items/J5WBXM2S"],"itemData":{"id":2173,"type":"article-journal","abstract":"Power generation sector is facing important challenges to develop energy efficient solutions at the same time with reducing the greenhouse gas emissions (mainly CO2). Oxy-fuel combustion is a promising power generation technology for reducing both energy and cost penalties for CO2 capture. This paper presents a detailed techno-economic analysis for oxy-combustion power plant to generate about 350 MW net power with a carbon capture rate higher than 90%. Both fossil fuels (coal and lignite) and renewable energy sources (sawdust) were used to fuel a super-critical power plant (live steam parameters: 582 °C/29 MPa). The assessment is based on numerical analysis, the models of various power plant sub-systems being built in ChemCAD and Thermflow software. As benchmark option used to quantify the CO2 capture energy and cost penalties, the same super-critical power plant without CCS was considered. The investigated coal, lignite and sawdust oxy-combustion cases show an energy penalty of 9-12 net efficiency percentage points, 37-50% increase of total capital investment, the O&amp;M costs are increasing with 7-15% and the electricity cost with 54-95% (all compared to coal-fuelled non-CCS case). Sensitivity studies were also performed to evaluate the influence of various economic parameters on electricity and CO2 avoidance costs.","container-title":"Fuel","DOI":"10.1016/j.fuel.2015.12.005","ISSN":"00162361","note":"publisher: Elsevier Ltd","page":"50-57","title":"Oxy-combustion of coal, lignite and biomass: A techno-economic analysis for a large scale Carbon Capture and Storage (CCS) project in Romania","volume":"169","author":[{"family":"Cormos","given":"Calin Cristian"}],"issued":{"date-parts":[["2016",4]]}}},{"id":"z2fanENt/4Cx8j1xs","uris":["http://www.mendeley.com/documents/?uuid=15bb95fd-b90a-45db-81ed-985c6f52a820"],"itemData":{"DOI":"10.1016/j.cherd.2022.08.015","ISSN":"02638762","abstract":"Oxy-combustion is a promising option to achieve large-scale CO2 emission reduction associated with coal-fired power plants. However, its commercial application is greatly restricted due to the large efficiency penalty and high cost of electricity. In this paper, a novel 1000 MW single reheat oxy-combustion power plant is proposed by adopting the heat capacity flowrate matching method to reduce irreversible loss and increase heat recovery of the overall power plant. A quantitative comparison of novel coal- and biomass-fired cases is conducted. The results show that the net electric efficiency of the novel oxy-combustion power plant improves by 0.85% points with a 1.0% points enhancement in the exergy efficiency and a 1.1 $/(MW·h) reduction in the cost of electricity compared with the reference case. When biomass is selected as the fuel, the net electric efficiency of the novel system increases by 1.1% points, and 4.0 MtCO2 is removed from the atmosphere annually. Exergy analysis reveals the energy-saving mechanism of the novel system. Economic analysis indicates that total investment can be recovered within 1.8 years. This work provides an efficient and economic scheme for the design of oxy-combustion power plants.","author":[{"dropping-particle":"","family":"Lin","given":"Xiaolong","non-dropping-particle":"","parse-names":false,"suffix":""},{"dropping-particle":"","family":"Song","given":"Huchao","non-dropping-particle":"","parse-names":false,"suffix":""},{"dropping-particle":"","family":"Liu","given":"Yinhe","non-dropping-particle":"","parse-names":false,"suffix":""}],"container-title":"Chemical Engineering Research and Design","id":"ITEM-2","issued":{"date-parts":[["2022"]]},"page":"568-586","publisher":"Elsevier","title":"Process design and comprehensive comparison of coal- and biomass-fired oxy-combustion power plant","type":"article-journal","volume":"186"}}],"schema":"https://github.com/citation-style-language/schema/raw/master/csl-citation.json"} </w:instrText>
      </w:r>
      <w:r w:rsidR="00CB6B16">
        <w:fldChar w:fldCharType="separate"/>
      </w:r>
      <w:r w:rsidR="00971A76" w:rsidRPr="00971A76">
        <w:rPr>
          <w:rFonts w:ascii="Calibri" w:hAnsi="Calibri" w:cs="Calibri"/>
          <w:vertAlign w:val="superscript"/>
        </w:rPr>
        <w:t>76,77</w:t>
      </w:r>
      <w:r w:rsidR="00CB6B16">
        <w:fldChar w:fldCharType="end"/>
      </w:r>
      <w:r w:rsidR="00707D1E">
        <w:t>.</w:t>
      </w:r>
      <w:r w:rsidR="000870BE">
        <w:t xml:space="preserve"> </w:t>
      </w:r>
      <w:r w:rsidR="00412215" w:rsidRPr="00AC0DF1">
        <w:t xml:space="preserve">In both the </w:t>
      </w:r>
      <w:r w:rsidR="00412215" w:rsidRPr="00AC0DF1">
        <w:lastRenderedPageBreak/>
        <w:t xml:space="preserve">post-combustion and oxy-combustion scenarios, </w:t>
      </w:r>
      <w:r w:rsidR="002106F9" w:rsidRPr="00AC0DF1">
        <w:t>we assume that the CO</w:t>
      </w:r>
      <w:r w:rsidR="002106F9" w:rsidRPr="00AC0DF1">
        <w:rPr>
          <w:vertAlign w:val="subscript"/>
        </w:rPr>
        <w:t>2</w:t>
      </w:r>
      <w:r w:rsidR="002106F9" w:rsidRPr="00AC0DF1">
        <w:t xml:space="preserve"> capture efficiency gradually increases from </w:t>
      </w:r>
      <w:r w:rsidR="006B721D" w:rsidRPr="00AC0DF1">
        <w:t>80</w:t>
      </w:r>
      <w:r w:rsidR="002106F9" w:rsidRPr="00AC0DF1">
        <w:t xml:space="preserve">% in 2020 to </w:t>
      </w:r>
      <w:r w:rsidR="00F00B25" w:rsidRPr="00AC0DF1">
        <w:t>90</w:t>
      </w:r>
      <w:r w:rsidR="002106F9" w:rsidRPr="00AC0DF1">
        <w:t>% in 2050</w:t>
      </w:r>
      <w:r w:rsidR="00ED21B9" w:rsidRPr="00AC0DF1">
        <w:t>, considering an annual</w:t>
      </w:r>
      <w:r w:rsidR="00757535" w:rsidRPr="00AC0DF1">
        <w:t xml:space="preserve"> improvement of 0.</w:t>
      </w:r>
      <w:r w:rsidR="00F00B25" w:rsidRPr="00AC0DF1">
        <w:t>4</w:t>
      </w:r>
      <w:r w:rsidR="00757535" w:rsidRPr="00AC0DF1">
        <w:t>%</w:t>
      </w:r>
      <w:r w:rsidR="002106F9" w:rsidRPr="00AC0DF1">
        <w:t xml:space="preserve"> </w:t>
      </w:r>
      <w:r w:rsidR="00EC009B" w:rsidRPr="00AC0DF1">
        <w:t>(</w:t>
      </w:r>
      <w:r w:rsidR="006F3516" w:rsidRPr="00AC0DF1">
        <w:t xml:space="preserve">Table 2.3 in the </w:t>
      </w:r>
      <w:r w:rsidR="00EC009B" w:rsidRPr="00AC0DF1">
        <w:t>Supplementary Data</w:t>
      </w:r>
      <w:r w:rsidR="006F3516" w:rsidRPr="00AC0DF1">
        <w:t xml:space="preserve"> file</w:t>
      </w:r>
      <w:r w:rsidR="00EC009B" w:rsidRPr="00AC0DF1">
        <w:t>).</w:t>
      </w:r>
      <w:r w:rsidR="006E5F9F" w:rsidRPr="00AC0DF1">
        <w:t xml:space="preserve"> </w:t>
      </w:r>
      <w:r w:rsidR="00D647AF" w:rsidRPr="00AC0DF1">
        <w:t>While t</w:t>
      </w:r>
      <w:r w:rsidR="00F21031" w:rsidRPr="00AC0DF1">
        <w:t xml:space="preserve">hese values are conservative </w:t>
      </w:r>
      <w:r w:rsidR="008475AD" w:rsidRPr="00AC0DF1">
        <w:t xml:space="preserve">relative to the </w:t>
      </w:r>
      <w:r w:rsidR="00434E24" w:rsidRPr="00AC0DF1">
        <w:t xml:space="preserve">technically </w:t>
      </w:r>
      <w:r w:rsidR="00A14580" w:rsidRPr="00AC0DF1">
        <w:t>feasible</w:t>
      </w:r>
      <w:r w:rsidR="002B6DF8" w:rsidRPr="00AC0DF1">
        <w:t xml:space="preserve"> </w:t>
      </w:r>
      <w:r w:rsidR="00D647AF" w:rsidRPr="00AC0DF1">
        <w:t>CO</w:t>
      </w:r>
      <w:r w:rsidR="00D647AF" w:rsidRPr="00AC0DF1">
        <w:rPr>
          <w:vertAlign w:val="subscript"/>
        </w:rPr>
        <w:t>2</w:t>
      </w:r>
      <w:r w:rsidR="00CF55FC" w:rsidRPr="00AC0DF1">
        <w:t xml:space="preserve"> </w:t>
      </w:r>
      <w:r w:rsidR="002B6DF8" w:rsidRPr="00AC0DF1">
        <w:t>capture rates</w:t>
      </w:r>
      <w:r w:rsidR="00733426" w:rsidRPr="00AC0DF1">
        <w:t xml:space="preserve"> (</w:t>
      </w:r>
      <w:r w:rsidR="00520814" w:rsidRPr="00AC0DF1">
        <w:t>up to 98%</w:t>
      </w:r>
      <w:r w:rsidR="00362130" w:rsidRPr="00AC0DF1">
        <w:fldChar w:fldCharType="begin" w:fldLock="1"/>
      </w:r>
      <w:r w:rsidR="00B4317C">
        <w:instrText xml:space="preserve"> ADDIN ZOTERO_ITEM CSL_CITATION {"citationID":"FCTRAWVk","properties":{"formattedCitation":"\\super 78,79\\nosupersub{}","plainCitation":"78,79","noteIndex":0},"citationItems":[{"id":2586,"uris":["http://www.mendeley.com/documents/?uuid=29d8497b-bef2-4c82-b03a-a7067865a285","http://zotero.org/users/14213812/items/XPJM92R7"],"itemData":{"id":2586,"type":"article-journal","abstract":"Carbon capture and storage (CCS) will have an essential role in meeting our climate change mitigation targets. CCS technologies are technically mature and will likely be deployed to decarbonise power, industry, heat, and removal of CO2 from the atmosphere. The assumption of a 90% CO2 capture rate has become ubiquitous in the literature, which has led to doubt around whether CO2 capture rates above 90% are even feasible. However, in the context of a 1.5 °C target, going beyond 90% capture will be vital, with residual emissions needing to be indirectly captured via carbon dioxide removal (CDR) technologies. Whilst there will be trade-offs between the cost of increased rates of CO2 capture, and the cost of offsets, understanding where this lies is key to minimising the dependence on CDR. This study quantifies the maximum limit of feasible CO2 capture rate for a range of power and industrial sources of CO2, beyond which abatement becomes uneconomical. In no case, was a capture rate of 90% found to be optimal, with capture rates of up to 98% possible at a relatively low marginal cost. Flue gas composition was found to be a key determinant of the cost of capture, with more dilute streams exhibiting a more pronounced minimum. Indirect capture by deploying complementary CDR is also assessed. The results show that current policy initiatives are unlikely to be sufficient to enable the economically viable deployment of CCS in all but a very few niche sectors of the economy.","container-title":"International Journal of Greenhouse Gas Control","DOI":"10.1016/j.ijggc.2020.103239","ISSN":"17505836","issue":"January","note":"publisher: Elsevier Ltd","page":"103239","title":"Beyond 90% capture: Possible, but at what cost?","volume":"105","author":[{"family":"Brandl","given":"Patrick"},{"family":"Bui","given":"Mai"},{"family":"Hallett","given":"Jason P."},{"family":"Mac Dowell","given":"Niall"}],"issued":{"date-parts":[["2021"]]}}},{"id":"z2fanENt/Kt8BWyYk","uris":["http://www.mendeley.com/documents/?uuid=89b488a1-b4a6-4b49-beed-60cda2feae20"],"itemData":{"abstract":"was established in 1974 within the framework of the Organisation for Economic Cooperation and Development (OECD) to implement an international energy programme. The IEA fosters cooperation amongst its 28 member countries and the European Commission, and with the other countries, in order to increase energy security by improved efficiency of energy use, development of alternative energy sources and research, development and demonstration on matters of energy supply and use. This is achieved through a series of collaborative activities, organised under more than 40 Implementing Agreements. These agreements cover more than 200 individual items of research, development and demonstration. IEAGHG is one of these Implementing Agreements. DISCLAIMER This report was prepared as an account of the work sponsored by IEAGHG. The views and opinions of the authors expressed herein do not necessarily reflect those of the IEAGHG, its members, the International Energy Agency, the organisations listed below, nor any employee or persons acting on behalf of any of them. In addition, none of these make any warranty, express or implied, assumes any liability or responsibility for the accuracy, completeness or usefulness of any information, apparatus, product of process disclosed or represents that its use would not infringe privately owned rights, including any parties intellectual property rights. Reference herein to any commercial product, process, service or trade name, trade mark or manufacturer does not necessarily constitute or imply any endorsement, recommendation or any favouring of such products. COPYRIGHT","author":[{"dropping-particle":"","family":"IEA GHG","given":"","non-dropping-particle":"","parse-names":false,"suffix":""}],"id":"ITEM-2","issue":"August","issued":{"date-parts":[["2015"]]},"number-of-pages":"636","title":"Oxy-Combustion Turbine Power Plants","type":"report"}}],"schema":"https://github.com/citation-style-language/schema/raw/master/csl-citation.json"} </w:instrText>
      </w:r>
      <w:r w:rsidR="00362130" w:rsidRPr="00AC0DF1">
        <w:fldChar w:fldCharType="separate"/>
      </w:r>
      <w:r w:rsidR="00971A76" w:rsidRPr="00971A76">
        <w:rPr>
          <w:rFonts w:ascii="Calibri" w:hAnsi="Calibri" w:cs="Calibri"/>
          <w:vertAlign w:val="superscript"/>
        </w:rPr>
        <w:t>78,79</w:t>
      </w:r>
      <w:r w:rsidR="00362130" w:rsidRPr="00AC0DF1">
        <w:fldChar w:fldCharType="end"/>
      </w:r>
      <w:r w:rsidR="00733426" w:rsidRPr="00AC0DF1">
        <w:t>)</w:t>
      </w:r>
      <w:r w:rsidR="00DD7834" w:rsidRPr="00AC0DF1">
        <w:t xml:space="preserve">, </w:t>
      </w:r>
      <w:r w:rsidR="00C0733D" w:rsidRPr="00AC0DF1">
        <w:t>current commercial</w:t>
      </w:r>
      <w:r w:rsidR="002E6EE0">
        <w:t xml:space="preserve"> CO</w:t>
      </w:r>
      <w:r w:rsidR="002E6EE0" w:rsidRPr="002E6EE0">
        <w:rPr>
          <w:vertAlign w:val="subscript"/>
        </w:rPr>
        <w:t>2</w:t>
      </w:r>
      <w:r w:rsidR="002E6EE0">
        <w:t xml:space="preserve"> capture</w:t>
      </w:r>
      <w:r w:rsidR="00C0733D" w:rsidRPr="00AC0DF1">
        <w:t xml:space="preserve"> plants do not exceed 80% capture rates over their lifetimes</w:t>
      </w:r>
      <w:r w:rsidR="00C0733D" w:rsidRPr="00AC0DF1">
        <w:fldChar w:fldCharType="begin"/>
      </w:r>
      <w:r w:rsidR="00971A76">
        <w:instrText xml:space="preserve"> ADDIN ZOTERO_ITEM CSL_CITATION {"citationID":"qXWANBi4","properties":{"formattedCitation":"\\super 80\\nosupersub{}","plainCitation":"80","noteIndex":0},"citationItems":[{"id":3285,"uris":["http://zotero.org/users/14213812/items/MNN99XC3"],"itemData":{"id":3285,"type":"report","abstract":"Background ...................................................................................................................................................7 A Note About Terminology .......................................................................................................................7 What Does the Federal Government Define as Clean Hydrogen?........................................................7 Hydrogen Production Technologies ........................................................................................................7 Methodology ..............................................................................................................................................8 What This Report Does Not Include ........................................................................................................8 DOE’s GREET Model Understates the Carbon Intensity of Producing Blue Hydrogen .......................9 Not Considering 20-year GWPs Means the Effects of Methane Emissions and Hydrogen Leakage Are Underestimated ............................................................................................................... 10 A 1% Methane Emission Rate Is Not Consistent With Recent Scientific Surveys and Analyses ..... 12 Carbon Capture Cannot Save Blue Hydrogen .................................................................................... 15 Just Adding Carbon Capture Cannot Make Blue Hydrogen Clean or Low Carbon ..................... 16 There Is No Evidence That Existing Commercial-scale Carbon Capture Projects Have Captured Anywhere Close to 95% of the CO2 They Create .......................................................... 17 Debunking the Claim of 92.4% Carbon Capture at Petra Nova ..................................................... 20 Hydrogen Has a Substantial Although Indirect Impact on Global Warming ...................................... 23 A Partial Blue Hydrogen Life Cycle Analysis Masks Its True Carbon Intensity ................................. 25\nResults ........................................................................................................................................................ 26 Not a Worst-case Analysis ........................................................................................................................ 30\nConclusion: Blue Hydrogen Is Not Clean or Low-Carbon and Never Will Be....................................... 30 About IEEFA ............................................................................................................................................... 31 About the Authors...................................................................................................................................... 31","language":"en","publisher":"Institute for Energy Economics and Financial Analysis","source":"Zotero","title":"Blue Hydrogen: Not Clean, Not Low Carbon, Not a Solution","URL":"https://ieefa.org/sites/default/files/2024-01/Blue%20Hydrogen%20Not%20Clean%20Not%20Low%20Carbon_September%202023_0.pdf","author":[{"family":"Schlissel","given":"David"},{"family":"Juhn","given":"Anika"}]}}],"schema":"https://github.com/citation-style-language/schema/raw/master/csl-citation.json"} </w:instrText>
      </w:r>
      <w:r w:rsidR="00C0733D" w:rsidRPr="00AC0DF1">
        <w:fldChar w:fldCharType="separate"/>
      </w:r>
      <w:r w:rsidR="00971A76" w:rsidRPr="00971A76">
        <w:rPr>
          <w:rFonts w:ascii="Calibri" w:hAnsi="Calibri" w:cs="Calibri"/>
          <w:vertAlign w:val="superscript"/>
        </w:rPr>
        <w:t>80</w:t>
      </w:r>
      <w:r w:rsidR="00C0733D" w:rsidRPr="00AC0DF1">
        <w:fldChar w:fldCharType="end"/>
      </w:r>
      <w:r w:rsidR="00C0733D" w:rsidRPr="00AC0DF1">
        <w:t xml:space="preserve">, </w:t>
      </w:r>
      <w:r w:rsidR="00CA6A96" w:rsidRPr="00AC0DF1">
        <w:t xml:space="preserve"> </w:t>
      </w:r>
      <w:r w:rsidR="00774C94" w:rsidRPr="00AC0DF1">
        <w:t xml:space="preserve">and </w:t>
      </w:r>
      <w:r w:rsidR="001C16B6" w:rsidRPr="00AC0DF1">
        <w:t xml:space="preserve">values above the selected upper bound </w:t>
      </w:r>
      <w:r w:rsidR="00CD5AD8" w:rsidRPr="00AC0DF1">
        <w:t>could lead to</w:t>
      </w:r>
      <w:r w:rsidR="001C16B6" w:rsidRPr="00AC0DF1">
        <w:t xml:space="preserve"> higher costs</w:t>
      </w:r>
      <w:r w:rsidR="00D81E1C" w:rsidRPr="00AC0DF1">
        <w:fldChar w:fldCharType="begin" w:fldLock="1"/>
      </w:r>
      <w:r w:rsidR="00971A76">
        <w:instrText xml:space="preserve"> ADDIN ZOTERO_ITEM CSL_CITATION {"citationID":"kf9XqwG1","properties":{"formattedCitation":"\\super 78\\nosupersub{}","plainCitation":"78","noteIndex":0},"citationItems":[{"id":2586,"uris":["http://www.mendeley.com/documents/?uuid=29d8497b-bef2-4c82-b03a-a7067865a285","http://zotero.org/users/14213812/items/XPJM92R7"],"itemData":{"id":2586,"type":"article-journal","abstract":"Carbon capture and storage (CCS) will have an essential role in meeting our climate change mitigation targets. CCS technologies are technically mature and will likely be deployed to decarbonise power, industry, heat, and removal of CO2 from the atmosphere. The assumption of a 90% CO2 capture rate has become ubiquitous in the literature, which has led to doubt around whether CO2 capture rates above 90% are even feasible. However, in the context of a 1.5 °C target, going beyond 90% capture will be vital, with residual emissions needing to be indirectly captured via carbon dioxide removal (CDR) technologies. Whilst there will be trade-offs between the cost of increased rates of CO2 capture, and the cost of offsets, understanding where this lies is key to minimising the dependence on CDR. This study quantifies the maximum limit of feasible CO2 capture rate for a range of power and industrial sources of CO2, beyond which abatement becomes uneconomical. In no case, was a capture rate of 90% found to be optimal, with capture rates of up to 98% possible at a relatively low marginal cost. Flue gas composition was found to be a key determinant of the cost of capture, with more dilute streams exhibiting a more pronounced minimum. Indirect capture by deploying complementary CDR is also assessed. The results show that current policy initiatives are unlikely to be sufficient to enable the economically viable deployment of CCS in all but a very few niche sectors of the economy.","container-title":"International Journal of Greenhouse Gas Control","DOI":"10.1016/j.ijggc.2020.103239","ISSN":"17505836","issue":"January","note":"publisher: Elsevier Ltd","page":"103239","title":"Beyond 90% capture: Possible, but at what cost?","volume":"105","author":[{"family":"Brandl","given":"Patrick"},{"family":"Bui","given":"Mai"},{"family":"Hallett","given":"Jason P."},{"family":"Mac Dowell","given":"Niall"}],"issued":{"date-parts":[["2021"]]}}}],"schema":"https://github.com/citation-style-language/schema/raw/master/csl-citation.json"} </w:instrText>
      </w:r>
      <w:r w:rsidR="00D81E1C" w:rsidRPr="00AC0DF1">
        <w:fldChar w:fldCharType="separate"/>
      </w:r>
      <w:r w:rsidR="00971A76" w:rsidRPr="00971A76">
        <w:rPr>
          <w:rFonts w:ascii="Calibri" w:hAnsi="Calibri" w:cs="Calibri"/>
          <w:vertAlign w:val="superscript"/>
        </w:rPr>
        <w:t>78</w:t>
      </w:r>
      <w:r w:rsidR="00D81E1C" w:rsidRPr="00AC0DF1">
        <w:fldChar w:fldCharType="end"/>
      </w:r>
      <w:r w:rsidR="002B1205" w:rsidRPr="00AC0DF1">
        <w:t xml:space="preserve"> </w:t>
      </w:r>
      <w:r w:rsidR="001C16B6" w:rsidRPr="00AC0DF1">
        <w:t xml:space="preserve">or </w:t>
      </w:r>
      <w:r w:rsidR="00CD5AD8" w:rsidRPr="00AC0DF1">
        <w:t>lower CO</w:t>
      </w:r>
      <w:r w:rsidR="00CD5AD8" w:rsidRPr="00AC0DF1">
        <w:rPr>
          <w:vertAlign w:val="subscript"/>
        </w:rPr>
        <w:t>2</w:t>
      </w:r>
      <w:r w:rsidR="00CD5AD8" w:rsidRPr="00AC0DF1">
        <w:t xml:space="preserve"> purit</w:t>
      </w:r>
      <w:r w:rsidR="008202B8" w:rsidRPr="00AC0DF1">
        <w:t>ies</w:t>
      </w:r>
      <w:r w:rsidR="00D81E1C" w:rsidRPr="00AC0DF1">
        <w:fldChar w:fldCharType="begin" w:fldLock="1"/>
      </w:r>
      <w:r w:rsidR="00B4317C">
        <w:instrText xml:space="preserve"> ADDIN ZOTERO_ITEM CSL_CITATION {"citationID":"7PnJd15s","properties":{"formattedCitation":"\\super 79\\nosupersub{}","plainCitation":"79","noteIndex":0},"citationItems":[{"id":"z2fanENt/Kt8BWyYk","uris":["http://www.mendeley.com/documents/?uuid=89b488a1-b4a6-4b49-beed-60cda2feae20"],"itemData":{"abstract":"was established in 1974 within the framework of the Organisation for Economic Cooperation and Development (OECD) to implement an international energy programme. The IEA fosters cooperation amongst its 28 member countries and the European Commission, and with the other countries, in order to increase energy security by improved efficiency of energy use, development of alternative energy sources and research, development and demonstration on matters of energy supply and use. This is achieved through a series of collaborative activities, organised under more than 40 Implementing Agreements. These agreements cover more than 200 individual items of research, development and demonstration. IEAGHG is one of these Implementing Agreements. DISCLAIMER This report was prepared as an account of the work sponsored by IEAGHG. The views and opinions of the authors expressed herein do not necessarily reflect those of the IEAGHG, its members, the International Energy Agency, the organisations listed below, nor any employee or persons acting on behalf of any of them. In addition, none of these make any warranty, express or implied, assumes any liability or responsibility for the accuracy, completeness or usefulness of any information, apparatus, product of process disclosed or represents that its use would not infringe privately owned rights, including any parties intellectual property rights. Reference herein to any commercial product, process, service or trade name, trade mark or manufacturer does not necessarily constitute or imply any endorsement, recommendation or any favouring of such products. COPYRIGHT","author":[{"dropping-particle":"","family":"IEA GHG","given":"","non-dropping-particle":"","parse-names":false,"suffix":""}],"id":"ITEM-2","issue":"August","issued":{"date-parts":[["2015"]]},"number-of-pages":"636","title":"Oxy-Combustion Turbine Power Plants","type":"report"}}],"schema":"https://github.com/citation-style-language/schema/raw/master/csl-citation.json"} </w:instrText>
      </w:r>
      <w:r w:rsidR="00D81E1C" w:rsidRPr="00AC0DF1">
        <w:fldChar w:fldCharType="separate"/>
      </w:r>
      <w:r w:rsidR="00971A76" w:rsidRPr="00971A76">
        <w:rPr>
          <w:rFonts w:ascii="Calibri" w:hAnsi="Calibri" w:cs="Calibri"/>
          <w:vertAlign w:val="superscript"/>
        </w:rPr>
        <w:t>79</w:t>
      </w:r>
      <w:r w:rsidR="00D81E1C" w:rsidRPr="00AC0DF1">
        <w:fldChar w:fldCharType="end"/>
      </w:r>
      <w:r w:rsidR="00CD5AD8" w:rsidRPr="00AC0DF1">
        <w:t>.</w:t>
      </w:r>
    </w:p>
    <w:p w14:paraId="2471FF52" w14:textId="399A0ABD" w:rsidR="00870FC3" w:rsidRDefault="007933BF" w:rsidP="00FB11F2">
      <w:pPr>
        <w:spacing w:line="360" w:lineRule="auto"/>
        <w:jc w:val="both"/>
      </w:pPr>
      <w:r w:rsidRPr="00E41389">
        <w:t>The gasification-BECCS scenarios are</w:t>
      </w:r>
      <w:r w:rsidR="009614DF" w:rsidRPr="00E41389">
        <w:t xml:space="preserve"> based on the life cycle </w:t>
      </w:r>
      <w:r w:rsidR="009614DF" w:rsidRPr="00791BE3">
        <w:t>inventor</w:t>
      </w:r>
      <w:r w:rsidR="002467FC">
        <w:t>y</w:t>
      </w:r>
      <w:r w:rsidR="009614DF" w:rsidRPr="00791BE3">
        <w:t xml:space="preserve"> provided by </w:t>
      </w:r>
      <w:proofErr w:type="spellStart"/>
      <w:r w:rsidR="009614DF" w:rsidRPr="00791BE3">
        <w:t>Susmozas</w:t>
      </w:r>
      <w:proofErr w:type="spellEnd"/>
      <w:r w:rsidR="009614DF" w:rsidRPr="00791BE3">
        <w:t xml:space="preserve"> et al</w:t>
      </w:r>
      <w:r w:rsidR="00D87602" w:rsidRPr="00791BE3">
        <w:t>.</w:t>
      </w:r>
      <w:r w:rsidR="00791BE3" w:rsidRPr="00791BE3">
        <w:fldChar w:fldCharType="begin" w:fldLock="1"/>
      </w:r>
      <w:r w:rsidR="00971A76">
        <w:instrText xml:space="preserve"> ADDIN ZOTERO_ITEM CSL_CITATION {"citationID":"ulsMzHo9","properties":{"formattedCitation":"\\super 81\\nosupersub{}","plainCitation":"81","noteIndex":0},"citationItems":[{"id":2329,"uris":["http://www.mendeley.com/documents/?uuid=43c59b84-f887-4bc5-99c7-b423db01275c","http://zotero.org/users/14213812/items/LXJGYSFT"],"itemData":{"id":2329,"type":"article-journal","abstract":"The implementation of CO2 capture into biohydrogen-production systems is seen as a potential solution for greening the energy sector. However, the performance of biocapture strategies needs to be assessed thoroughly in order to guarantee their suitability. In this work, the Life Cycle Assessment methodology is used to evaluate an energy system producing hydrogen from short-rotation poplar biomass through gasification coupled with carbon dioxide capture. The biomass feedstock is dried and milled before being fed to a low-pressure char-indirect gasifier. The syngas produced is conditioned and undergoes a water gas shift process. Biohydrogen is separated from the rest of compounds in a pressure swing adsorption (PSA) unit. The PSA off-gas is burnt for electricity production and the exhaust gas from this power-generation section goes through a two-stage gas separation membrane process for CO2 capture. The results show that the system succeeds in obtaining a negative (i.e., favourable) global warming impact with a low cumulative non-renewable energy demand. Direct emissions to the air, external electricity production and biomass production are the key processes contributing to the evaluated impacts. When it comes to replacing conventional (fossil-based) hydrogen, the biohydrogen product is found to be a better alternative than biohydrogen without CO2 capture only under global warming aspects.","container-title":"International Journal of Hydrogen Energy","DOI":"10.1016/j.ijhydene.2016.02.053","ISSN":"03603199","issue":"42","page":"19484-19491","title":"Life-cycle performance of hydrogen production via indirect biomass gasification with CO2 capture","volume":"41","author":[{"family":"Susmozas","given":"Ana"},{"family":"Iribarren","given":"Diego"},{"family":"Zapp","given":"Petra"},{"family":"Linβen","given":"Jochen"},{"family":"Dufour","given":"Javier"}],"issued":{"date-parts":[["2016"]]}}}],"schema":"https://github.com/citation-style-language/schema/raw/master/csl-citation.json"} </w:instrText>
      </w:r>
      <w:r w:rsidR="00791BE3" w:rsidRPr="00791BE3">
        <w:fldChar w:fldCharType="separate"/>
      </w:r>
      <w:r w:rsidR="00971A76" w:rsidRPr="00971A76">
        <w:rPr>
          <w:rFonts w:ascii="Calibri" w:hAnsi="Calibri" w:cs="Calibri"/>
          <w:vertAlign w:val="superscript"/>
        </w:rPr>
        <w:t>81</w:t>
      </w:r>
      <w:r w:rsidR="00791BE3" w:rsidRPr="00791BE3">
        <w:fldChar w:fldCharType="end"/>
      </w:r>
      <w:r w:rsidR="00791BE3" w:rsidRPr="00791BE3">
        <w:t>,</w:t>
      </w:r>
      <w:r w:rsidR="009614DF" w:rsidRPr="00791BE3">
        <w:t xml:space="preserve"> </w:t>
      </w:r>
      <w:r w:rsidR="000011D3" w:rsidRPr="00791BE3">
        <w:t>who modeled</w:t>
      </w:r>
      <w:r w:rsidR="00025E95" w:rsidRPr="00791BE3">
        <w:t xml:space="preserve"> an ind</w:t>
      </w:r>
      <w:r w:rsidR="00025E95" w:rsidRPr="00E41389">
        <w:t>i</w:t>
      </w:r>
      <w:r w:rsidR="009D6FA0" w:rsidRPr="00E41389">
        <w:t>rect gasification process deploying two fluidized be</w:t>
      </w:r>
      <w:r w:rsidR="00187FE4">
        <w:t>d</w:t>
      </w:r>
      <w:r w:rsidR="009D6FA0" w:rsidRPr="00E41389">
        <w:t xml:space="preserve"> reactors. </w:t>
      </w:r>
      <w:r w:rsidR="00922C96" w:rsidRPr="00E41389">
        <w:t xml:space="preserve">In the first one, biomass reacts with steam to produce syngas and char. The </w:t>
      </w:r>
      <w:r w:rsidR="007C7DF8" w:rsidRPr="00E41389">
        <w:t>latter is burned in the second reactor to generate the heat needed in the gasification process</w:t>
      </w:r>
      <w:r w:rsidR="000011D3" w:rsidRPr="00E41389">
        <w:t xml:space="preserve">. </w:t>
      </w:r>
      <w:r w:rsidR="005217C6">
        <w:t xml:space="preserve">The concentration of hydrogen in the syngas in raised through the water-gas-shift reaction (catalyst composition in </w:t>
      </w:r>
      <w:r w:rsidR="001600D3">
        <w:fldChar w:fldCharType="begin" w:fldLock="1"/>
      </w:r>
      <w:r w:rsidR="00B4317C">
        <w:instrText xml:space="preserve"> ADDIN ZOTERO_ITEM CSL_CITATION {"citationID":"IMLvR5AY","properties":{"formattedCitation":"\\super 82\\nosupersub{}","plainCitation":"82","noteIndex":0},"citationItems":[{"id":"z2fanENt/fatkaMMz","uris":["http://www.mendeley.com/documents/?uuid=8c79ca57-4ff7-454f-ae4c-eeff5ba3f80d"],"itemData":{"DOI":"10.2202/1542-6580.2238","ISSN":"15426580","abstract":"The world's progression towards the Hydrogen economy is facilitating the production of hydrogen from various resources. In the carbon based hydrogen production, Water gas shift reaction is the intermediate step used for hydrogen enrichment and CO reduction in the synthesis gas. This paper makes a critical review of the developments in the modeling approaches of the reaction for use in designing and simulating the water gas shift reactor. Considering the fact that the rate of the reaction is dependent on various parameters including the composition of the catalyst, the active surface and structure of the catalyst, the size of the catalyst, age of the catalyst, its operating temperature and pressure and the composition of the gases, it is difficult to narrow down the expression for the shift reaction. With different authors conducting experiments still to validate the kinetic expressions for the shift reaction, continuous research on different composition and new catalysts are also reported periodically. Moreover the commercial catalyst manufacturers seldom provide information on the catalyst. This makes the task of designers difficult to model the shift reaction. This review provides a consolidated listing of the various important kinetic expressions published for both the high temperature and the low temperature water gas shift reaction along with the details of the catalysts and the operating conditions at which they have been validated. Copyright © 2010 The Berkeley Electronic Press. All rights reserved.","author":[{"dropping-particle":"","family":"Smith R J","given":"Byron","non-dropping-particle":"","parse-names":false,"suffix":""},{"dropping-particle":"","family":"Loganathan","given":"Muruganandam","non-dropping-particle":"","parse-names":false,"suffix":""},{"dropping-particle":"","family":"Shantha","given":"Murthy Shekhar","non-dropping-particle":"","parse-names":false,"suffix":""}],"container-title":"International Journal of Chemical Reactor Engineering","id":"ITEM-1","issued":{"date-parts":[["2010"]]},"page":"1","title":"A review of the water gas shift reaction kinetics","type":"article-journal","volume":"8"}}],"schema":"https://github.com/citation-style-language/schema/raw/master/csl-citation.json"} </w:instrText>
      </w:r>
      <w:r w:rsidR="001600D3">
        <w:fldChar w:fldCharType="separate"/>
      </w:r>
      <w:r w:rsidR="00971A76" w:rsidRPr="00971A76">
        <w:rPr>
          <w:rFonts w:ascii="Calibri" w:hAnsi="Calibri" w:cs="Calibri"/>
          <w:vertAlign w:val="superscript"/>
        </w:rPr>
        <w:t>82</w:t>
      </w:r>
      <w:r w:rsidR="001600D3">
        <w:fldChar w:fldCharType="end"/>
      </w:r>
      <w:r w:rsidR="001600D3">
        <w:rPr>
          <w:bCs/>
          <w:color w:val="000000" w:themeColor="text1"/>
        </w:rPr>
        <w:t>)</w:t>
      </w:r>
      <w:r w:rsidR="00E253E6">
        <w:rPr>
          <w:bCs/>
          <w:color w:val="000000" w:themeColor="text1"/>
        </w:rPr>
        <w:t xml:space="preserve">, and </w:t>
      </w:r>
      <w:r w:rsidR="00E253E6">
        <w:t>a</w:t>
      </w:r>
      <w:r w:rsidR="00704B9F" w:rsidRPr="00E41389">
        <w:rPr>
          <w:bCs/>
          <w:color w:val="000000" w:themeColor="text1"/>
        </w:rPr>
        <w:t xml:space="preserve"> pressure swing adsorption unit is </w:t>
      </w:r>
      <w:r w:rsidR="00E253E6">
        <w:rPr>
          <w:bCs/>
          <w:color w:val="000000" w:themeColor="text1"/>
        </w:rPr>
        <w:t xml:space="preserve">subsequently </w:t>
      </w:r>
      <w:r w:rsidR="00704B9F" w:rsidRPr="00E41389">
        <w:rPr>
          <w:bCs/>
          <w:color w:val="000000" w:themeColor="text1"/>
        </w:rPr>
        <w:t xml:space="preserve">used to </w:t>
      </w:r>
      <w:r w:rsidR="00B038DA" w:rsidRPr="00E41389">
        <w:rPr>
          <w:bCs/>
          <w:color w:val="000000" w:themeColor="text1"/>
        </w:rPr>
        <w:t xml:space="preserve">separate </w:t>
      </w:r>
      <w:r w:rsidR="00DB7F54" w:rsidRPr="00E41389">
        <w:rPr>
          <w:bCs/>
          <w:color w:val="000000" w:themeColor="text1"/>
        </w:rPr>
        <w:t xml:space="preserve">the produced </w:t>
      </w:r>
      <w:r w:rsidR="00E37460" w:rsidRPr="00E41389">
        <w:rPr>
          <w:bCs/>
          <w:color w:val="000000" w:themeColor="text1"/>
        </w:rPr>
        <w:t>hydrogen</w:t>
      </w:r>
      <w:r w:rsidR="00E253E6">
        <w:rPr>
          <w:bCs/>
          <w:color w:val="000000" w:themeColor="text1"/>
        </w:rPr>
        <w:t xml:space="preserve"> </w:t>
      </w:r>
      <w:r w:rsidR="000D42C7" w:rsidRPr="00E41389">
        <w:rPr>
          <w:bCs/>
          <w:color w:val="000000" w:themeColor="text1"/>
        </w:rPr>
        <w:t xml:space="preserve">from </w:t>
      </w:r>
      <w:r w:rsidR="00D422B6" w:rsidRPr="00E41389">
        <w:rPr>
          <w:bCs/>
          <w:color w:val="000000" w:themeColor="text1"/>
        </w:rPr>
        <w:t>the other syngas compounds</w:t>
      </w:r>
      <w:r w:rsidR="00DF2A95" w:rsidRPr="00E41389">
        <w:rPr>
          <w:bCs/>
          <w:color w:val="000000" w:themeColor="text1"/>
        </w:rPr>
        <w:t>, which are burned to generate heat and electricity</w:t>
      </w:r>
      <w:r w:rsidR="002F31CA">
        <w:rPr>
          <w:bCs/>
          <w:color w:val="000000" w:themeColor="text1"/>
        </w:rPr>
        <w:t>,</w:t>
      </w:r>
      <w:r w:rsidR="00DF2A95" w:rsidRPr="00E41389">
        <w:rPr>
          <w:bCs/>
          <w:color w:val="000000" w:themeColor="text1"/>
        </w:rPr>
        <w:t xml:space="preserve"> used within the plant. </w:t>
      </w:r>
      <w:r w:rsidR="00AF5064" w:rsidRPr="00E41389">
        <w:t>The CO</w:t>
      </w:r>
      <w:r w:rsidR="00AF5064" w:rsidRPr="00E41389">
        <w:rPr>
          <w:vertAlign w:val="subscript"/>
        </w:rPr>
        <w:t>2</w:t>
      </w:r>
      <w:r w:rsidR="00AF5064" w:rsidRPr="00E41389">
        <w:t xml:space="preserve"> </w:t>
      </w:r>
      <w:r w:rsidR="003250B8">
        <w:t xml:space="preserve">generated in this step </w:t>
      </w:r>
      <w:r w:rsidR="00AF5064" w:rsidRPr="00E41389">
        <w:t xml:space="preserve">is captured with </w:t>
      </w:r>
      <w:r w:rsidR="007539D7">
        <w:t xml:space="preserve">a </w:t>
      </w:r>
      <w:proofErr w:type="spellStart"/>
      <w:r w:rsidR="007539D7">
        <w:t>Polyactive</w:t>
      </w:r>
      <w:proofErr w:type="spellEnd"/>
      <w:r w:rsidR="007539D7">
        <w:t>®</w:t>
      </w:r>
      <w:r w:rsidR="00AF5064" w:rsidRPr="00E41389">
        <w:t xml:space="preserve"> </w:t>
      </w:r>
      <w:r w:rsidR="00166108" w:rsidRPr="00E41389">
        <w:t xml:space="preserve">polymeric </w:t>
      </w:r>
      <w:r w:rsidR="00AF5064" w:rsidRPr="00E41389">
        <w:t>membrane</w:t>
      </w:r>
      <w:r w:rsidR="00166108" w:rsidRPr="00E41389">
        <w:t xml:space="preserve"> (</w:t>
      </w:r>
      <w:r w:rsidR="00A4498D">
        <w:t xml:space="preserve">materials and energy required </w:t>
      </w:r>
      <w:r w:rsidR="00BC5584">
        <w:t>in the</w:t>
      </w:r>
      <w:r w:rsidR="00A4498D">
        <w:t xml:space="preserve"> production</w:t>
      </w:r>
      <w:r w:rsidR="00BC5584">
        <w:t xml:space="preserve"> process</w:t>
      </w:r>
      <w:r w:rsidR="00A4498D">
        <w:t xml:space="preserve"> </w:t>
      </w:r>
      <w:r w:rsidR="00166108" w:rsidRPr="00E41389">
        <w:t>derived from</w:t>
      </w:r>
      <w:r w:rsidR="00D9721F">
        <w:t xml:space="preserve"> </w:t>
      </w:r>
      <w:r w:rsidR="00D9721F">
        <w:fldChar w:fldCharType="begin" w:fldLock="1"/>
      </w:r>
      <w:r w:rsidR="00B4317C">
        <w:instrText xml:space="preserve"> ADDIN ZOTERO_ITEM CSL_CITATION {"citationID":"CjNtJtFN","properties":{"formattedCitation":"\\super 83\\uc0\\u8211{}85\\nosupersub{}","plainCitation":"83–85","noteIndex":0},"citationItems":[{"id":2542,"uris":["http://www.mendeley.com/documents/?uuid=cb10d855-9d3c-48aa-8668-ceb1d7f79652","http://zotero.org/users/14213812/items/ENTBNVYT"],"itemData":{"id":2542,"type":"article-journal","abstract":"Polyactive® membranes show promising properties for CO2 separation from flue gas. An investigation of different module types using Polyactive® membranes was carried out for this paper. A test rig was built to explore, amongst other process parameters, the pressure drop in envelope-type membrane modules. The experimental data and simulation results were compared with quite good consistency. This validation enabled further simulations for different modules in a virtual pilot plant configuration. Applying the data from the pilot plant simulation to a reference power plant, the scaled-up cascaded membrane system was analyzed using different membrane modules. Considering the required membrane area, energy consumption and pressure drop in different modules, a counter-current membrane module configuration exhibited the best performance and had a marginal advantage in comparison with the chemical absorption process.","container-title":"International Journal of Greenhouse Gas Control","DOI":"10.1016/j.ijggc.2015.03.010","ISSN":"17505836","note":"publisher: Elsevier Ltd","page":"194-204","title":"Investigating the influence of the pressure distribution in a membrane module on the cascaded membrane system for post-combustion capture","volume":"39","author":[{"family":"Brinkmann","given":"Torsten"},{"family":"Pohlmann","given":"Jan"},{"family":"Bram","given":"Martin"},{"family":"Zhao","given":"Li"},{"family":"Tota","given":"Akos"},{"family":"Jordan Escalona","given":"Natividad"},{"family":"Graaff","given":"Marijke","non-dropping-particle":"de"},{"family":"Stolten","given":"Detlef"}],"issued":{"date-parts":[["2015"]]}}},{"id":2544,"uris":["http://www.mendeley.com/documents/?uuid=6e8eac54-490f-46e7-8b5c-57db98ca0e19","http://zotero.org/users/14213812/items/SYSWEQU5"],"itemData":{"id":2544,"type":"article-journal","abstract":"It is generally accepted that the melting point of a semicrystalline polymer is associated with the thickness of the crystalline lamellae (Gibbs-Thomson equation). In this study, a commercially available multiblock copolymer PolyActive composed of 77 wt % of poly(ethylene glycol terephthalate) and 23 wt % of poly(butylene terephthalate) was dip-coated on top of a multilayer microporous support. The thickness was changed between 0.2 and 8 μm using coating solutions containing 0.75-7.5 wt % PolyActive. The surface temperature of the membrane during dip-coating was monitored using an infrared camera. Single gas permeances of N2, H2, CH4, and CO2 were measured between 20 and 80 °C at temperature steps of 2 °C. Spherulitic superstructures composed of radially directed lamellae were observed in the polarized light microscope in the prepared membranes. Atomic force microscopy studies showed that the thickness of the crystalline lamellae was in the order of 10 nm or 0.01 μm at the surface of the membrane. Therefore, according to the Gibbs-Thomson equation, the melting point should not change in the thickness range 0.2-8 μm. However, the gas permeance data showed that the melting point of the polyether domains of the 0.2 μm PolyActive layer was 10 °C lower compared to that of the 8 μm layer. The results can be explained by considering that the width of many crystalline lamellae significantly reduces as a function of film thickness, thereby reducing the average fold surface free energy/lateral surface free energy ratio.","container-title":"ACS Applied Materials and Interfaces","DOI":"10.1021/acsami.8b09259","ISSN":"19448252","issue":"31","note":"PMID: 30019890","page":"26733-26744","title":"CO2 Selective PolyActive Membrane: Thermal Transitions and Gas Permeance as a Function of Thickness","volume":"10","author":[{"family":"Rahman","given":"Md Mushfequr"},{"family":"Abetz","given":"Clarissa"},{"family":"Shishatskiy","given":"Sergey"},{"family":"Martin","given":"Jaime"},{"family":"Müller","given":"Alejandro J."},{"family":"Abetz","given":"Volker"}],"issued":{"date-parts":[["2018"]]}}},{"id":"z2fanENt/QXyibKkv","uris":["http://www.mendeley.com/documents/?uuid=07f21e6e-0e00-46ad-b6a8-f51f43d4e956"],"itemData":{"DOI":"10.1016/j.memsci.2014.05.039","ISSN":"18733123","abstract":"Reduction of CO2 emission caused by fossil fuel power plants is widely appreciated task. The most suitable materials for off-gas membrane separation process are poly(ethylene glycol) containing polymers. Pebax® 1657 blended with low molecular weight poly(ethylene glycol)s is a promising material for the selective layer of thin film composite gas separation membranes. Stability of blend Pebax® 1657 thick membranes was evaluated at temperatures up to 90°C, exceeding those at a stack of power plant. The membranes were tested for gas transport properties by thermoanalytical methods. It was found that a threshold of molecular weight exists between 350 and 500g/mol, at which leaching out of the low molecular weight poly(ethylene glycol) compound from the polymer matrix becomes minimal. Poly(ethylene glycol) with methyl end groups having a molecular weight of 500g/mol provides a blend material with a CO2 permeability coefficient higher than in case of Polyactive™. PEBAX®/DM500 blend can be a cheaper alternative to tailor made Polyactive™ in large scale production of CO2 selective thin film composite membrane. © 2014 Elsevier B.V.","author":[{"dropping-particle":"","family":"Lillepärg","given":"Jelena","non-dropping-particle":"","parse-names":false,"suffix":""},{"dropping-particle":"","family":"Georgopanos","given":"Prokopios","non-dropping-particle":"","parse-names":false,"suffix":""},{"dropping-particle":"","family":"Shishatskiy","given":"Sergey","non-dropping-particle":"","parse-names":false,"suffix":""}],"container-title":"Journal of Membrane Science","id":"ITEM-3","issued":{"date-parts":[["2014"]]},"page":"269-278","publisher":"Elsevier","title":"Stability of blended polymeric materials for CO2 separation","type":"article-journal","volume":"467"}}],"schema":"https://github.com/citation-style-language/schema/raw/master/csl-citation.json"} </w:instrText>
      </w:r>
      <w:r w:rsidR="00D9721F">
        <w:fldChar w:fldCharType="separate"/>
      </w:r>
      <w:r w:rsidR="00971A76" w:rsidRPr="00971A76">
        <w:rPr>
          <w:rFonts w:ascii="Calibri" w:hAnsi="Calibri" w:cs="Calibri"/>
          <w:vertAlign w:val="superscript"/>
        </w:rPr>
        <w:t>83–85</w:t>
      </w:r>
      <w:r w:rsidR="00D9721F">
        <w:fldChar w:fldCharType="end"/>
      </w:r>
      <w:r w:rsidR="00936C89" w:rsidRPr="00E41389">
        <w:t>)</w:t>
      </w:r>
      <w:r w:rsidR="00F60B62">
        <w:t>.</w:t>
      </w:r>
      <w:r w:rsidR="00E60390" w:rsidRPr="00E41389">
        <w:t xml:space="preserve"> </w:t>
      </w:r>
      <w:r w:rsidR="00870FC3" w:rsidRPr="005D1DC7">
        <w:t>The CO</w:t>
      </w:r>
      <w:r w:rsidR="00870FC3" w:rsidRPr="005D1DC7">
        <w:rPr>
          <w:vertAlign w:val="subscript"/>
        </w:rPr>
        <w:t>2</w:t>
      </w:r>
      <w:r w:rsidR="00870FC3" w:rsidRPr="005D1DC7">
        <w:t xml:space="preserve"> separation efficiency</w:t>
      </w:r>
      <w:r w:rsidR="00D92EEE" w:rsidRPr="005D1DC7">
        <w:t xml:space="preserve"> of the membrane</w:t>
      </w:r>
      <w:r w:rsidR="00870FC3" w:rsidRPr="005D1DC7">
        <w:t xml:space="preserve"> is assumed to increase from 70% in 2020</w:t>
      </w:r>
      <w:r w:rsidR="00BB2368" w:rsidRPr="005D1DC7">
        <w:fldChar w:fldCharType="begin" w:fldLock="1"/>
      </w:r>
      <w:r w:rsidR="00971A76">
        <w:instrText xml:space="preserve"> ADDIN ZOTERO_ITEM CSL_CITATION {"citationID":"SAlBnOKR","properties":{"formattedCitation":"\\super 83\\nosupersub{}","plainCitation":"83","noteIndex":0},"citationItems":[{"id":2542,"uris":["http://www.mendeley.com/documents/?uuid=cb10d855-9d3c-48aa-8668-ceb1d7f79652","http://zotero.org/users/14213812/items/ENTBNVYT"],"itemData":{"id":2542,"type":"article-journal","abstract":"Polyactive® membranes show promising properties for CO2 separation from flue gas. An investigation of different module types using Polyactive® membranes was carried out for this paper. A test rig was built to explore, amongst other process parameters, the pressure drop in envelope-type membrane modules. The experimental data and simulation results were compared with quite good consistency. This validation enabled further simulations for different modules in a virtual pilot plant configuration. Applying the data from the pilot plant simulation to a reference power plant, the scaled-up cascaded membrane system was analyzed using different membrane modules. Considering the required membrane area, energy consumption and pressure drop in different modules, a counter-current membrane module configuration exhibited the best performance and had a marginal advantage in comparison with the chemical absorption process.","container-title":"International Journal of Greenhouse Gas Control","DOI":"10.1016/j.ijggc.2015.03.010","ISSN":"17505836","note":"publisher: Elsevier Ltd","page":"194-204","title":"Investigating the influence of the pressure distribution in a membrane module on the cascaded membrane system for post-combustion capture","volume":"39","author":[{"family":"Brinkmann","given":"Torsten"},{"family":"Pohlmann","given":"Jan"},{"family":"Bram","given":"Martin"},{"family":"Zhao","given":"Li"},{"family":"Tota","given":"Akos"},{"family":"Jordan Escalona","given":"Natividad"},{"family":"Graaff","given":"Marijke","non-dropping-particle":"de"},{"family":"Stolten","given":"Detlef"}],"issued":{"date-parts":[["2015"]]}}}],"schema":"https://github.com/citation-style-language/schema/raw/master/csl-citation.json"} </w:instrText>
      </w:r>
      <w:r w:rsidR="00BB2368" w:rsidRPr="005D1DC7">
        <w:fldChar w:fldCharType="separate"/>
      </w:r>
      <w:r w:rsidR="00971A76" w:rsidRPr="00971A76">
        <w:rPr>
          <w:rFonts w:ascii="Calibri" w:hAnsi="Calibri" w:cs="Calibri"/>
          <w:vertAlign w:val="superscript"/>
        </w:rPr>
        <w:t>83</w:t>
      </w:r>
      <w:r w:rsidR="00BB2368" w:rsidRPr="005D1DC7">
        <w:fldChar w:fldCharType="end"/>
      </w:r>
      <w:r w:rsidR="00870FC3" w:rsidRPr="005D1DC7">
        <w:t xml:space="preserve"> </w:t>
      </w:r>
      <w:r w:rsidR="00AE0F9C" w:rsidRPr="005D1DC7">
        <w:t xml:space="preserve">to </w:t>
      </w:r>
      <w:r w:rsidR="00DD0DC3" w:rsidRPr="005D1DC7">
        <w:t>79</w:t>
      </w:r>
      <w:r w:rsidR="000E19C4" w:rsidRPr="005D1DC7">
        <w:t>% in 2050</w:t>
      </w:r>
      <w:r w:rsidR="008F6CDE" w:rsidRPr="005D1DC7">
        <w:t xml:space="preserve">, </w:t>
      </w:r>
      <w:r w:rsidR="00D32437" w:rsidRPr="005D1DC7">
        <w:t xml:space="preserve">considering </w:t>
      </w:r>
      <w:r w:rsidR="001B6A2C" w:rsidRPr="005D1DC7">
        <w:t>the same</w:t>
      </w:r>
      <w:r w:rsidR="000E19C4" w:rsidRPr="005D1DC7">
        <w:t xml:space="preserve"> </w:t>
      </w:r>
      <w:r w:rsidR="0056140F" w:rsidRPr="005D1DC7">
        <w:t>annual</w:t>
      </w:r>
      <w:r w:rsidR="000E19C4" w:rsidRPr="005D1DC7">
        <w:t xml:space="preserve"> </w:t>
      </w:r>
      <w:r w:rsidR="00E41389" w:rsidRPr="005D1DC7">
        <w:t xml:space="preserve">improvement </w:t>
      </w:r>
      <w:r w:rsidR="001B6A2C" w:rsidRPr="005D1DC7">
        <w:t>as that</w:t>
      </w:r>
      <w:r w:rsidR="009F3C79" w:rsidRPr="005D1DC7">
        <w:t xml:space="preserve"> in</w:t>
      </w:r>
      <w:r w:rsidR="00E41389" w:rsidRPr="005D1DC7">
        <w:t xml:space="preserve"> the combustion processes (</w:t>
      </w:r>
      <w:r w:rsidR="007C6698" w:rsidRPr="005D1DC7">
        <w:t xml:space="preserve">Table 2.4 in the </w:t>
      </w:r>
      <w:r w:rsidR="00E41389" w:rsidRPr="005D1DC7">
        <w:t xml:space="preserve">Supplementary Data </w:t>
      </w:r>
      <w:r w:rsidR="007C6698" w:rsidRPr="005D1DC7">
        <w:t>file</w:t>
      </w:r>
      <w:r w:rsidR="00E41389" w:rsidRPr="005D1DC7">
        <w:t>)</w:t>
      </w:r>
      <w:r w:rsidR="00FB11F2" w:rsidRPr="005D1DC7">
        <w:t>.</w:t>
      </w:r>
      <w:r w:rsidR="004A33D6" w:rsidRPr="005D1DC7">
        <w:t xml:space="preserve"> </w:t>
      </w:r>
      <w:r w:rsidR="00803C8B" w:rsidRPr="005D1DC7">
        <w:t>All the BECCS plants are located 50-150 km from the biomass</w:t>
      </w:r>
      <w:r w:rsidR="00803C8B" w:rsidRPr="00CB1FC4">
        <w:t xml:space="preserve"> plantations, while the captured CO</w:t>
      </w:r>
      <w:r w:rsidR="00803C8B" w:rsidRPr="00CB1FC4">
        <w:rPr>
          <w:vertAlign w:val="subscript"/>
        </w:rPr>
        <w:t>2</w:t>
      </w:r>
      <w:r w:rsidR="00803C8B" w:rsidRPr="00CB1FC4">
        <w:t xml:space="preserve"> is </w:t>
      </w:r>
      <w:r w:rsidR="00FD519B" w:rsidRPr="00CB1FC4">
        <w:t xml:space="preserve">compressed and </w:t>
      </w:r>
      <w:r w:rsidR="00803C8B" w:rsidRPr="00CB1FC4">
        <w:t>transported by pipeline 200-600 km to</w:t>
      </w:r>
      <w:r w:rsidR="00803C8B" w:rsidRPr="00435A9F">
        <w:t xml:space="preserve"> the final injection site</w:t>
      </w:r>
      <w:r w:rsidR="00FD519B">
        <w:t xml:space="preserve"> (energy requirements and fugitive emissions derived from</w:t>
      </w:r>
      <w:r w:rsidR="003F571D">
        <w:t xml:space="preserve"> </w:t>
      </w:r>
      <w:r w:rsidR="003F571D">
        <w:fldChar w:fldCharType="begin" w:fldLock="1"/>
      </w:r>
      <w:r w:rsidR="00971A76">
        <w:instrText xml:space="preserve"> ADDIN ZOTERO_ITEM CSL_CITATION {"citationID":"G13wEauI","properties":{"formattedCitation":"\\super 28\\nosupersub{}","plainCitation":"28","noteIndex":0},"citationItems":[{"id":1444,"uris":["http://www.mendeley.com/documents/?uuid=180d59d0-eb8a-4657-a8e9-9a64160d6cb7","http://zotero.org/users/14213812/items/66TCDPKI"],"itemData":{"id":1444,"type":"article-journal","abstract":"In this study the methodology of life cycle assessment has been used to assess the environmental impacts of three pulverized coal fired electricity supply chains with and without carbon capture and storage (CCS) on a cradle to grave basis. The chain with CCS comprises post-combustion CO2 capture with monoethanolamine, compression, transport by pipeline and storage in a geological reservoir. The two reference chains represent sub-critical and state-of-the-art ultra supercritical pulverized coal fired electricity generation. For the three chains we have constructed a detailed greenhouse gas (GHG) balance, and disclosed environmental trade-offs and co-benefits due to CO2 capture, transport and storage. Results show that, due to CCS, the GHG emissions per kWh are reduced substantially to 243 g/kWh. This is a reduction of 78 and 71% compared to the sub-critical and state-of-the-art power plant, respectively. The removal of CO2 is partially offset by increased GHG emissions in up- and downstream processes, to a small extent (0.7 g/kWh) caused by the CCS infrastructure. An environmental co-benefit is expected following from the deeper reduction of hydrogen fluoride and hydrogen chloride emissions. Most notable environmental trade-offs are the increase in human toxicity, ozone layer depletion and fresh water ecotoxicity potential for which the CCS chain is outperformed by both other chains. The state-of-the-art power plant without CCS also shows a better score for the eutrophication, acidification and photochemical oxidation potential despite the deeper reduction of SOx and NOx in the CCS power plant. These reductions are offset by increased emissions in the life cycle due to the energy penalty and a factor five increase in NH3 emissions. © 2008 Elsevier Ltd. All rights reserved.","container-title":"International Journal of Greenhouse Gas Control","DOI":"10.1016/j.ijggc.2008.06.008","ISSN":"17505836","issue":"4","page":"448-467","title":"Life cycle assessment of a pulverized coal power plant with post-combustion capture, transport and storage of CO2","volume":"2","author":[{"family":"Koornneef","given":"Joris"},{"family":"Keulen","given":"Tim","non-dropping-particle":"van"},{"family":"Faaij","given":"André"},{"family":"Turkenburg","given":"Wim"}],"issued":{"date-parts":[["2008"]]}}}],"schema":"https://github.com/citation-style-language/schema/raw/master/csl-citation.json"} </w:instrText>
      </w:r>
      <w:r w:rsidR="003F571D">
        <w:fldChar w:fldCharType="separate"/>
      </w:r>
      <w:r w:rsidR="00971A76" w:rsidRPr="00971A76">
        <w:rPr>
          <w:rFonts w:ascii="Calibri" w:hAnsi="Calibri" w:cs="Calibri"/>
          <w:vertAlign w:val="superscript"/>
        </w:rPr>
        <w:t>28</w:t>
      </w:r>
      <w:r w:rsidR="003F571D">
        <w:fldChar w:fldCharType="end"/>
      </w:r>
      <w:r w:rsidR="003F571D">
        <w:t>)</w:t>
      </w:r>
      <w:r w:rsidR="00803C8B" w:rsidRPr="00435A9F">
        <w:t>.</w:t>
      </w:r>
    </w:p>
    <w:p w14:paraId="611956E2" w14:textId="77777777" w:rsidR="00F214B9" w:rsidRPr="00E41389" w:rsidRDefault="00F214B9" w:rsidP="00E41389">
      <w:pPr>
        <w:spacing w:line="360" w:lineRule="auto"/>
        <w:jc w:val="both"/>
      </w:pPr>
    </w:p>
    <w:p w14:paraId="5F9AED61" w14:textId="6AC051E9" w:rsidR="00E33F8C" w:rsidRPr="009E1549" w:rsidRDefault="007B7988" w:rsidP="00097031">
      <w:pPr>
        <w:pStyle w:val="Ttulo2"/>
        <w:spacing w:after="240"/>
        <w:rPr>
          <w:rFonts w:asciiTheme="minorHAnsi" w:hAnsiTheme="minorHAnsi" w:cstheme="minorHAnsi"/>
          <w:b/>
          <w:bCs/>
          <w:color w:val="auto"/>
          <w:sz w:val="22"/>
          <w:szCs w:val="22"/>
        </w:rPr>
      </w:pPr>
      <w:bookmarkStart w:id="11" w:name="_Toc194330856"/>
      <w:r>
        <w:rPr>
          <w:rFonts w:asciiTheme="minorHAnsi" w:hAnsiTheme="minorHAnsi" w:cstheme="minorHAnsi"/>
          <w:b/>
          <w:bCs/>
          <w:color w:val="auto"/>
          <w:sz w:val="22"/>
          <w:szCs w:val="22"/>
        </w:rPr>
        <w:t>3</w:t>
      </w:r>
      <w:r w:rsidR="00AA4A32" w:rsidRPr="009E1549">
        <w:rPr>
          <w:rFonts w:asciiTheme="minorHAnsi" w:hAnsiTheme="minorHAnsi" w:cstheme="minorHAnsi"/>
          <w:b/>
          <w:bCs/>
          <w:color w:val="auto"/>
          <w:sz w:val="22"/>
          <w:szCs w:val="22"/>
        </w:rPr>
        <w:t xml:space="preserve">.5 </w:t>
      </w:r>
      <w:r w:rsidR="00F11AE7" w:rsidRPr="009E1549">
        <w:rPr>
          <w:rFonts w:asciiTheme="minorHAnsi" w:hAnsiTheme="minorHAnsi" w:cstheme="minorHAnsi"/>
          <w:b/>
          <w:bCs/>
          <w:color w:val="auto"/>
          <w:sz w:val="22"/>
          <w:szCs w:val="22"/>
        </w:rPr>
        <w:t>Forestatio</w:t>
      </w:r>
      <w:r w:rsidR="007C1CC6" w:rsidRPr="009E1549">
        <w:rPr>
          <w:rFonts w:asciiTheme="minorHAnsi" w:hAnsiTheme="minorHAnsi" w:cstheme="minorHAnsi"/>
          <w:b/>
          <w:bCs/>
          <w:color w:val="auto"/>
          <w:sz w:val="22"/>
          <w:szCs w:val="22"/>
        </w:rPr>
        <w:t>n</w:t>
      </w:r>
      <w:bookmarkEnd w:id="11"/>
    </w:p>
    <w:p w14:paraId="47416674" w14:textId="7E2FFAB0" w:rsidR="0093325C" w:rsidRPr="000E5053" w:rsidRDefault="0093325C" w:rsidP="003A2B87">
      <w:pPr>
        <w:spacing w:line="360" w:lineRule="auto"/>
        <w:jc w:val="both"/>
        <w:rPr>
          <w:rFonts w:cstheme="minorHAnsi"/>
        </w:rPr>
      </w:pPr>
      <w:r w:rsidRPr="000E5053">
        <w:rPr>
          <w:rFonts w:cstheme="minorHAnsi"/>
        </w:rPr>
        <w:t>We estimate t</w:t>
      </w:r>
      <w:r w:rsidR="00E33F8C" w:rsidRPr="000E5053">
        <w:rPr>
          <w:rFonts w:cstheme="minorHAnsi"/>
        </w:rPr>
        <w:t xml:space="preserve">he CDR in </w:t>
      </w:r>
      <w:r w:rsidR="00097031" w:rsidRPr="000E5053">
        <w:rPr>
          <w:rFonts w:cstheme="minorHAnsi"/>
        </w:rPr>
        <w:t xml:space="preserve">the forestation scenarios </w:t>
      </w:r>
      <w:r w:rsidRPr="000E5053">
        <w:rPr>
          <w:rFonts w:cstheme="minorHAnsi"/>
        </w:rPr>
        <w:t xml:space="preserve">as the sum of the </w:t>
      </w:r>
      <w:r w:rsidR="00C14CBD" w:rsidRPr="000E5053">
        <w:rPr>
          <w:rFonts w:cstheme="minorHAnsi"/>
        </w:rPr>
        <w:t>CO</w:t>
      </w:r>
      <w:r w:rsidR="00C14CBD" w:rsidRPr="000E5053">
        <w:rPr>
          <w:rFonts w:cstheme="minorHAnsi"/>
          <w:vertAlign w:val="subscript"/>
        </w:rPr>
        <w:t>2</w:t>
      </w:r>
      <w:r w:rsidRPr="000E5053">
        <w:rPr>
          <w:rFonts w:cstheme="minorHAnsi"/>
        </w:rPr>
        <w:t xml:space="preserve"> </w:t>
      </w:r>
      <w:r w:rsidR="00F70ACC" w:rsidRPr="000E5053">
        <w:rPr>
          <w:rFonts w:cstheme="minorHAnsi"/>
        </w:rPr>
        <w:t xml:space="preserve">embodied </w:t>
      </w:r>
      <w:r w:rsidRPr="000E5053">
        <w:rPr>
          <w:rFonts w:cstheme="minorHAnsi"/>
        </w:rPr>
        <w:t xml:space="preserve">in </w:t>
      </w:r>
      <w:r w:rsidR="002875A3" w:rsidRPr="000E5053">
        <w:rPr>
          <w:rFonts w:cstheme="minorHAnsi"/>
        </w:rPr>
        <w:t xml:space="preserve">the </w:t>
      </w:r>
      <w:r w:rsidR="00F70ACC" w:rsidRPr="000E5053">
        <w:rPr>
          <w:rFonts w:cstheme="minorHAnsi"/>
        </w:rPr>
        <w:t>biomass</w:t>
      </w:r>
      <w:r w:rsidR="00C91B74" w:rsidRPr="000E5053">
        <w:rPr>
          <w:rFonts w:cstheme="minorHAnsi"/>
        </w:rPr>
        <w:t xml:space="preserve">, </w:t>
      </w:r>
      <w:r w:rsidR="00656FE2" w:rsidRPr="000E5053">
        <w:rPr>
          <w:rFonts w:cstheme="minorHAnsi"/>
        </w:rPr>
        <w:t>litter</w:t>
      </w:r>
      <w:r w:rsidR="001B7C8F" w:rsidRPr="000E5053">
        <w:rPr>
          <w:rFonts w:cstheme="minorHAnsi"/>
        </w:rPr>
        <w:t>,</w:t>
      </w:r>
      <w:r w:rsidR="00656FE2" w:rsidRPr="000E5053">
        <w:rPr>
          <w:rFonts w:cstheme="minorHAnsi"/>
        </w:rPr>
        <w:t xml:space="preserve"> </w:t>
      </w:r>
      <w:r w:rsidR="00C91B74" w:rsidRPr="000E5053">
        <w:rPr>
          <w:rFonts w:cstheme="minorHAnsi"/>
        </w:rPr>
        <w:t xml:space="preserve">and soil </w:t>
      </w:r>
      <w:r w:rsidR="00656FE2" w:rsidRPr="000E5053">
        <w:rPr>
          <w:rFonts w:cstheme="minorHAnsi"/>
        </w:rPr>
        <w:t>carbon stocks</w:t>
      </w:r>
      <w:r w:rsidR="008835E2" w:rsidRPr="000E5053">
        <w:rPr>
          <w:rFonts w:cstheme="minorHAnsi"/>
        </w:rPr>
        <w:t>.</w:t>
      </w:r>
      <w:r w:rsidR="00EC3630" w:rsidRPr="000E5053">
        <w:rPr>
          <w:rFonts w:cstheme="minorHAnsi"/>
        </w:rPr>
        <w:t xml:space="preserve"> </w:t>
      </w:r>
      <w:r w:rsidR="00E53236" w:rsidRPr="000E5053">
        <w:rPr>
          <w:rFonts w:cstheme="minorHAnsi"/>
        </w:rPr>
        <w:t xml:space="preserve">We </w:t>
      </w:r>
      <w:r w:rsidR="00EC3630" w:rsidRPr="000E5053">
        <w:rPr>
          <w:rFonts w:cstheme="minorHAnsi"/>
        </w:rPr>
        <w:t>comput</w:t>
      </w:r>
      <w:r w:rsidR="00E53236" w:rsidRPr="000E5053">
        <w:rPr>
          <w:rFonts w:cstheme="minorHAnsi"/>
        </w:rPr>
        <w:t>e</w:t>
      </w:r>
      <w:r w:rsidR="00FE4106" w:rsidRPr="000E5053">
        <w:rPr>
          <w:rFonts w:cstheme="minorHAnsi"/>
        </w:rPr>
        <w:t xml:space="preserve"> inventories for temperate, tropical and boreal</w:t>
      </w:r>
      <w:r w:rsidR="00F458C4" w:rsidRPr="000E5053">
        <w:rPr>
          <w:rFonts w:cstheme="minorHAnsi"/>
        </w:rPr>
        <w:t xml:space="preserve"> forest</w:t>
      </w:r>
      <w:r w:rsidR="00FE4106" w:rsidRPr="000E5053">
        <w:rPr>
          <w:rFonts w:cstheme="minorHAnsi"/>
        </w:rPr>
        <w:t xml:space="preserve"> plantations</w:t>
      </w:r>
      <w:r w:rsidR="00861186" w:rsidRPr="000E5053">
        <w:rPr>
          <w:rFonts w:cstheme="minorHAnsi"/>
        </w:rPr>
        <w:t>, and averag</w:t>
      </w:r>
      <w:r w:rsidR="00E53236" w:rsidRPr="000E5053">
        <w:rPr>
          <w:rFonts w:cstheme="minorHAnsi"/>
        </w:rPr>
        <w:t>e</w:t>
      </w:r>
      <w:r w:rsidR="00614240" w:rsidRPr="000E5053">
        <w:rPr>
          <w:rFonts w:cstheme="minorHAnsi"/>
        </w:rPr>
        <w:t xml:space="preserve"> the inventory entries </w:t>
      </w:r>
      <w:r w:rsidR="00EC3630" w:rsidRPr="000E5053">
        <w:rPr>
          <w:rFonts w:cstheme="minorHAnsi"/>
        </w:rPr>
        <w:t>based on</w:t>
      </w:r>
      <w:r w:rsidR="005348AC" w:rsidRPr="000E5053">
        <w:rPr>
          <w:rFonts w:cstheme="minorHAnsi"/>
        </w:rPr>
        <w:t xml:space="preserve"> the share of global forest area occupied by each biome</w:t>
      </w:r>
      <w:r w:rsidR="000C61C6" w:rsidRPr="000E5053">
        <w:rPr>
          <w:rFonts w:cstheme="minorHAnsi"/>
        </w:rPr>
        <w:t>, considering a planting density of 0.15 trees/m</w:t>
      </w:r>
      <w:r w:rsidR="000C61C6" w:rsidRPr="000E5053">
        <w:rPr>
          <w:rFonts w:cstheme="minorHAnsi"/>
          <w:vertAlign w:val="superscript"/>
        </w:rPr>
        <w:t>2</w:t>
      </w:r>
      <w:r w:rsidR="00FC0E89" w:rsidRPr="000E5053">
        <w:rPr>
          <w:rFonts w:cstheme="minorHAnsi"/>
        </w:rPr>
        <w:t>,</w:t>
      </w:r>
      <w:r w:rsidR="005348AC" w:rsidRPr="000E5053">
        <w:rPr>
          <w:rFonts w:cstheme="minorHAnsi"/>
        </w:rPr>
        <w:t xml:space="preserve"> </w:t>
      </w:r>
      <w:r w:rsidR="00B7399B" w:rsidRPr="000E5053">
        <w:rPr>
          <w:rFonts w:cstheme="minorHAnsi"/>
        </w:rPr>
        <w:fldChar w:fldCharType="begin" w:fldLock="1"/>
      </w:r>
      <w:r w:rsidR="00971A76">
        <w:rPr>
          <w:rFonts w:cstheme="minorHAnsi"/>
        </w:rPr>
        <w:instrText xml:space="preserve"> ADDIN ZOTERO_ITEM CSL_CITATION {"citationID":"NiBzbZp3","properties":{"formattedCitation":"\\super 86\\nosupersub{}","plainCitation":"86","noteIndex":0},"citationItems":[{"id":1847,"uris":["http://www.mendeley.com/documents/?uuid=0ecc20f2-bb18-4969-a946-940de4f581fa","http://zotero.org/users/14213812/items/KUT3IXNJ"],"itemData":{"id":1847,"type":"article-journal","abstract":"We present an extension of the dynamic global vegetation model, Lund-Potsdam-Jena Managed Land (LPJmL), to simulate planted forests intended for carbon (C) sequestration. We implemented three functional types to simulate plantation trees in temperate, tropical, and boreal climates. The parameters of these functional types were optimized to fit target growth curves (TGCs). These curves represent the evolution of stemwood C over time in typical productive plantations and were derived by combining field observations and LPJmL estimates for equivalent natural forests. While the calibrated model underestimates stemwood C growth rates compared to the TGCs, it represents substantial improvement over using natural forests to represent afforestation. Based on a simulation experiment in which we compared global natural forest versus global forest plantation, we found that forest plantations allow for much larger C uptake rates on the timescale of 100 years, with a maximum difference of a factor of 1.9, around 54 years. In subsequent simulations for an ambitious but realistic scenario in which 650Mha (14% of global managed land, 4.5% of global land surface) are converted to forest over 85 years, we found that natural forests take up 37PgC versus 48PgC for forest plantations. Comparing these results to estimations of C sequestration required to achieve the 2°C climate target, we conclude that afforestation can offer a substantial contribution to climate mitigation. Full evaluation of afforestation as a climate change mitigation strategy requires an integrated assessment which considers all relevant aspects, including costs, biodiversity, and trade-offs with other land-use types. Our extended version of LPJmL can contribute to such an assessment by providing improved estimates of C uptake rates by forest plantations.","container-title":"Earth System Dynamics","DOI":"10.5194/esd-10-617-2019","ISSN":"21904987","issue":"4","page":"617-630","title":"Modeling forest plantations for carbon uptake with the LPJmL dynamic global vegetation model","volume":"10","author":[{"family":"Braakhekke","given":"Maarten C."},{"family":"Doelman","given":"Jonathan C."},{"family":"Baas","given":"Peter"},{"family":"Müller","given":"Christoph"},{"family":"Schaphoff","given":"Sibyll"},{"family":"Stehfest","given":"Elke"},{"family":"Van Vuuren","given":"Detlef P."}],"issued":{"date-parts":[["2019"]]}}}],"schema":"https://github.com/citation-style-language/schema/raw/master/csl-citation.json"} </w:instrText>
      </w:r>
      <w:r w:rsidR="00B7399B" w:rsidRPr="000E5053">
        <w:rPr>
          <w:rFonts w:cstheme="minorHAnsi"/>
        </w:rPr>
        <w:fldChar w:fldCharType="separate"/>
      </w:r>
      <w:r w:rsidR="00971A76" w:rsidRPr="00971A76">
        <w:rPr>
          <w:rFonts w:ascii="Calibri" w:hAnsi="Calibri" w:cs="Calibri"/>
          <w:vertAlign w:val="superscript"/>
        </w:rPr>
        <w:t>86</w:t>
      </w:r>
      <w:r w:rsidR="00B7399B" w:rsidRPr="000E5053">
        <w:rPr>
          <w:rFonts w:cstheme="minorHAnsi"/>
        </w:rPr>
        <w:fldChar w:fldCharType="end"/>
      </w:r>
      <w:r w:rsidR="005348AC" w:rsidRPr="000E5053">
        <w:rPr>
          <w:rFonts w:cstheme="minorHAnsi"/>
        </w:rPr>
        <w:t>.</w:t>
      </w:r>
    </w:p>
    <w:p w14:paraId="7AB6D573" w14:textId="0F12E7B8" w:rsidR="00C36E66" w:rsidRPr="00CB1FC4" w:rsidRDefault="00C060CC" w:rsidP="003A2B87">
      <w:pPr>
        <w:spacing w:line="360" w:lineRule="auto"/>
        <w:jc w:val="both"/>
        <w:rPr>
          <w:rFonts w:cstheme="minorHAnsi"/>
        </w:rPr>
      </w:pPr>
      <w:r w:rsidRPr="000E5053">
        <w:rPr>
          <w:rFonts w:cstheme="minorHAnsi"/>
        </w:rPr>
        <w:t xml:space="preserve">We </w:t>
      </w:r>
      <w:r w:rsidR="00EC3630" w:rsidRPr="000E5053">
        <w:rPr>
          <w:rFonts w:cstheme="minorHAnsi"/>
        </w:rPr>
        <w:t>calcul</w:t>
      </w:r>
      <w:r w:rsidR="007E7EA9" w:rsidRPr="000E5053">
        <w:rPr>
          <w:rFonts w:cstheme="minorHAnsi"/>
        </w:rPr>
        <w:t xml:space="preserve">ate </w:t>
      </w:r>
      <w:r w:rsidRPr="000E5053">
        <w:rPr>
          <w:rFonts w:cstheme="minorHAnsi"/>
        </w:rPr>
        <w:t>the</w:t>
      </w:r>
      <w:r w:rsidR="00747E39" w:rsidRPr="000E5053">
        <w:rPr>
          <w:rFonts w:cstheme="minorHAnsi"/>
        </w:rPr>
        <w:t xml:space="preserve"> biome-specific</w:t>
      </w:r>
      <w:r w:rsidRPr="000E5053">
        <w:rPr>
          <w:rFonts w:cstheme="minorHAnsi"/>
        </w:rPr>
        <w:t xml:space="preserve"> carbon uptake </w:t>
      </w:r>
      <w:r w:rsidR="00E91E22" w:rsidRPr="000E5053">
        <w:rPr>
          <w:rFonts w:cstheme="minorHAnsi"/>
        </w:rPr>
        <w:t xml:space="preserve">with the </w:t>
      </w:r>
      <w:r w:rsidR="006060D9" w:rsidRPr="000E5053">
        <w:rPr>
          <w:rFonts w:cstheme="minorHAnsi"/>
        </w:rPr>
        <w:t xml:space="preserve">time-dependent growth curves </w:t>
      </w:r>
      <w:r w:rsidR="003A7086" w:rsidRPr="000E5053">
        <w:rPr>
          <w:rFonts w:cstheme="minorHAnsi"/>
        </w:rPr>
        <w:t xml:space="preserve">presented in </w:t>
      </w:r>
      <w:r w:rsidR="00FC0E89" w:rsidRPr="000E5053">
        <w:rPr>
          <w:rFonts w:cstheme="minorHAnsi"/>
        </w:rPr>
        <w:fldChar w:fldCharType="begin" w:fldLock="1"/>
      </w:r>
      <w:r w:rsidR="00971A76">
        <w:rPr>
          <w:rFonts w:cstheme="minorHAnsi"/>
        </w:rPr>
        <w:instrText xml:space="preserve"> ADDIN ZOTERO_ITEM CSL_CITATION {"citationID":"4sKnQ6bC","properties":{"formattedCitation":"\\super 86\\nosupersub{}","plainCitation":"86","noteIndex":0},"citationItems":[{"id":1847,"uris":["http://www.mendeley.com/documents/?uuid=0ecc20f2-bb18-4969-a946-940de4f581fa","http://zotero.org/users/14213812/items/KUT3IXNJ"],"itemData":{"id":1847,"type":"article-journal","abstract":"We present an extension of the dynamic global vegetation model, Lund-Potsdam-Jena Managed Land (LPJmL), to simulate planted forests intended for carbon (C) sequestration. We implemented three functional types to simulate plantation trees in temperate, tropical, and boreal climates. The parameters of these functional types were optimized to fit target growth curves (TGCs). These curves represent the evolution of stemwood C over time in typical productive plantations and were derived by combining field observations and LPJmL estimates for equivalent natural forests. While the calibrated model underestimates stemwood C growth rates compared to the TGCs, it represents substantial improvement over using natural forests to represent afforestation. Based on a simulation experiment in which we compared global natural forest versus global forest plantation, we found that forest plantations allow for much larger C uptake rates on the timescale of 100 years, with a maximum difference of a factor of 1.9, around 54 years. In subsequent simulations for an ambitious but realistic scenario in which 650Mha (14% of global managed land, 4.5% of global land surface) are converted to forest over 85 years, we found that natural forests take up 37PgC versus 48PgC for forest plantations. Comparing these results to estimations of C sequestration required to achieve the 2°C climate target, we conclude that afforestation can offer a substantial contribution to climate mitigation. Full evaluation of afforestation as a climate change mitigation strategy requires an integrated assessment which considers all relevant aspects, including costs, biodiversity, and trade-offs with other land-use types. Our extended version of LPJmL can contribute to such an assessment by providing improved estimates of C uptake rates by forest plantations.","container-title":"Earth System Dynamics","DOI":"10.5194/esd-10-617-2019","ISSN":"21904987","issue":"4","page":"617-630","title":"Modeling forest plantations for carbon uptake with the LPJmL dynamic global vegetation model","volume":"10","author":[{"family":"Braakhekke","given":"Maarten C."},{"family":"Doelman","given":"Jonathan C."},{"family":"Baas","given":"Peter"},{"family":"Müller","given":"Christoph"},{"family":"Schaphoff","given":"Sibyll"},{"family":"Stehfest","given":"Elke"},{"family":"Van Vuuren","given":"Detlef P."}],"issued":{"date-parts":[["2019"]]}}}],"schema":"https://github.com/citation-style-language/schema/raw/master/csl-citation.json"} </w:instrText>
      </w:r>
      <w:r w:rsidR="00FC0E89" w:rsidRPr="000E5053">
        <w:rPr>
          <w:rFonts w:cstheme="minorHAnsi"/>
        </w:rPr>
        <w:fldChar w:fldCharType="separate"/>
      </w:r>
      <w:r w:rsidR="00971A76" w:rsidRPr="00971A76">
        <w:rPr>
          <w:rFonts w:ascii="Calibri" w:hAnsi="Calibri" w:cs="Calibri"/>
          <w:vertAlign w:val="superscript"/>
        </w:rPr>
        <w:t>86</w:t>
      </w:r>
      <w:r w:rsidR="00FC0E89" w:rsidRPr="000E5053">
        <w:rPr>
          <w:rFonts w:cstheme="minorHAnsi"/>
        </w:rPr>
        <w:fldChar w:fldCharType="end"/>
      </w:r>
      <w:r w:rsidR="0025158E" w:rsidRPr="000E5053">
        <w:rPr>
          <w:rFonts w:cstheme="minorHAnsi"/>
        </w:rPr>
        <w:t xml:space="preserve">, which do not consider management options </w:t>
      </w:r>
      <w:r w:rsidR="00243AB4" w:rsidRPr="000E5053">
        <w:rPr>
          <w:rFonts w:cstheme="minorHAnsi"/>
        </w:rPr>
        <w:t>like tree thinning or fertilization</w:t>
      </w:r>
      <w:r w:rsidR="00D65ECC" w:rsidRPr="000E5053">
        <w:rPr>
          <w:rFonts w:cstheme="minorHAnsi"/>
        </w:rPr>
        <w:t xml:space="preserve"> that could improve the carbon uptake rates</w:t>
      </w:r>
      <w:r w:rsidR="00243AB4" w:rsidRPr="000E5053">
        <w:rPr>
          <w:rFonts w:cstheme="minorHAnsi"/>
          <w:i/>
          <w:iCs/>
        </w:rPr>
        <w:t xml:space="preserve">. </w:t>
      </w:r>
      <w:r w:rsidR="009630F0" w:rsidRPr="000E5053">
        <w:rPr>
          <w:rFonts w:cstheme="minorHAnsi"/>
        </w:rPr>
        <w:t>We</w:t>
      </w:r>
      <w:r w:rsidR="009A6371" w:rsidRPr="000E5053">
        <w:rPr>
          <w:rFonts w:cstheme="minorHAnsi"/>
        </w:rPr>
        <w:t xml:space="preserve"> c</w:t>
      </w:r>
      <w:r w:rsidR="002E0474" w:rsidRPr="000E5053">
        <w:rPr>
          <w:rFonts w:cstheme="minorHAnsi"/>
        </w:rPr>
        <w:t>onsider that 84% of</w:t>
      </w:r>
      <w:r w:rsidR="0020473E" w:rsidRPr="000E5053">
        <w:rPr>
          <w:rFonts w:cstheme="minorHAnsi"/>
        </w:rPr>
        <w:t xml:space="preserve"> the</w:t>
      </w:r>
      <w:r w:rsidR="002E0474" w:rsidRPr="000E5053">
        <w:rPr>
          <w:rFonts w:cstheme="minorHAnsi"/>
        </w:rPr>
        <w:t xml:space="preserve"> aboveground wood is</w:t>
      </w:r>
      <w:r w:rsidR="002E0474" w:rsidRPr="007904FD">
        <w:rPr>
          <w:rFonts w:cstheme="minorHAnsi"/>
        </w:rPr>
        <w:t xml:space="preserve"> in the </w:t>
      </w:r>
      <w:r w:rsidR="00630FAA" w:rsidRPr="007904FD">
        <w:rPr>
          <w:rFonts w:cstheme="minorHAnsi"/>
        </w:rPr>
        <w:t xml:space="preserve">tree </w:t>
      </w:r>
      <w:r w:rsidR="002E0474" w:rsidRPr="007904FD">
        <w:rPr>
          <w:rFonts w:cstheme="minorHAnsi"/>
        </w:rPr>
        <w:t xml:space="preserve">stem </w:t>
      </w:r>
      <w:r w:rsidR="00FC0E89">
        <w:rPr>
          <w:rFonts w:cstheme="minorHAnsi"/>
        </w:rPr>
        <w:fldChar w:fldCharType="begin" w:fldLock="1"/>
      </w:r>
      <w:r w:rsidR="00971A76">
        <w:rPr>
          <w:rFonts w:cstheme="minorHAnsi"/>
        </w:rPr>
        <w:instrText xml:space="preserve"> ADDIN ZOTERO_ITEM CSL_CITATION {"citationID":"GuwWwBQm","properties":{"formattedCitation":"\\super 86\\nosupersub{}","plainCitation":"86","noteIndex":0},"citationItems":[{"id":1847,"uris":["http://www.mendeley.com/documents/?uuid=0ecc20f2-bb18-4969-a946-940de4f581fa","http://zotero.org/users/14213812/items/KUT3IXNJ"],"itemData":{"id":1847,"type":"article-journal","abstract":"We present an extension of the dynamic global vegetation model, Lund-Potsdam-Jena Managed Land (LPJmL), to simulate planted forests intended for carbon (C) sequestration. We implemented three functional types to simulate plantation trees in temperate, tropical, and boreal climates. The parameters of these functional types were optimized to fit target growth curves (TGCs). These curves represent the evolution of stemwood C over time in typical productive plantations and were derived by combining field observations and LPJmL estimates for equivalent natural forests. While the calibrated model underestimates stemwood C growth rates compared to the TGCs, it represents substantial improvement over using natural forests to represent afforestation. Based on a simulation experiment in which we compared global natural forest versus global forest plantation, we found that forest plantations allow for much larger C uptake rates on the timescale of 100 years, with a maximum difference of a factor of 1.9, around 54 years. In subsequent simulations for an ambitious but realistic scenario in which 650Mha (14% of global managed land, 4.5% of global land surface) are converted to forest over 85 years, we found that natural forests take up 37PgC versus 48PgC for forest plantations. Comparing these results to estimations of C sequestration required to achieve the 2°C climate target, we conclude that afforestation can offer a substantial contribution to climate mitigation. Full evaluation of afforestation as a climate change mitigation strategy requires an integrated assessment which considers all relevant aspects, including costs, biodiversity, and trade-offs with other land-use types. Our extended version of LPJmL can contribute to such an assessment by providing improved estimates of C uptake rates by forest plantations.","container-title":"Earth System Dynamics","DOI":"10.5194/esd-10-617-2019","ISSN":"21904987","issue":"4","page":"617-630","title":"Modeling forest plantations for carbon uptake with the LPJmL dynamic global vegetation model","volume":"10","author":[{"family":"Braakhekke","given":"Maarten C."},{"family":"Doelman","given":"Jonathan C."},{"family":"Baas","given":"Peter"},{"family":"Müller","given":"Christoph"},{"family":"Schaphoff","given":"Sibyll"},{"family":"Stehfest","given":"Elke"},{"family":"Van Vuuren","given":"Detlef P."}],"issued":{"date-parts":[["2019"]]}}}],"schema":"https://github.com/citation-style-language/schema/raw/master/csl-citation.json"} </w:instrText>
      </w:r>
      <w:r w:rsidR="00FC0E89">
        <w:rPr>
          <w:rFonts w:cstheme="minorHAnsi"/>
        </w:rPr>
        <w:fldChar w:fldCharType="separate"/>
      </w:r>
      <w:r w:rsidR="00971A76" w:rsidRPr="00971A76">
        <w:rPr>
          <w:rFonts w:ascii="Calibri" w:hAnsi="Calibri" w:cs="Calibri"/>
          <w:vertAlign w:val="superscript"/>
        </w:rPr>
        <w:t>86</w:t>
      </w:r>
      <w:r w:rsidR="00FC0E89">
        <w:rPr>
          <w:rFonts w:cstheme="minorHAnsi"/>
        </w:rPr>
        <w:fldChar w:fldCharType="end"/>
      </w:r>
      <w:r w:rsidR="009630F0" w:rsidRPr="007904FD">
        <w:rPr>
          <w:rFonts w:cstheme="minorHAnsi"/>
        </w:rPr>
        <w:t xml:space="preserve">, </w:t>
      </w:r>
      <w:r w:rsidR="008729F8" w:rsidRPr="007904FD">
        <w:rPr>
          <w:rFonts w:cstheme="minorHAnsi"/>
        </w:rPr>
        <w:t>while</w:t>
      </w:r>
      <w:r w:rsidR="00BD7FBF" w:rsidRPr="007904FD">
        <w:rPr>
          <w:rFonts w:cstheme="minorHAnsi"/>
        </w:rPr>
        <w:t xml:space="preserve"> </w:t>
      </w:r>
      <w:r w:rsidR="003160E5" w:rsidRPr="007904FD">
        <w:rPr>
          <w:rFonts w:cstheme="minorHAnsi"/>
        </w:rPr>
        <w:t xml:space="preserve">the ratio </w:t>
      </w:r>
      <w:r w:rsidR="00602B7E" w:rsidRPr="007904FD">
        <w:rPr>
          <w:rFonts w:cstheme="minorHAnsi"/>
        </w:rPr>
        <w:t>belowground/aboveground biomass</w:t>
      </w:r>
      <w:r w:rsidR="00BD7FBF" w:rsidRPr="007904FD">
        <w:rPr>
          <w:rFonts w:cstheme="minorHAnsi"/>
        </w:rPr>
        <w:t xml:space="preserve"> and the litter carbon stocks</w:t>
      </w:r>
      <w:r w:rsidR="00A8481F" w:rsidRPr="007904FD">
        <w:rPr>
          <w:rFonts w:cstheme="minorHAnsi"/>
        </w:rPr>
        <w:t xml:space="preserve"> of each biome</w:t>
      </w:r>
      <w:r w:rsidR="00BD7FBF" w:rsidRPr="007904FD">
        <w:rPr>
          <w:rFonts w:cstheme="minorHAnsi"/>
        </w:rPr>
        <w:t xml:space="preserve"> are taken from</w:t>
      </w:r>
      <w:r w:rsidR="00D15355">
        <w:rPr>
          <w:rFonts w:cstheme="minorHAnsi"/>
        </w:rPr>
        <w:t xml:space="preserve"> </w:t>
      </w:r>
      <w:r w:rsidR="00D15355">
        <w:rPr>
          <w:rFonts w:cstheme="minorHAnsi"/>
        </w:rPr>
        <w:fldChar w:fldCharType="begin" w:fldLock="1"/>
      </w:r>
      <w:r w:rsidR="00971A76">
        <w:rPr>
          <w:rFonts w:cstheme="minorHAnsi"/>
        </w:rPr>
        <w:instrText xml:space="preserve"> ADDIN ZOTERO_ITEM CSL_CITATION {"citationID":"ydSJsClD","properties":{"formattedCitation":"\\super 87,88\\nosupersub{}","plainCitation":"87,88","noteIndex":0},"citationItems":[{"id":1835,"uris":["http://www.mendeley.com/documents/?uuid=5df69314-41a0-4d61-91c7-60abd8c40684","http://zotero.org/users/14213812/items/7C835LGU"],"itemData":{"id":1835,"type":"book","title":"Chapter 4. Forest land. In: IPCC Guidelines for National Greenhouse Gas Inventories","author":[{"family":"Aalde","given":"Harald"},{"family":"Gonzalez","given":"Patrick"},{"family":"Gytarsky","given":"Michael"},{"family":"Krug","given":"Thelma"},{"family":"Kurz","given":"Werner A."},{"family":"Ogle","given":"Stephen"},{"family":"Raison","given":"John"},{"family":"Schoene","given":"Dieter"},{"family":"Ravindranath","given":"N.H."},{"family":"Elhassan","given":"Nagmeldin G."},{"family":"Heath","given":"Linda S."},{"family":"Higuchi","given":"Niro"},{"family":"Kainja","given":"Samuel"},{"family":"Matsumoto","given":"Mitsuo"},{"family":"Sánchez","given":"María José Sanz"},{"family":"Somogyi","given":"Zoltan"}],"issued":{"date-parts":[["2006"]]}}},{"id":1773,"uris":["http://www.mendeley.com/documents/?uuid=d623723d-67e3-472d-99e4-16f1b6fbd530","http://zotero.org/users/14213812/items/MFFTBMAV"],"itemData":{"id":1773,"type":"book","abstract":"None","note":"container-title: IPCC Guidelines for National Greenhouse Gas Inventories","title":"Chapter 2. Generic methodologies applicable to multiple land-use categories. In: IPCC Guidelines for National Greenhouse Gas Inventories","author":[{"family":"Aalde","given":"Harald"},{"family":"Gonzalez","given":"Patrick"},{"family":"Gytarsky","given":"Michael"},{"family":"Krug","given":"Thelma"},{"family":"Kurz","given":"Werner A."},{"family":"Lasco","given":"Rodel D."},{"family":"Martino","given":"Daniel L."},{"family":"McConkey","given":"Brian G."},{"family":"Ogle","given":"Stephen"},{"family":"Paustian","given":"Keith"},{"family":"Raison","given":"John"},{"family":"Ravindranath","given":"N.H."},{"family":"Schoene","given":"Dieter"},{"family":"Smith","given":"Pete"},{"family":"Somogyi","given":"Zoltan"},{"family":"Van","given":"Andre Amstel"},{"family":"Verchot","given":"Louis"}],"issued":{"date-parts":[["2006"]]}}}],"schema":"https://github.com/citation-style-language/schema/raw/master/csl-citation.json"} </w:instrText>
      </w:r>
      <w:r w:rsidR="00D15355">
        <w:rPr>
          <w:rFonts w:cstheme="minorHAnsi"/>
        </w:rPr>
        <w:fldChar w:fldCharType="separate"/>
      </w:r>
      <w:r w:rsidR="00971A76" w:rsidRPr="00971A76">
        <w:rPr>
          <w:rFonts w:ascii="Calibri" w:hAnsi="Calibri" w:cs="Calibri"/>
          <w:vertAlign w:val="superscript"/>
        </w:rPr>
        <w:t>87,88</w:t>
      </w:r>
      <w:r w:rsidR="00D15355">
        <w:rPr>
          <w:rFonts w:cstheme="minorHAnsi"/>
        </w:rPr>
        <w:fldChar w:fldCharType="end"/>
      </w:r>
      <w:r w:rsidR="00CB2CA0">
        <w:rPr>
          <w:rFonts w:cstheme="minorHAnsi"/>
        </w:rPr>
        <w:t xml:space="preserve">. </w:t>
      </w:r>
      <w:r w:rsidR="007904FD" w:rsidRPr="007904FD">
        <w:rPr>
          <w:rFonts w:cstheme="minorHAnsi"/>
        </w:rPr>
        <w:t>T</w:t>
      </w:r>
      <w:r w:rsidR="00B16E9B" w:rsidRPr="007904FD">
        <w:rPr>
          <w:rFonts w:cstheme="minorHAnsi"/>
        </w:rPr>
        <w:t xml:space="preserve">he changes in the soil organic carbon levels associated </w:t>
      </w:r>
      <w:r w:rsidR="00B16E9B" w:rsidRPr="00CB1FC4">
        <w:rPr>
          <w:rFonts w:cstheme="minorHAnsi"/>
        </w:rPr>
        <w:t xml:space="preserve">with </w:t>
      </w:r>
      <w:r w:rsidR="00A13D63" w:rsidRPr="00CB1FC4">
        <w:rPr>
          <w:rFonts w:cstheme="minorHAnsi"/>
        </w:rPr>
        <w:t xml:space="preserve">the transition from </w:t>
      </w:r>
      <w:r w:rsidR="007F200D" w:rsidRPr="00CB1FC4">
        <w:rPr>
          <w:rFonts w:cstheme="minorHAnsi"/>
        </w:rPr>
        <w:t xml:space="preserve">grassland or pastureland to forests </w:t>
      </w:r>
      <w:r w:rsidR="00CD3265" w:rsidRPr="00CB1FC4">
        <w:rPr>
          <w:rFonts w:cstheme="minorHAnsi"/>
        </w:rPr>
        <w:t>are derived</w:t>
      </w:r>
      <w:r w:rsidR="007F200D" w:rsidRPr="00CB1FC4">
        <w:rPr>
          <w:rFonts w:cstheme="minorHAnsi"/>
        </w:rPr>
        <w:t xml:space="preserve"> from Powers </w:t>
      </w:r>
      <w:r w:rsidR="005E1529" w:rsidRPr="00CB1FC4">
        <w:rPr>
          <w:rFonts w:cstheme="minorHAnsi"/>
        </w:rPr>
        <w:t>et al.</w:t>
      </w:r>
      <w:r w:rsidR="007C78B9" w:rsidRPr="00CB1FC4">
        <w:rPr>
          <w:rFonts w:cstheme="minorHAnsi"/>
        </w:rPr>
        <w:fldChar w:fldCharType="begin" w:fldLock="1"/>
      </w:r>
      <w:r w:rsidR="00B4317C">
        <w:rPr>
          <w:rFonts w:cstheme="minorHAnsi"/>
        </w:rPr>
        <w:instrText xml:space="preserve"> ADDIN ZOTERO_ITEM CSL_CITATION {"citationID":"V5YSsgBC","properties":{"formattedCitation":"\\super 89\\nosupersub{}","plainCitation":"89","noteIndex":0},"citationItems":[{"id":"z2fanENt/qhC4iRgo","uris":["http://www.mendeley.com/documents/?uuid=d4ac2182-203e-4f2c-8121-c85663926186"],"itemData":{"DOI":"10.1073/pnas.1016774108","ISSN":"10916490","abstract":"Accurately quantifying changes in soil carbon (C) stocks with landuse change is important for estimating the anthropogenic fluxes of greenhouse gases to the atmosphere and for implementing policies such as REDD (Reducing Emissions from Deforestation and Degradation) that provide financial incentives to reduce carbon dioxide fluxes from deforestation and land degradation. Despite hundreds of field studies and at least a dozen literature reviews, there is still considerable disagreement on the direction and magnitude of changes in soil C stocks with land-use change. We conducted a meta-analysis of studies that quantified changes in soil C stocks with land use in the tropics. Conversion from one land use to another caused significant increases or decreases in soil C stocks for 8 of the 14 transitions examined. For the three land-use transitions with sufficient observations, both the direction and magnitude of the change in soil C pools depended strongly on biophysical factors of mean annual precipitation and dominant soil clay mineralogy. When we compared the distribution of biophysical conditions of the field observations to the area-weighted distribution of those factors in the tropics as a whole or the tropical lands that have undergone conversion, we found that field observations are highly unrepresentative of most tropical landscapes. Because of this geographic bias we strongly caution against extrapolating average values of land-cover change effects on soil C stocks, such as those generated through meta-analysis and literature reviews, to regions that differ in biophysical conditions.","author":[{"dropping-particle":"","family":"Powers","given":"Jennifer S.","non-dropping-particle":"","parse-names":false,"suffix":""},{"dropping-particle":"","family":"Corre","given":"Marife D.","non-dropping-particle":"","parse-names":false,"suffix":""},{"dropping-particle":"","family":"Twine","given":"Tracy E.","non-dropping-particle":"","parse-names":false,"suffix":""},{"dropping-particle":"","family":"Veldkamp","given":"Edzo","non-dropping-particle":"","parse-names":false,"suffix":""}],"container-title":"Proceedings of the National Academy of Sciences of the United States of America","id":"ITEM-1","issue":"15","issued":{"date-parts":[["2011"]]},"page":"6318-6322","title":"Geographic bias of field observations of soil carbon stocks with tropical land-Use changes precludes spatial extrapolation","type":"article-journal","volume":"108"}}],"schema":"https://github.com/citation-style-language/schema/raw/master/csl-citation.json"} </w:instrText>
      </w:r>
      <w:r w:rsidR="007C78B9" w:rsidRPr="00CB1FC4">
        <w:rPr>
          <w:rFonts w:cstheme="minorHAnsi"/>
        </w:rPr>
        <w:fldChar w:fldCharType="separate"/>
      </w:r>
      <w:r w:rsidR="00971A76" w:rsidRPr="00971A76">
        <w:rPr>
          <w:rFonts w:ascii="Calibri" w:hAnsi="Calibri" w:cs="Calibri"/>
          <w:vertAlign w:val="superscript"/>
        </w:rPr>
        <w:t>89</w:t>
      </w:r>
      <w:r w:rsidR="007C78B9" w:rsidRPr="00CB1FC4">
        <w:rPr>
          <w:rFonts w:cstheme="minorHAnsi"/>
        </w:rPr>
        <w:fldChar w:fldCharType="end"/>
      </w:r>
      <w:r w:rsidR="005E1529" w:rsidRPr="00CB1FC4">
        <w:rPr>
          <w:rFonts w:cstheme="minorHAnsi"/>
        </w:rPr>
        <w:t xml:space="preserve"> (</w:t>
      </w:r>
      <w:r w:rsidR="00727D05" w:rsidRPr="00CB1FC4">
        <w:rPr>
          <w:rFonts w:cstheme="minorHAnsi"/>
        </w:rPr>
        <w:t>Table 1.</w:t>
      </w:r>
      <w:r w:rsidR="005702BB">
        <w:rPr>
          <w:rFonts w:cstheme="minorHAnsi"/>
        </w:rPr>
        <w:t>11</w:t>
      </w:r>
      <w:r w:rsidR="00727D05" w:rsidRPr="00CB1FC4">
        <w:rPr>
          <w:rFonts w:cstheme="minorHAnsi"/>
        </w:rPr>
        <w:t xml:space="preserve"> in the </w:t>
      </w:r>
      <w:r w:rsidR="005E1529" w:rsidRPr="00CB1FC4">
        <w:rPr>
          <w:rFonts w:cstheme="minorHAnsi"/>
        </w:rPr>
        <w:t xml:space="preserve">Supplementary Data </w:t>
      </w:r>
      <w:r w:rsidR="00727D05" w:rsidRPr="00CB1FC4">
        <w:rPr>
          <w:rFonts w:cstheme="minorHAnsi"/>
        </w:rPr>
        <w:t>file</w:t>
      </w:r>
      <w:r w:rsidR="005E1529" w:rsidRPr="00CB1FC4">
        <w:rPr>
          <w:rFonts w:cstheme="minorHAnsi"/>
        </w:rPr>
        <w:t>)</w:t>
      </w:r>
      <w:r w:rsidR="00E264C6" w:rsidRPr="00CB1FC4">
        <w:rPr>
          <w:rFonts w:cstheme="minorHAnsi"/>
        </w:rPr>
        <w:t>.</w:t>
      </w:r>
      <w:r w:rsidR="00E22123" w:rsidRPr="00CB1FC4">
        <w:rPr>
          <w:rFonts w:cstheme="minorHAnsi"/>
        </w:rPr>
        <w:t xml:space="preserve"> </w:t>
      </w:r>
    </w:p>
    <w:p w14:paraId="04E07C70" w14:textId="524F857C" w:rsidR="002847F2" w:rsidRDefault="0069799C" w:rsidP="00860287">
      <w:pPr>
        <w:spacing w:line="360" w:lineRule="auto"/>
        <w:jc w:val="both"/>
        <w:rPr>
          <w:rFonts w:cstheme="minorHAnsi"/>
        </w:rPr>
      </w:pPr>
      <w:r w:rsidRPr="00851209">
        <w:rPr>
          <w:rFonts w:cstheme="minorHAnsi"/>
        </w:rPr>
        <w:lastRenderedPageBreak/>
        <w:t xml:space="preserve">We </w:t>
      </w:r>
      <w:r w:rsidR="00AD30B1" w:rsidRPr="00851209">
        <w:rPr>
          <w:rFonts w:cstheme="minorHAnsi"/>
        </w:rPr>
        <w:t>consider</w:t>
      </w:r>
      <w:r w:rsidRPr="00851209">
        <w:rPr>
          <w:rFonts w:cstheme="minorHAnsi"/>
        </w:rPr>
        <w:t xml:space="preserve"> that the fire risk increases by </w:t>
      </w:r>
      <w:r w:rsidR="00133B41" w:rsidRPr="00851209">
        <w:rPr>
          <w:rFonts w:cstheme="minorHAnsi"/>
        </w:rPr>
        <w:t>3</w:t>
      </w:r>
      <w:r w:rsidR="00133B41">
        <w:rPr>
          <w:rFonts w:cstheme="minorHAnsi"/>
        </w:rPr>
        <w:t>4</w:t>
      </w:r>
      <w:r w:rsidR="00133B41" w:rsidRPr="00851209">
        <w:rPr>
          <w:rFonts w:cstheme="minorHAnsi"/>
        </w:rPr>
        <w:t>-</w:t>
      </w:r>
      <w:r w:rsidR="00133B41">
        <w:rPr>
          <w:rFonts w:cstheme="minorHAnsi"/>
        </w:rPr>
        <w:t>42</w:t>
      </w:r>
      <w:r w:rsidR="00133B41" w:rsidRPr="00851209">
        <w:rPr>
          <w:rFonts w:cstheme="minorHAnsi"/>
        </w:rPr>
        <w:t xml:space="preserve">% by </w:t>
      </w:r>
      <w:r w:rsidR="00133B41">
        <w:rPr>
          <w:rFonts w:cstheme="minorHAnsi"/>
        </w:rPr>
        <w:t>2069</w:t>
      </w:r>
      <w:r w:rsidR="00133B41" w:rsidRPr="00851209">
        <w:rPr>
          <w:rFonts w:cstheme="minorHAnsi"/>
        </w:rPr>
        <w:t xml:space="preserve"> </w:t>
      </w:r>
      <w:r w:rsidR="00133B41">
        <w:rPr>
          <w:rFonts w:cstheme="minorHAnsi"/>
        </w:rPr>
        <w:t xml:space="preserve">(final year of the selected time horizon for CDR deployment in 2050) </w:t>
      </w:r>
      <w:r w:rsidR="00C87A05" w:rsidRPr="00851209">
        <w:rPr>
          <w:rFonts w:cstheme="minorHAnsi"/>
        </w:rPr>
        <w:t xml:space="preserve">with respect to the </w:t>
      </w:r>
      <w:r w:rsidR="00560EAD" w:rsidRPr="00851209">
        <w:rPr>
          <w:rFonts w:cstheme="minorHAnsi"/>
        </w:rPr>
        <w:t xml:space="preserve">period </w:t>
      </w:r>
      <w:r w:rsidR="00C87A05" w:rsidRPr="00851209">
        <w:rPr>
          <w:rFonts w:cstheme="minorHAnsi"/>
        </w:rPr>
        <w:t>2010-2020</w:t>
      </w:r>
      <w:r w:rsidR="00EF7D4A" w:rsidRPr="00851209">
        <w:rPr>
          <w:rFonts w:cstheme="minorHAnsi"/>
        </w:rPr>
        <w:fldChar w:fldCharType="begin" w:fldLock="1"/>
      </w:r>
      <w:r w:rsidR="00971A76">
        <w:rPr>
          <w:rFonts w:cstheme="minorHAnsi"/>
        </w:rPr>
        <w:instrText xml:space="preserve"> ADDIN ZOTERO_ITEM CSL_CITATION {"citationID":"3PK15Las","properties":{"formattedCitation":"\\super 90\\nosupersub{}","plainCitation":"90","noteIndex":0},"citationItems":[{"id":2810,"uris":["http://www.mendeley.com/documents/?uuid=e5e00ef3-c0bf-4e4e-a45c-27a7f702f2ed","http://zotero.org/users/14213812/items/I78PV9UP"],"itemData":{"id":2810,"type":"report","event-place":"Nairobi","page":"48-50","publisher-place":"Nairobi","title":"Spreading like wildfire - The rising threat of extraordinary landscape fires","URL":"https://www.unep.org/resources/report/spreading-wildfire-rising-threat-extraordinary-landscape-fires","author":[{"literal":"United Nations Environmental Programme"}],"issued":{"date-parts":[["2022"]]}}}],"schema":"https://github.com/citation-style-language/schema/raw/master/csl-citation.json"} </w:instrText>
      </w:r>
      <w:r w:rsidR="00EF7D4A" w:rsidRPr="00851209">
        <w:rPr>
          <w:rFonts w:cstheme="minorHAnsi"/>
        </w:rPr>
        <w:fldChar w:fldCharType="separate"/>
      </w:r>
      <w:r w:rsidR="00971A76" w:rsidRPr="00971A76">
        <w:rPr>
          <w:rFonts w:ascii="Calibri" w:hAnsi="Calibri" w:cs="Calibri"/>
          <w:vertAlign w:val="superscript"/>
        </w:rPr>
        <w:t>90</w:t>
      </w:r>
      <w:r w:rsidR="00EF7D4A" w:rsidRPr="00851209">
        <w:rPr>
          <w:rFonts w:cstheme="minorHAnsi"/>
        </w:rPr>
        <w:fldChar w:fldCharType="end"/>
      </w:r>
      <w:r w:rsidR="005F2E6F" w:rsidRPr="00851209">
        <w:rPr>
          <w:rFonts w:cstheme="minorHAnsi"/>
        </w:rPr>
        <w:t xml:space="preserve"> </w:t>
      </w:r>
      <w:r w:rsidR="00F31671" w:rsidRPr="00851209">
        <w:rPr>
          <w:rFonts w:cstheme="minorHAnsi"/>
        </w:rPr>
        <w:t>(projected</w:t>
      </w:r>
      <w:r w:rsidR="009346D8" w:rsidRPr="00851209">
        <w:rPr>
          <w:rFonts w:cstheme="minorHAnsi"/>
        </w:rPr>
        <w:t xml:space="preserve"> </w:t>
      </w:r>
      <w:r w:rsidR="00E40723" w:rsidRPr="00851209">
        <w:rPr>
          <w:rFonts w:cstheme="minorHAnsi"/>
        </w:rPr>
        <w:t xml:space="preserve">annual </w:t>
      </w:r>
      <w:r w:rsidR="009346D8" w:rsidRPr="00851209">
        <w:rPr>
          <w:rFonts w:cstheme="minorHAnsi"/>
        </w:rPr>
        <w:t xml:space="preserve">ranges </w:t>
      </w:r>
      <w:r w:rsidR="00F31671" w:rsidRPr="00851209">
        <w:rPr>
          <w:rFonts w:cstheme="minorHAnsi"/>
        </w:rPr>
        <w:t xml:space="preserve">in </w:t>
      </w:r>
      <w:r w:rsidR="00774B25" w:rsidRPr="00C23D86">
        <w:rPr>
          <w:rFonts w:cstheme="minorHAnsi"/>
        </w:rPr>
        <w:t>Table 2.</w:t>
      </w:r>
      <w:r w:rsidR="00AE73F6">
        <w:rPr>
          <w:rFonts w:cstheme="minorHAnsi"/>
        </w:rPr>
        <w:t>6</w:t>
      </w:r>
      <w:r w:rsidR="00774B25" w:rsidRPr="00851209">
        <w:rPr>
          <w:rFonts w:cstheme="minorHAnsi"/>
        </w:rPr>
        <w:t xml:space="preserve"> </w:t>
      </w:r>
      <w:r w:rsidR="00324874" w:rsidRPr="00851209">
        <w:rPr>
          <w:rFonts w:cstheme="minorHAnsi"/>
        </w:rPr>
        <w:t>of</w:t>
      </w:r>
      <w:r w:rsidR="00774B25" w:rsidRPr="00851209">
        <w:rPr>
          <w:rFonts w:cstheme="minorHAnsi"/>
        </w:rPr>
        <w:t xml:space="preserve"> the Supplementary Data file</w:t>
      </w:r>
      <w:r w:rsidR="00F31671" w:rsidRPr="00851209">
        <w:rPr>
          <w:rFonts w:cstheme="minorHAnsi"/>
        </w:rPr>
        <w:t>)</w:t>
      </w:r>
      <w:r w:rsidR="0021109B" w:rsidRPr="00851209">
        <w:rPr>
          <w:rFonts w:cstheme="minorHAnsi"/>
        </w:rPr>
        <w:t xml:space="preserve">. </w:t>
      </w:r>
      <w:r w:rsidR="0021109B" w:rsidRPr="008111A3">
        <w:rPr>
          <w:rFonts w:cstheme="minorHAnsi"/>
        </w:rPr>
        <w:t>We</w:t>
      </w:r>
      <w:r w:rsidR="009E4F39" w:rsidRPr="008111A3">
        <w:rPr>
          <w:rFonts w:cstheme="minorHAnsi"/>
        </w:rPr>
        <w:t xml:space="preserve"> tak</w:t>
      </w:r>
      <w:r w:rsidR="0021109B" w:rsidRPr="008111A3">
        <w:rPr>
          <w:rFonts w:cstheme="minorHAnsi"/>
        </w:rPr>
        <w:t>e</w:t>
      </w:r>
      <w:r w:rsidR="009E4F39" w:rsidRPr="008111A3">
        <w:rPr>
          <w:rFonts w:cstheme="minorHAnsi"/>
        </w:rPr>
        <w:t xml:space="preserve"> the percentage of forest area affected by fire </w:t>
      </w:r>
      <w:r w:rsidR="00035B46" w:rsidRPr="008111A3">
        <w:rPr>
          <w:rFonts w:cstheme="minorHAnsi"/>
        </w:rPr>
        <w:t xml:space="preserve">in each </w:t>
      </w:r>
      <w:r w:rsidR="008E784A">
        <w:rPr>
          <w:rFonts w:cstheme="minorHAnsi"/>
        </w:rPr>
        <w:t>biome</w:t>
      </w:r>
      <w:r w:rsidR="009601C5" w:rsidRPr="008111A3">
        <w:rPr>
          <w:rFonts w:cstheme="minorHAnsi"/>
        </w:rPr>
        <w:t xml:space="preserve"> in 2015</w:t>
      </w:r>
      <w:r w:rsidR="009E4F39" w:rsidRPr="008111A3">
        <w:rPr>
          <w:rFonts w:cstheme="minorHAnsi"/>
        </w:rPr>
        <w:t xml:space="preserve"> </w:t>
      </w:r>
      <w:r w:rsidR="000C56D1" w:rsidRPr="008111A3">
        <w:rPr>
          <w:rFonts w:cstheme="minorHAnsi"/>
        </w:rPr>
        <w:t>from</w:t>
      </w:r>
      <w:r w:rsidR="00367120" w:rsidRPr="008111A3">
        <w:rPr>
          <w:rFonts w:cstheme="minorHAnsi"/>
        </w:rPr>
        <w:t xml:space="preserve"> </w:t>
      </w:r>
      <w:r w:rsidR="00367120" w:rsidRPr="008111A3">
        <w:rPr>
          <w:rFonts w:cstheme="minorHAnsi"/>
        </w:rPr>
        <w:fldChar w:fldCharType="begin" w:fldLock="1"/>
      </w:r>
      <w:r w:rsidR="00B4317C">
        <w:rPr>
          <w:rFonts w:cstheme="minorHAnsi"/>
        </w:rPr>
        <w:instrText xml:space="preserve"> ADDIN ZOTERO_ITEM CSL_CITATION {"citationID":"WCycUMmq","properties":{"formattedCitation":"\\super 91\\nosupersub{}","plainCitation":"91","noteIndex":0},"citationItems":[{"id":"z2fanENt/jQ5kC7Bw","uris":["http://www.mendeley.com/documents/?uuid=0ed263a0-42d9-4cda-9efb-5ba3de4ab292"],"itemData":{"DOI":"0.4060/ca9825en","author":[{"dropping-particle":"","family":"Food and Agriculture Organization of the United Nations","given":"","non-dropping-particle":"","parse-names":false,"suffix":""}],"id":"ITEM-1","issued":{"date-parts":[["2020"]]},"publisher-place":"Rome","title":"Global Forests Resources Assessment 2020: Main report","type":"report"}}],"schema":"https://github.com/citation-style-language/schema/raw/master/csl-citation.json"} </w:instrText>
      </w:r>
      <w:r w:rsidR="00367120" w:rsidRPr="008111A3">
        <w:rPr>
          <w:rFonts w:cstheme="minorHAnsi"/>
        </w:rPr>
        <w:fldChar w:fldCharType="separate"/>
      </w:r>
      <w:r w:rsidR="00971A76" w:rsidRPr="00971A76">
        <w:rPr>
          <w:rFonts w:ascii="Calibri" w:hAnsi="Calibri" w:cs="Calibri"/>
          <w:vertAlign w:val="superscript"/>
        </w:rPr>
        <w:t>91</w:t>
      </w:r>
      <w:r w:rsidR="00367120" w:rsidRPr="008111A3">
        <w:rPr>
          <w:rFonts w:cstheme="minorHAnsi"/>
        </w:rPr>
        <w:fldChar w:fldCharType="end"/>
      </w:r>
      <w:r w:rsidR="00C37A01" w:rsidRPr="008111A3">
        <w:rPr>
          <w:rFonts w:cstheme="minorHAnsi"/>
        </w:rPr>
        <w:t>.</w:t>
      </w:r>
      <w:r w:rsidR="00A31E22" w:rsidRPr="008111A3">
        <w:rPr>
          <w:rFonts w:cstheme="minorHAnsi"/>
        </w:rPr>
        <w:t xml:space="preserve"> </w:t>
      </w:r>
      <w:r w:rsidR="00C37A01" w:rsidRPr="008111A3">
        <w:rPr>
          <w:rFonts w:cstheme="minorHAnsi"/>
        </w:rPr>
        <w:t>T</w:t>
      </w:r>
      <w:r w:rsidR="00A31E22" w:rsidRPr="008111A3">
        <w:rPr>
          <w:rFonts w:cstheme="minorHAnsi"/>
        </w:rPr>
        <w:t xml:space="preserve">he </w:t>
      </w:r>
      <w:r w:rsidR="00035B46" w:rsidRPr="008111A3">
        <w:rPr>
          <w:rFonts w:cstheme="minorHAnsi"/>
        </w:rPr>
        <w:t>biome-dependent</w:t>
      </w:r>
      <w:r w:rsidR="00A31E22" w:rsidRPr="008111A3">
        <w:rPr>
          <w:rFonts w:cstheme="minorHAnsi"/>
        </w:rPr>
        <w:t xml:space="preserve"> combustion factor (share of biomass burned </w:t>
      </w:r>
      <w:r w:rsidR="00EC2A1D" w:rsidRPr="008111A3">
        <w:rPr>
          <w:rFonts w:cstheme="minorHAnsi"/>
        </w:rPr>
        <w:t>if</w:t>
      </w:r>
      <w:r w:rsidR="00A31E22" w:rsidRPr="008111A3">
        <w:rPr>
          <w:rFonts w:cstheme="minorHAnsi"/>
        </w:rPr>
        <w:t xml:space="preserve"> affected by fire</w:t>
      </w:r>
      <w:r w:rsidR="00035B46" w:rsidRPr="008111A3">
        <w:rPr>
          <w:rFonts w:cstheme="minorHAnsi"/>
        </w:rPr>
        <w:t>) and CO</w:t>
      </w:r>
      <w:r w:rsidR="00035B46" w:rsidRPr="008111A3">
        <w:rPr>
          <w:rFonts w:cstheme="minorHAnsi"/>
          <w:vertAlign w:val="subscript"/>
        </w:rPr>
        <w:t>2</w:t>
      </w:r>
      <w:r w:rsidR="00035B46" w:rsidRPr="008111A3">
        <w:rPr>
          <w:rFonts w:cstheme="minorHAnsi"/>
        </w:rPr>
        <w:t>, CO, CH</w:t>
      </w:r>
      <w:r w:rsidR="00035B46" w:rsidRPr="008111A3">
        <w:rPr>
          <w:rFonts w:cstheme="minorHAnsi"/>
          <w:vertAlign w:val="subscript"/>
        </w:rPr>
        <w:t>4</w:t>
      </w:r>
      <w:r w:rsidR="00035B46" w:rsidRPr="008111A3">
        <w:rPr>
          <w:rFonts w:cstheme="minorHAnsi"/>
        </w:rPr>
        <w:t>,</w:t>
      </w:r>
      <w:r w:rsidR="00035B46" w:rsidRPr="00D14CDC">
        <w:rPr>
          <w:rFonts w:cstheme="minorHAnsi"/>
        </w:rPr>
        <w:t xml:space="preserve"> N</w:t>
      </w:r>
      <w:r w:rsidR="00035B46" w:rsidRPr="00D14CDC">
        <w:rPr>
          <w:rFonts w:cstheme="minorHAnsi"/>
          <w:vertAlign w:val="subscript"/>
        </w:rPr>
        <w:t>2</w:t>
      </w:r>
      <w:r w:rsidR="00035B46" w:rsidRPr="00D14CDC">
        <w:rPr>
          <w:rFonts w:cstheme="minorHAnsi"/>
        </w:rPr>
        <w:t>O and NO</w:t>
      </w:r>
      <w:r w:rsidR="00035B46" w:rsidRPr="00D14CDC">
        <w:rPr>
          <w:rFonts w:cstheme="minorHAnsi"/>
          <w:vertAlign w:val="subscript"/>
        </w:rPr>
        <w:t>X</w:t>
      </w:r>
      <w:r w:rsidR="00035B46" w:rsidRPr="00D14CDC">
        <w:rPr>
          <w:rFonts w:cstheme="minorHAnsi"/>
        </w:rPr>
        <w:t xml:space="preserve"> fire emission factors </w:t>
      </w:r>
      <w:r w:rsidR="00C74C21">
        <w:rPr>
          <w:rFonts w:cstheme="minorHAnsi"/>
        </w:rPr>
        <w:t xml:space="preserve">are taken </w:t>
      </w:r>
      <w:r w:rsidR="00035B46" w:rsidRPr="00D14CDC">
        <w:rPr>
          <w:rFonts w:cstheme="minorHAnsi"/>
        </w:rPr>
        <w:t>from</w:t>
      </w:r>
      <w:r w:rsidR="00441125">
        <w:rPr>
          <w:rFonts w:cstheme="minorHAnsi"/>
        </w:rPr>
        <w:t xml:space="preserve"> </w:t>
      </w:r>
      <w:r w:rsidR="00DC0ACA">
        <w:rPr>
          <w:rFonts w:cstheme="minorHAnsi"/>
        </w:rPr>
        <w:fldChar w:fldCharType="begin" w:fldLock="1"/>
      </w:r>
      <w:r w:rsidR="00971A76">
        <w:rPr>
          <w:rFonts w:cstheme="minorHAnsi"/>
        </w:rPr>
        <w:instrText xml:space="preserve"> ADDIN ZOTERO_ITEM CSL_CITATION {"citationID":"chlpXPI4","properties":{"formattedCitation":"\\super 88\\nosupersub{}","plainCitation":"88","noteIndex":0},"citationItems":[{"id":1773,"uris":["http://www.mendeley.com/documents/?uuid=d623723d-67e3-472d-99e4-16f1b6fbd530","http://zotero.org/users/14213812/items/MFFTBMAV"],"itemData":{"id":1773,"type":"book","abstract":"None","note":"container-title: IPCC Guidelines for National Greenhouse Gas Inventories","title":"Chapter 2. Generic methodologies applicable to multiple land-use categories. In: IPCC Guidelines for National Greenhouse Gas Inventories","author":[{"family":"Aalde","given":"Harald"},{"family":"Gonzalez","given":"Patrick"},{"family":"Gytarsky","given":"Michael"},{"family":"Krug","given":"Thelma"},{"family":"Kurz","given":"Werner A."},{"family":"Lasco","given":"Rodel D."},{"family":"Martino","given":"Daniel L."},{"family":"McConkey","given":"Brian G."},{"family":"Ogle","given":"Stephen"},{"family":"Paustian","given":"Keith"},{"family":"Raison","given":"John"},{"family":"Ravindranath","given":"N.H."},{"family":"Schoene","given":"Dieter"},{"family":"Smith","given":"Pete"},{"family":"Somogyi","given":"Zoltan"},{"family":"Van","given":"Andre Amstel"},{"family":"Verchot","given":"Louis"}],"issued":{"date-parts":[["2006"]]}}}],"schema":"https://github.com/citation-style-language/schema/raw/master/csl-citation.json"} </w:instrText>
      </w:r>
      <w:r w:rsidR="00DC0ACA">
        <w:rPr>
          <w:rFonts w:cstheme="minorHAnsi"/>
        </w:rPr>
        <w:fldChar w:fldCharType="separate"/>
      </w:r>
      <w:r w:rsidR="00971A76" w:rsidRPr="00971A76">
        <w:rPr>
          <w:rFonts w:ascii="Calibri" w:hAnsi="Calibri" w:cs="Calibri"/>
          <w:vertAlign w:val="superscript"/>
        </w:rPr>
        <w:t>88</w:t>
      </w:r>
      <w:r w:rsidR="00DC0ACA">
        <w:rPr>
          <w:rFonts w:cstheme="minorHAnsi"/>
        </w:rPr>
        <w:fldChar w:fldCharType="end"/>
      </w:r>
      <w:r w:rsidR="00C37A01">
        <w:rPr>
          <w:rFonts w:cstheme="minorHAnsi"/>
        </w:rPr>
        <w:t xml:space="preserve">, </w:t>
      </w:r>
      <w:r w:rsidR="00C37A01" w:rsidRPr="00542D28">
        <w:rPr>
          <w:rFonts w:cstheme="minorHAnsi"/>
        </w:rPr>
        <w:t>while</w:t>
      </w:r>
      <w:r w:rsidR="00C37A01">
        <w:rPr>
          <w:rFonts w:cstheme="minorHAnsi"/>
        </w:rPr>
        <w:t xml:space="preserve"> the </w:t>
      </w:r>
      <w:r w:rsidR="004F1AB2">
        <w:rPr>
          <w:rFonts w:cstheme="minorHAnsi"/>
        </w:rPr>
        <w:t>NMVOC, SO</w:t>
      </w:r>
      <w:r w:rsidR="004F1AB2" w:rsidRPr="00614273">
        <w:rPr>
          <w:rFonts w:cstheme="minorHAnsi"/>
          <w:vertAlign w:val="subscript"/>
        </w:rPr>
        <w:t>X</w:t>
      </w:r>
      <w:r w:rsidR="004F1AB2">
        <w:rPr>
          <w:rFonts w:cstheme="minorHAnsi"/>
        </w:rPr>
        <w:t>, NH</w:t>
      </w:r>
      <w:r w:rsidR="004F1AB2" w:rsidRPr="00614273">
        <w:rPr>
          <w:rFonts w:cstheme="minorHAnsi"/>
          <w:vertAlign w:val="subscript"/>
        </w:rPr>
        <w:t>3</w:t>
      </w:r>
      <w:r w:rsidR="004F1AB2">
        <w:rPr>
          <w:rFonts w:cstheme="minorHAnsi"/>
        </w:rPr>
        <w:t>, PM</w:t>
      </w:r>
      <w:r w:rsidR="004F1AB2" w:rsidRPr="00C90F91">
        <w:rPr>
          <w:rFonts w:cstheme="minorHAnsi"/>
          <w:vertAlign w:val="subscript"/>
        </w:rPr>
        <w:t>10</w:t>
      </w:r>
      <w:r w:rsidR="004F1AB2">
        <w:rPr>
          <w:rFonts w:cstheme="minorHAnsi"/>
        </w:rPr>
        <w:t xml:space="preserve"> and PM</w:t>
      </w:r>
      <w:r w:rsidR="004F1AB2" w:rsidRPr="00C90F91">
        <w:rPr>
          <w:rFonts w:cstheme="minorHAnsi"/>
          <w:vertAlign w:val="subscript"/>
        </w:rPr>
        <w:t>2</w:t>
      </w:r>
      <w:r w:rsidR="00614273" w:rsidRPr="00C90F91">
        <w:rPr>
          <w:rFonts w:cstheme="minorHAnsi"/>
          <w:vertAlign w:val="subscript"/>
        </w:rPr>
        <w:t>.</w:t>
      </w:r>
      <w:r w:rsidR="00614273" w:rsidRPr="009E1549">
        <w:rPr>
          <w:rFonts w:cstheme="minorHAnsi"/>
          <w:vertAlign w:val="subscript"/>
        </w:rPr>
        <w:t>5</w:t>
      </w:r>
      <w:r w:rsidR="009E1549">
        <w:rPr>
          <w:rFonts w:cstheme="minorHAnsi"/>
        </w:rPr>
        <w:t xml:space="preserve"> </w:t>
      </w:r>
      <w:r w:rsidR="00C90F91" w:rsidRPr="009E1549">
        <w:rPr>
          <w:rFonts w:cstheme="minorHAnsi"/>
        </w:rPr>
        <w:t>fire</w:t>
      </w:r>
      <w:r w:rsidR="00C90F91">
        <w:rPr>
          <w:rFonts w:cstheme="minorHAnsi"/>
        </w:rPr>
        <w:t xml:space="preserve"> emissions </w:t>
      </w:r>
      <w:r w:rsidR="00337449">
        <w:rPr>
          <w:rFonts w:cstheme="minorHAnsi"/>
        </w:rPr>
        <w:t>are those reported in</w:t>
      </w:r>
      <w:r w:rsidR="004366A3">
        <w:rPr>
          <w:rFonts w:cstheme="minorHAnsi"/>
        </w:rPr>
        <w:t xml:space="preserve"> </w:t>
      </w:r>
      <w:r w:rsidR="004366A3">
        <w:rPr>
          <w:rFonts w:cstheme="minorHAnsi"/>
        </w:rPr>
        <w:fldChar w:fldCharType="begin" w:fldLock="1"/>
      </w:r>
      <w:r w:rsidR="00B4317C">
        <w:rPr>
          <w:rFonts w:cstheme="minorHAnsi"/>
        </w:rPr>
        <w:instrText xml:space="preserve"> ADDIN ZOTERO_ITEM CSL_CITATION {"citationID":"cccIHSJh","properties":{"formattedCitation":"\\super 92\\nosupersub{}","plainCitation":"92","noteIndex":0},"citationItems":[{"id":"z2fanENt/heKA8cYj","uris":["http://www.mendeley.com/documents/?uuid=94b6dfd0-bcb9-4c2a-b746-163342da526e"],"itemData":{"ISBN":"9781259584749","abstract":"Predicting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approach.","author":[{"dropping-particle":"","family":"European Environment Agency","given":"","non-dropping-particle":"","parse-names":false,"suffix":""}],"container-title":"EMEP/EEA air pollutant emission inventory guidebook 2023","id":"ITEM-1","issued":{"date-parts":[["2023"]]},"title":"11.B Forest fires","type":"chapter"}}],"schema":"https://github.com/citation-style-language/schema/raw/master/csl-citation.json"} </w:instrText>
      </w:r>
      <w:r w:rsidR="004366A3">
        <w:rPr>
          <w:rFonts w:cstheme="minorHAnsi"/>
        </w:rPr>
        <w:fldChar w:fldCharType="separate"/>
      </w:r>
      <w:r w:rsidR="00971A76" w:rsidRPr="00971A76">
        <w:rPr>
          <w:rFonts w:ascii="Calibri" w:hAnsi="Calibri" w:cs="Calibri"/>
          <w:vertAlign w:val="superscript"/>
        </w:rPr>
        <w:t>92</w:t>
      </w:r>
      <w:r w:rsidR="004366A3">
        <w:rPr>
          <w:rFonts w:cstheme="minorHAnsi"/>
        </w:rPr>
        <w:fldChar w:fldCharType="end"/>
      </w:r>
      <w:r w:rsidR="00092076">
        <w:rPr>
          <w:rFonts w:cstheme="minorHAnsi"/>
        </w:rPr>
        <w:t>.</w:t>
      </w:r>
    </w:p>
    <w:p w14:paraId="5BC98C25" w14:textId="1F24EF5F" w:rsidR="00CB1FC4" w:rsidRDefault="00E45B63" w:rsidP="00FF6B04">
      <w:pPr>
        <w:spacing w:line="360" w:lineRule="auto"/>
        <w:jc w:val="both"/>
      </w:pPr>
      <w:r w:rsidRPr="00723B4F">
        <w:rPr>
          <w:rFonts w:cstheme="minorHAnsi"/>
        </w:rPr>
        <w:t>Our model does not account</w:t>
      </w:r>
      <w:r w:rsidR="009242E4" w:rsidRPr="00723B4F">
        <w:rPr>
          <w:rFonts w:cstheme="minorHAnsi"/>
        </w:rPr>
        <w:t xml:space="preserve"> for other potential causes </w:t>
      </w:r>
      <w:r w:rsidR="00860287" w:rsidRPr="00723B4F">
        <w:rPr>
          <w:rFonts w:cstheme="minorHAnsi"/>
        </w:rPr>
        <w:t>for the</w:t>
      </w:r>
      <w:r w:rsidR="009242E4" w:rsidRPr="00723B4F">
        <w:rPr>
          <w:rFonts w:cstheme="minorHAnsi"/>
        </w:rPr>
        <w:t xml:space="preserve"> release of the sequestered carbon</w:t>
      </w:r>
      <w:r w:rsidR="00235812">
        <w:rPr>
          <w:rFonts w:cstheme="minorHAnsi"/>
        </w:rPr>
        <w:t xml:space="preserve"> (i.e</w:t>
      </w:r>
      <w:r w:rsidR="009242E4" w:rsidRPr="00723B4F">
        <w:rPr>
          <w:rFonts w:cstheme="minorHAnsi"/>
        </w:rPr>
        <w:t>., pests, diseases</w:t>
      </w:r>
      <w:r w:rsidR="00AA323F">
        <w:rPr>
          <w:rFonts w:cstheme="minorHAnsi"/>
        </w:rPr>
        <w:t>,</w:t>
      </w:r>
      <w:r w:rsidR="009242E4" w:rsidRPr="00723B4F">
        <w:rPr>
          <w:rFonts w:cstheme="minorHAnsi"/>
        </w:rPr>
        <w:t xml:space="preserve"> or droughts</w:t>
      </w:r>
      <w:r w:rsidR="00107BC8">
        <w:rPr>
          <w:rFonts w:cstheme="minorHAnsi"/>
        </w:rPr>
        <w:t xml:space="preserve">), or </w:t>
      </w:r>
      <w:r w:rsidR="00107BC8" w:rsidRPr="003D793E">
        <w:rPr>
          <w:rFonts w:ascii="Calibri" w:eastAsia="Calibri" w:hAnsi="Calibri" w:cs="Calibri"/>
        </w:rPr>
        <w:t>the i</w:t>
      </w:r>
      <w:r w:rsidR="00107BC8" w:rsidRPr="003D793E">
        <w:t>ndirect consequences of planting trees in pastureland, e.g., cattle displacement.</w:t>
      </w:r>
      <w:r w:rsidR="00B178A6">
        <w:t xml:space="preserve"> </w:t>
      </w:r>
      <w:r w:rsidR="008A1704">
        <w:t>Notably,</w:t>
      </w:r>
      <w:r w:rsidR="0008010A">
        <w:t xml:space="preserve"> our</w:t>
      </w:r>
      <w:r w:rsidR="002E4288">
        <w:t xml:space="preserve"> life cycle </w:t>
      </w:r>
      <w:r w:rsidR="0008010A">
        <w:t>inventories</w:t>
      </w:r>
      <w:r w:rsidR="002E4288">
        <w:t xml:space="preserve"> do not capture</w:t>
      </w:r>
      <w:r w:rsidR="00AF6BB2">
        <w:t xml:space="preserve"> t</w:t>
      </w:r>
      <w:r w:rsidR="00D93404">
        <w:t xml:space="preserve">he effects of </w:t>
      </w:r>
      <w:r w:rsidR="00357111">
        <w:t xml:space="preserve">potential </w:t>
      </w:r>
      <w:r w:rsidR="00D93404">
        <w:t>albedo</w:t>
      </w:r>
      <w:r w:rsidR="00AB3589">
        <w:t xml:space="preserve"> changes</w:t>
      </w:r>
      <w:r w:rsidR="00D93404">
        <w:t xml:space="preserve">, which could offset at least 20% of CDR in 66% </w:t>
      </w:r>
      <w:r w:rsidR="00D90D0C">
        <w:t>of locations</w:t>
      </w:r>
      <w:r w:rsidR="00B178A6">
        <w:fldChar w:fldCharType="begin" w:fldLock="1"/>
      </w:r>
      <w:r w:rsidR="00B4317C">
        <w:instrText xml:space="preserve"> ADDIN ZOTERO_ITEM CSL_CITATION {"citationID":"ru9hLPCp","properties":{"formattedCitation":"\\super 93\\nosupersub{}","plainCitation":"93","noteIndex":0},"citationItems":[{"id":"z2fanENt/c5K6AVbG","uris":["http://www.mendeley.com/documents/?uuid=269fc57e-d2bd-4122-871e-70a48f733ea4"],"itemData":{"DOI":"10.1038/s41467-024-46577-1","ISSN":"20411723","PMID":"38531896","abstract":"Restoring tree cover changes albedo, which is the fraction of sunlight reflected from the Earth’s surface. In most locations, these changes in albedo offset or even negate the carbon removal benefits with the latter leading to global warming. Previous efforts to quantify the global climate mitigation benefit of restoring tree cover have not accounted robustly for albedo given a lack of spatially explicit data. Here we produce maps that show that carbon-only estimates may be up to 81% too high. While dryland and boreal settings have especially severe albedo offsets, it is possible to find places that provide net-positive climate mitigation benefits in all biomes. We further find that on-the-ground projects are concentrated in these more climate-positive locations, but that the majority still face at least a 20% albedo offset. Thus, strategically deploying restoration of tree cover for maximum climate benefit requires accounting for albedo change and we provide the tools to do so.","author":[{"dropping-particle":"","family":"Hasler","given":"Natalia","non-dropping-particle":"","parse-names":false,"suffix":""},{"dropping-particle":"","family":"Williams","given":"Christopher A.","non-dropping-particle":"","parse-names":false,"suffix":""},{"dropping-particle":"","family":"Denney","given":"Vanessa Carrasco","non-dropping-particle":"","parse-names":false,"suffix":""},{"dropping-particle":"","family":"Ellis","given":"Peter W.","non-dropping-particle":"","parse-names":false,"suffix":""},{"dropping-particle":"","family":"Shrestha","given":"Surendra","non-dropping-particle":"","parse-names":false,"suffix":""},{"dropping-particle":"","family":"Terasaki Hart","given":"Drew E.","non-dropping-particle":"","parse-names":false,"suffix":""},{"dropping-particle":"","family":"Wolff","given":"Nicholas H.","non-dropping-particle":"","parse-names":false,"suffix":""},{"dropping-particle":"","family":"Yeo","given":"Samantha","non-dropping-particle":"","parse-names":false,"suffix":""},{"dropping-particle":"","family":"Crowther","given":"Thomas W.","non-dropping-particle":"","parse-names":false,"suffix":""},{"dropping-particle":"","family":"Werden","given":"Leland K.","non-dropping-particle":"","parse-names":false,"suffix":""},{"dropping-particle":"","family":"Cook-Patton","given":"Susan C.","non-dropping-particle":"","parse-names":false,"suffix":""}],"container-title":"Nature Communications","id":"ITEM-1","issue":"1","issued":{"date-parts":[["2024"]]},"page":"2275","publisher":"Springer US","title":"Accounting for albedo change to identify climate-positive tree cover restoration","type":"article-journal","volume":"15"}}],"schema":"https://github.com/citation-style-language/schema/raw/master/csl-citation.json"} </w:instrText>
      </w:r>
      <w:r w:rsidR="00B178A6">
        <w:fldChar w:fldCharType="separate"/>
      </w:r>
      <w:r w:rsidR="00971A76" w:rsidRPr="00971A76">
        <w:rPr>
          <w:rFonts w:ascii="Calibri" w:hAnsi="Calibri" w:cs="Calibri"/>
          <w:vertAlign w:val="superscript"/>
        </w:rPr>
        <w:t>93</w:t>
      </w:r>
      <w:r w:rsidR="00B178A6">
        <w:fldChar w:fldCharType="end"/>
      </w:r>
      <w:r w:rsidR="00D90D0C">
        <w:t xml:space="preserve">. </w:t>
      </w:r>
    </w:p>
    <w:p w14:paraId="7D92F67F" w14:textId="77777777" w:rsidR="00CB1FC4" w:rsidRDefault="00CB1FC4" w:rsidP="00FF6B04">
      <w:pPr>
        <w:spacing w:line="360" w:lineRule="auto"/>
        <w:jc w:val="both"/>
      </w:pPr>
    </w:p>
    <w:p w14:paraId="3C086C46" w14:textId="1AE86FB4" w:rsidR="00F11AE7" w:rsidRPr="00A66B28" w:rsidRDefault="007B7988" w:rsidP="00B04EEA">
      <w:pPr>
        <w:pStyle w:val="Ttulo2"/>
        <w:spacing w:after="240"/>
        <w:rPr>
          <w:rFonts w:asciiTheme="minorHAnsi" w:hAnsiTheme="minorHAnsi" w:cstheme="minorHAnsi"/>
          <w:b/>
          <w:bCs/>
          <w:color w:val="auto"/>
          <w:sz w:val="22"/>
          <w:szCs w:val="22"/>
        </w:rPr>
      </w:pPr>
      <w:bookmarkStart w:id="12" w:name="_Toc194330857"/>
      <w:r>
        <w:rPr>
          <w:rFonts w:asciiTheme="minorHAnsi" w:hAnsiTheme="minorHAnsi" w:cstheme="minorHAnsi"/>
          <w:b/>
          <w:bCs/>
          <w:color w:val="auto"/>
          <w:sz w:val="22"/>
          <w:szCs w:val="22"/>
        </w:rPr>
        <w:t>3</w:t>
      </w:r>
      <w:r w:rsidR="00F11AE7" w:rsidRPr="00A66B28">
        <w:rPr>
          <w:rFonts w:asciiTheme="minorHAnsi" w:hAnsiTheme="minorHAnsi" w:cstheme="minorHAnsi"/>
          <w:b/>
          <w:bCs/>
          <w:color w:val="auto"/>
          <w:sz w:val="22"/>
          <w:szCs w:val="22"/>
        </w:rPr>
        <w:t>.6 Biochar</w:t>
      </w:r>
      <w:bookmarkEnd w:id="12"/>
    </w:p>
    <w:p w14:paraId="05A2F620" w14:textId="031999E9" w:rsidR="00FB3768" w:rsidRDefault="004D1EC9" w:rsidP="00667DA7">
      <w:pPr>
        <w:spacing w:line="360" w:lineRule="auto"/>
        <w:jc w:val="both"/>
        <w:rPr>
          <w:rFonts w:ascii="Calibri" w:eastAsia="Calibri" w:hAnsi="Calibri" w:cs="Calibri"/>
        </w:rPr>
      </w:pPr>
      <w:r>
        <w:rPr>
          <w:rFonts w:ascii="Calibri" w:eastAsia="Calibri" w:hAnsi="Calibri" w:cs="Calibri"/>
        </w:rPr>
        <w:t xml:space="preserve">In the biochar scenarios, the </w:t>
      </w:r>
      <w:r w:rsidR="006620DB">
        <w:rPr>
          <w:rFonts w:ascii="Calibri" w:eastAsia="Calibri" w:hAnsi="Calibri" w:cs="Calibri"/>
        </w:rPr>
        <w:t xml:space="preserve">carbon captured by biomass is sequestered in </w:t>
      </w:r>
      <w:r w:rsidR="00937CB4">
        <w:rPr>
          <w:rFonts w:ascii="Calibri" w:eastAsia="Calibri" w:hAnsi="Calibri" w:cs="Calibri"/>
        </w:rPr>
        <w:t>the biochar</w:t>
      </w:r>
      <w:r w:rsidR="00B372DB">
        <w:rPr>
          <w:rFonts w:ascii="Calibri" w:eastAsia="Calibri" w:hAnsi="Calibri" w:cs="Calibri"/>
        </w:rPr>
        <w:t xml:space="preserve"> and</w:t>
      </w:r>
      <w:r w:rsidR="005C226F">
        <w:rPr>
          <w:rFonts w:ascii="Calibri" w:eastAsia="Calibri" w:hAnsi="Calibri" w:cs="Calibri"/>
        </w:rPr>
        <w:t xml:space="preserve"> </w:t>
      </w:r>
      <w:r w:rsidR="00B372DB">
        <w:rPr>
          <w:rFonts w:ascii="Calibri" w:eastAsia="Calibri" w:hAnsi="Calibri" w:cs="Calibri"/>
        </w:rPr>
        <w:t>in a geological reservoir</w:t>
      </w:r>
      <w:r w:rsidR="005C226F">
        <w:rPr>
          <w:rFonts w:ascii="Calibri" w:eastAsia="Calibri" w:hAnsi="Calibri" w:cs="Calibri"/>
        </w:rPr>
        <w:t xml:space="preserve"> if </w:t>
      </w:r>
      <w:r w:rsidR="00424CF2">
        <w:rPr>
          <w:rFonts w:ascii="Calibri" w:eastAsia="Calibri" w:hAnsi="Calibri" w:cs="Calibri"/>
        </w:rPr>
        <w:t>C</w:t>
      </w:r>
      <w:r w:rsidR="005C226F">
        <w:rPr>
          <w:rFonts w:ascii="Calibri" w:eastAsia="Calibri" w:hAnsi="Calibri" w:cs="Calibri"/>
        </w:rPr>
        <w:t xml:space="preserve">arbon </w:t>
      </w:r>
      <w:r w:rsidR="00424CF2">
        <w:rPr>
          <w:rFonts w:ascii="Calibri" w:eastAsia="Calibri" w:hAnsi="Calibri" w:cs="Calibri"/>
        </w:rPr>
        <w:t>C</w:t>
      </w:r>
      <w:r w:rsidR="005C226F">
        <w:rPr>
          <w:rFonts w:ascii="Calibri" w:eastAsia="Calibri" w:hAnsi="Calibri" w:cs="Calibri"/>
        </w:rPr>
        <w:t xml:space="preserve">apture and </w:t>
      </w:r>
      <w:r w:rsidR="00424CF2">
        <w:rPr>
          <w:rFonts w:ascii="Calibri" w:eastAsia="Calibri" w:hAnsi="Calibri" w:cs="Calibri"/>
        </w:rPr>
        <w:t>S</w:t>
      </w:r>
      <w:r w:rsidR="005C226F">
        <w:rPr>
          <w:rFonts w:ascii="Calibri" w:eastAsia="Calibri" w:hAnsi="Calibri" w:cs="Calibri"/>
        </w:rPr>
        <w:t>torage (CCS) is considered</w:t>
      </w:r>
      <w:r w:rsidR="00B372DB">
        <w:rPr>
          <w:rFonts w:ascii="Calibri" w:eastAsia="Calibri" w:hAnsi="Calibri" w:cs="Calibri"/>
        </w:rPr>
        <w:t xml:space="preserve">. </w:t>
      </w:r>
      <w:r w:rsidR="000951F6">
        <w:rPr>
          <w:rFonts w:ascii="Calibri" w:eastAsia="Calibri" w:hAnsi="Calibri" w:cs="Calibri"/>
        </w:rPr>
        <w:t>The</w:t>
      </w:r>
      <w:r w:rsidR="0051607D">
        <w:rPr>
          <w:rFonts w:ascii="Calibri" w:eastAsia="Calibri" w:hAnsi="Calibri" w:cs="Calibri"/>
        </w:rPr>
        <w:t xml:space="preserve"> characteristics and types of the</w:t>
      </w:r>
      <w:r w:rsidR="00C936AF">
        <w:rPr>
          <w:rFonts w:ascii="Calibri" w:eastAsia="Calibri" w:hAnsi="Calibri" w:cs="Calibri"/>
        </w:rPr>
        <w:t xml:space="preserve"> original</w:t>
      </w:r>
      <w:r w:rsidR="000951F6">
        <w:rPr>
          <w:rFonts w:ascii="Calibri" w:eastAsia="Calibri" w:hAnsi="Calibri" w:cs="Calibri"/>
        </w:rPr>
        <w:t xml:space="preserve"> land where the crops are planted (abandoned croplands and grasslands)</w:t>
      </w:r>
      <w:r w:rsidR="00204145">
        <w:rPr>
          <w:rFonts w:ascii="Calibri" w:eastAsia="Calibri" w:hAnsi="Calibri" w:cs="Calibri"/>
        </w:rPr>
        <w:t xml:space="preserve"> and the biomass feedstock</w:t>
      </w:r>
      <w:r w:rsidR="00F53FA1">
        <w:rPr>
          <w:rFonts w:ascii="Calibri" w:eastAsia="Calibri" w:hAnsi="Calibri" w:cs="Calibri"/>
        </w:rPr>
        <w:t>s</w:t>
      </w:r>
      <w:r w:rsidR="00204145">
        <w:rPr>
          <w:rFonts w:ascii="Calibri" w:eastAsia="Calibri" w:hAnsi="Calibri" w:cs="Calibri"/>
        </w:rPr>
        <w:t xml:space="preserve"> (forest residues, </w:t>
      </w:r>
      <w:r w:rsidR="00204145" w:rsidRPr="00C936AF">
        <w:rPr>
          <w:rFonts w:ascii="Calibri" w:eastAsia="Calibri" w:hAnsi="Calibri" w:cs="Calibri"/>
          <w:i/>
          <w:iCs/>
        </w:rPr>
        <w:t>Miscanthus</w:t>
      </w:r>
      <w:r w:rsidR="00204145">
        <w:rPr>
          <w:rFonts w:ascii="Calibri" w:eastAsia="Calibri" w:hAnsi="Calibri" w:cs="Calibri"/>
        </w:rPr>
        <w:t xml:space="preserve"> and poplar) are the same as in the</w:t>
      </w:r>
      <w:r w:rsidR="00412046">
        <w:rPr>
          <w:rFonts w:ascii="Calibri" w:eastAsia="Calibri" w:hAnsi="Calibri" w:cs="Calibri"/>
        </w:rPr>
        <w:t xml:space="preserve"> BECCS scenarios. </w:t>
      </w:r>
      <w:r w:rsidR="00EF2015">
        <w:rPr>
          <w:rFonts w:ascii="Calibri" w:eastAsia="Calibri" w:hAnsi="Calibri" w:cs="Calibri"/>
        </w:rPr>
        <w:t>However,</w:t>
      </w:r>
      <w:r w:rsidR="0059641B">
        <w:rPr>
          <w:rFonts w:ascii="Calibri" w:eastAsia="Calibri" w:hAnsi="Calibri" w:cs="Calibri"/>
        </w:rPr>
        <w:t xml:space="preserve"> the ratio of forest residues to energy crops </w:t>
      </w:r>
      <w:r w:rsidR="006149DB">
        <w:rPr>
          <w:rFonts w:ascii="Calibri" w:eastAsia="Calibri" w:hAnsi="Calibri" w:cs="Calibri"/>
        </w:rPr>
        <w:t xml:space="preserve">has been </w:t>
      </w:r>
      <w:r w:rsidR="007010E2">
        <w:rPr>
          <w:rFonts w:ascii="Calibri" w:eastAsia="Calibri" w:hAnsi="Calibri" w:cs="Calibri"/>
        </w:rPr>
        <w:t xml:space="preserve">adjusted based on the </w:t>
      </w:r>
      <w:r w:rsidR="00FB3768">
        <w:rPr>
          <w:rFonts w:ascii="Calibri" w:eastAsia="Calibri" w:hAnsi="Calibri" w:cs="Calibri"/>
        </w:rPr>
        <w:t xml:space="preserve">estimated CDR potential of forest </w:t>
      </w:r>
      <w:r w:rsidR="0065779B">
        <w:rPr>
          <w:rFonts w:ascii="Calibri" w:eastAsia="Calibri" w:hAnsi="Calibri" w:cs="Calibri"/>
        </w:rPr>
        <w:t>residues through biochar</w:t>
      </w:r>
      <w:r w:rsidR="00587C39">
        <w:rPr>
          <w:rFonts w:ascii="Calibri" w:eastAsia="Calibri" w:hAnsi="Calibri" w:cs="Calibri"/>
        </w:rPr>
        <w:t xml:space="preserve"> (</w:t>
      </w:r>
      <w:r w:rsidR="001A22FE">
        <w:rPr>
          <w:rFonts w:ascii="Calibri" w:eastAsia="Calibri" w:hAnsi="Calibri" w:cs="Calibri"/>
        </w:rPr>
        <w:t>0.12-0.14 GtCO</w:t>
      </w:r>
      <w:r w:rsidR="001A22FE" w:rsidRPr="009518CA">
        <w:rPr>
          <w:rFonts w:ascii="Calibri" w:eastAsia="Calibri" w:hAnsi="Calibri" w:cs="Calibri"/>
          <w:vertAlign w:val="subscript"/>
        </w:rPr>
        <w:t>2</w:t>
      </w:r>
      <w:r w:rsidR="001A22FE">
        <w:rPr>
          <w:rFonts w:ascii="Calibri" w:eastAsia="Calibri" w:hAnsi="Calibri" w:cs="Calibri"/>
        </w:rPr>
        <w:t xml:space="preserve">/year between 2030 and 2050 in the scenarios without </w:t>
      </w:r>
      <w:r w:rsidR="00DA34B3">
        <w:rPr>
          <w:rFonts w:ascii="Calibri" w:eastAsia="Calibri" w:hAnsi="Calibri" w:cs="Calibri"/>
        </w:rPr>
        <w:t>CCS</w:t>
      </w:r>
      <w:r w:rsidR="00A51911">
        <w:rPr>
          <w:rFonts w:ascii="Calibri" w:eastAsia="Calibri" w:hAnsi="Calibri" w:cs="Calibri"/>
        </w:rPr>
        <w:t xml:space="preserve">, and </w:t>
      </w:r>
      <w:r w:rsidR="006207D0">
        <w:rPr>
          <w:rFonts w:ascii="Calibri" w:eastAsia="Calibri" w:hAnsi="Calibri" w:cs="Calibri"/>
        </w:rPr>
        <w:t>0.24-0.2</w:t>
      </w:r>
      <w:r w:rsidR="00C755AE">
        <w:rPr>
          <w:rFonts w:ascii="Calibri" w:eastAsia="Calibri" w:hAnsi="Calibri" w:cs="Calibri"/>
        </w:rPr>
        <w:t>7</w:t>
      </w:r>
      <w:r w:rsidR="006207D0">
        <w:rPr>
          <w:rFonts w:ascii="Calibri" w:eastAsia="Calibri" w:hAnsi="Calibri" w:cs="Calibri"/>
        </w:rPr>
        <w:t xml:space="preserve"> GtCO</w:t>
      </w:r>
      <w:r w:rsidR="006207D0" w:rsidRPr="009518CA">
        <w:rPr>
          <w:rFonts w:ascii="Calibri" w:eastAsia="Calibri" w:hAnsi="Calibri" w:cs="Calibri"/>
          <w:vertAlign w:val="subscript"/>
        </w:rPr>
        <w:t>2</w:t>
      </w:r>
      <w:r w:rsidR="006207D0">
        <w:rPr>
          <w:rFonts w:ascii="Calibri" w:eastAsia="Calibri" w:hAnsi="Calibri" w:cs="Calibri"/>
        </w:rPr>
        <w:t xml:space="preserve">/year </w:t>
      </w:r>
      <w:r w:rsidR="00214B92">
        <w:rPr>
          <w:rFonts w:ascii="Calibri" w:eastAsia="Calibri" w:hAnsi="Calibri" w:cs="Calibri"/>
        </w:rPr>
        <w:t>if CCS is coupled to the pyrolysis process</w:t>
      </w:r>
      <w:r w:rsidR="00A51911">
        <w:rPr>
          <w:rFonts w:ascii="Calibri" w:eastAsia="Calibri" w:hAnsi="Calibri" w:cs="Calibri"/>
        </w:rPr>
        <w:t>)</w:t>
      </w:r>
      <w:r w:rsidR="002825C5">
        <w:rPr>
          <w:rFonts w:ascii="Calibri" w:eastAsia="Calibri" w:hAnsi="Calibri" w:cs="Calibri"/>
        </w:rPr>
        <w:t>.</w:t>
      </w:r>
      <w:r w:rsidR="003A4551">
        <w:rPr>
          <w:rFonts w:ascii="Calibri" w:eastAsia="Calibri" w:hAnsi="Calibri" w:cs="Calibri"/>
        </w:rPr>
        <w:t xml:space="preserve"> </w:t>
      </w:r>
      <w:r w:rsidR="00CA558E">
        <w:rPr>
          <w:rFonts w:ascii="Calibri" w:eastAsia="Calibri" w:hAnsi="Calibri" w:cs="Calibri"/>
        </w:rPr>
        <w:t>Tables 2.16-2.27 of the Supplementary Data file</w:t>
      </w:r>
      <w:r w:rsidR="008B5677">
        <w:rPr>
          <w:rFonts w:ascii="Calibri" w:eastAsia="Calibri" w:hAnsi="Calibri" w:cs="Calibri"/>
        </w:rPr>
        <w:t xml:space="preserve"> show the distribution of biomass sources in the biochar scenarios.</w:t>
      </w:r>
    </w:p>
    <w:p w14:paraId="3A2CDA2A" w14:textId="386B9C4C" w:rsidR="00A81C2C" w:rsidRPr="008E2F97" w:rsidRDefault="00E74C09" w:rsidP="00667DA7">
      <w:pPr>
        <w:spacing w:line="360" w:lineRule="auto"/>
        <w:jc w:val="both"/>
        <w:rPr>
          <w:rFonts w:ascii="Calibri" w:eastAsia="Calibri" w:hAnsi="Calibri" w:cs="Calibri"/>
        </w:rPr>
      </w:pPr>
      <w:r w:rsidRPr="0035261B">
        <w:rPr>
          <w:rFonts w:ascii="Calibri" w:eastAsia="Calibri" w:hAnsi="Calibri" w:cs="Calibri"/>
        </w:rPr>
        <w:t xml:space="preserve">We adapt the inventory data of the biochar </w:t>
      </w:r>
      <w:r w:rsidRPr="004A44AB">
        <w:rPr>
          <w:rFonts w:ascii="Calibri" w:eastAsia="Calibri" w:hAnsi="Calibri" w:cs="Calibri"/>
        </w:rPr>
        <w:t>scenarios from Peters et al.</w:t>
      </w:r>
      <w:r w:rsidRPr="004A44AB">
        <w:rPr>
          <w:rFonts w:ascii="Calibri" w:eastAsia="Calibri" w:hAnsi="Calibri" w:cs="Calibri"/>
        </w:rPr>
        <w:fldChar w:fldCharType="begin" w:fldLock="1"/>
      </w:r>
      <w:r w:rsidR="00971A76">
        <w:rPr>
          <w:rFonts w:ascii="Calibri" w:eastAsia="Calibri" w:hAnsi="Calibri" w:cs="Calibri"/>
        </w:rPr>
        <w:instrText xml:space="preserve"> ADDIN ZOTERO_ITEM CSL_CITATION {"citationID":"biuluXBf","properties":{"formattedCitation":"\\super 62\\nosupersub{}","plainCitation":"62","noteIndex":0},"citationItems":[{"id":2127,"uris":["http://www.mendeley.com/documents/?uuid=f2d7e879-3826-47bc-a78b-657a6dfee3e1","http://zotero.org/users/14213812/items/699ZQLJT"],"itemData":{"id":2127,"type":"article-journal","container-title":"Environmental Science and Technology","DOI":"10.1021/es5060786","issue":"8","page":"5195-5202","title":"Biomass Pyrolysis for Biochar or Energy Applications? A Life Cycle Assessment","volume":"49","author":[{"family":"Peters","given":"Jens F"},{"family":"Iribarren","given":"Diego"},{"family":"Dufour","given":"Javier"}],"issued":{"date-parts":[["2015"]]}}}],"schema":"https://github.com/citation-style-language/schema/raw/master/csl-citation.json"} </w:instrText>
      </w:r>
      <w:r w:rsidRPr="004A44AB">
        <w:rPr>
          <w:rFonts w:ascii="Calibri" w:eastAsia="Calibri" w:hAnsi="Calibri" w:cs="Calibri"/>
        </w:rPr>
        <w:fldChar w:fldCharType="separate"/>
      </w:r>
      <w:r w:rsidR="00971A76" w:rsidRPr="00971A76">
        <w:rPr>
          <w:rFonts w:ascii="Calibri" w:hAnsi="Calibri" w:cs="Calibri"/>
          <w:vertAlign w:val="superscript"/>
        </w:rPr>
        <w:t>62</w:t>
      </w:r>
      <w:r w:rsidRPr="004A44AB">
        <w:rPr>
          <w:rFonts w:ascii="Calibri" w:eastAsia="Calibri" w:hAnsi="Calibri" w:cs="Calibri"/>
        </w:rPr>
        <w:fldChar w:fldCharType="end"/>
      </w:r>
      <w:r w:rsidRPr="004A44AB">
        <w:rPr>
          <w:rFonts w:ascii="Calibri" w:eastAsia="Calibri" w:hAnsi="Calibri" w:cs="Calibri"/>
        </w:rPr>
        <w:t>.</w:t>
      </w:r>
      <w:r w:rsidR="00AE4BCF">
        <w:rPr>
          <w:rFonts w:ascii="Calibri" w:eastAsia="Calibri" w:hAnsi="Calibri" w:cs="Calibri"/>
        </w:rPr>
        <w:t xml:space="preserve"> </w:t>
      </w:r>
      <w:r w:rsidR="00054CDF">
        <w:rPr>
          <w:rFonts w:ascii="Calibri" w:eastAsia="Calibri" w:hAnsi="Calibri" w:cs="Calibri"/>
        </w:rPr>
        <w:t>B</w:t>
      </w:r>
      <w:r w:rsidR="000D38DC" w:rsidRPr="00803CDE">
        <w:rPr>
          <w:rFonts w:ascii="Calibri" w:eastAsia="Calibri" w:hAnsi="Calibri" w:cs="Calibri"/>
        </w:rPr>
        <w:t>iomass</w:t>
      </w:r>
      <w:r w:rsidR="008D0CB8">
        <w:rPr>
          <w:rFonts w:ascii="Calibri" w:eastAsia="Calibri" w:hAnsi="Calibri" w:cs="Calibri"/>
        </w:rPr>
        <w:t xml:space="preserve"> is</w:t>
      </w:r>
      <w:r w:rsidR="009E60AA" w:rsidRPr="00803CDE">
        <w:rPr>
          <w:rFonts w:ascii="Calibri" w:eastAsia="Calibri" w:hAnsi="Calibri" w:cs="Calibri"/>
        </w:rPr>
        <w:t xml:space="preserve"> harvested</w:t>
      </w:r>
      <w:r w:rsidR="000D38DC" w:rsidRPr="00803CDE">
        <w:rPr>
          <w:rFonts w:ascii="Calibri" w:eastAsia="Calibri" w:hAnsi="Calibri" w:cs="Calibri"/>
        </w:rPr>
        <w:t xml:space="preserve"> </w:t>
      </w:r>
      <w:r w:rsidR="009E60AA" w:rsidRPr="00803CDE">
        <w:rPr>
          <w:rFonts w:ascii="Calibri" w:eastAsia="Calibri" w:hAnsi="Calibri" w:cs="Calibri"/>
        </w:rPr>
        <w:t>and</w:t>
      </w:r>
      <w:r w:rsidR="000D38DC" w:rsidRPr="00803CDE">
        <w:rPr>
          <w:rFonts w:ascii="Calibri" w:eastAsia="Calibri" w:hAnsi="Calibri" w:cs="Calibri"/>
        </w:rPr>
        <w:t xml:space="preserve"> subjected to </w:t>
      </w:r>
      <w:r w:rsidR="007D4815">
        <w:rPr>
          <w:rFonts w:ascii="Calibri" w:eastAsia="Calibri" w:hAnsi="Calibri" w:cs="Calibri"/>
        </w:rPr>
        <w:t xml:space="preserve">a slow </w:t>
      </w:r>
      <w:r w:rsidR="000D38DC" w:rsidRPr="00803CDE">
        <w:rPr>
          <w:rFonts w:ascii="Calibri" w:eastAsia="Calibri" w:hAnsi="Calibri" w:cs="Calibri"/>
        </w:rPr>
        <w:t xml:space="preserve">pyrolysis process at </w:t>
      </w:r>
      <w:r w:rsidR="007A5468" w:rsidRPr="00803CDE">
        <w:rPr>
          <w:rFonts w:ascii="Calibri" w:eastAsia="Calibri" w:hAnsi="Calibri" w:cs="Calibri"/>
        </w:rPr>
        <w:t>450</w:t>
      </w:r>
      <w:r w:rsidR="001479D7" w:rsidRPr="00803CDE">
        <w:rPr>
          <w:rFonts w:ascii="Calibri" w:eastAsia="Calibri" w:hAnsi="Calibri" w:cs="Calibri"/>
        </w:rPr>
        <w:t xml:space="preserve"> </w:t>
      </w:r>
      <w:proofErr w:type="spellStart"/>
      <w:r w:rsidR="001479D7" w:rsidRPr="00803CDE">
        <w:rPr>
          <w:rFonts w:ascii="Calibri" w:eastAsia="Calibri" w:hAnsi="Calibri" w:cs="Calibri"/>
          <w:vertAlign w:val="superscript"/>
        </w:rPr>
        <w:t>o</w:t>
      </w:r>
      <w:r w:rsidR="001479D7" w:rsidRPr="00803CDE">
        <w:rPr>
          <w:rFonts w:ascii="Calibri" w:eastAsia="Calibri" w:hAnsi="Calibri" w:cs="Calibri"/>
        </w:rPr>
        <w:t>C</w:t>
      </w:r>
      <w:proofErr w:type="spellEnd"/>
      <w:r w:rsidR="007A5468" w:rsidRPr="00803CDE">
        <w:rPr>
          <w:rFonts w:ascii="Calibri" w:eastAsia="Calibri" w:hAnsi="Calibri" w:cs="Calibri"/>
        </w:rPr>
        <w:t xml:space="preserve"> to generate </w:t>
      </w:r>
      <w:r w:rsidR="009E60AA" w:rsidRPr="00803CDE">
        <w:rPr>
          <w:rFonts w:ascii="Calibri" w:eastAsia="Calibri" w:hAnsi="Calibri" w:cs="Calibri"/>
        </w:rPr>
        <w:t>biochar</w:t>
      </w:r>
      <w:r w:rsidR="00755A0C" w:rsidRPr="00803CDE">
        <w:rPr>
          <w:rFonts w:ascii="Calibri" w:eastAsia="Calibri" w:hAnsi="Calibri" w:cs="Calibri"/>
        </w:rPr>
        <w:t xml:space="preserve"> containing</w:t>
      </w:r>
      <w:r w:rsidR="001353A0" w:rsidRPr="00803CDE">
        <w:rPr>
          <w:rFonts w:ascii="Calibri" w:eastAsia="Calibri" w:hAnsi="Calibri" w:cs="Calibri"/>
        </w:rPr>
        <w:t xml:space="preserve"> 50% of </w:t>
      </w:r>
      <w:r w:rsidR="001353A0">
        <w:rPr>
          <w:rFonts w:ascii="Calibri" w:eastAsia="Calibri" w:hAnsi="Calibri" w:cs="Calibri"/>
        </w:rPr>
        <w:t>the</w:t>
      </w:r>
      <w:r w:rsidR="00755A0C">
        <w:rPr>
          <w:rFonts w:ascii="Calibri" w:eastAsia="Calibri" w:hAnsi="Calibri" w:cs="Calibri"/>
        </w:rPr>
        <w:t xml:space="preserve"> carbon </w:t>
      </w:r>
      <w:r w:rsidR="00F64C9D">
        <w:rPr>
          <w:rFonts w:ascii="Calibri" w:eastAsia="Calibri" w:hAnsi="Calibri" w:cs="Calibri"/>
        </w:rPr>
        <w:t>captu</w:t>
      </w:r>
      <w:r w:rsidR="00755A0C">
        <w:rPr>
          <w:rFonts w:ascii="Calibri" w:eastAsia="Calibri" w:hAnsi="Calibri" w:cs="Calibri"/>
        </w:rPr>
        <w:t>red during the</w:t>
      </w:r>
      <w:r w:rsidR="001353A0">
        <w:rPr>
          <w:rFonts w:ascii="Calibri" w:eastAsia="Calibri" w:hAnsi="Calibri" w:cs="Calibri"/>
        </w:rPr>
        <w:t xml:space="preserve"> biomass </w:t>
      </w:r>
      <w:r w:rsidR="00755A0C">
        <w:rPr>
          <w:rFonts w:ascii="Calibri" w:eastAsia="Calibri" w:hAnsi="Calibri" w:cs="Calibri"/>
        </w:rPr>
        <w:t>cultivation phase</w:t>
      </w:r>
      <w:r w:rsidR="001353A0">
        <w:rPr>
          <w:rFonts w:ascii="Calibri" w:eastAsia="Calibri" w:hAnsi="Calibri" w:cs="Calibri"/>
        </w:rPr>
        <w:t xml:space="preserve">. </w:t>
      </w:r>
      <w:r w:rsidR="00CD015D" w:rsidRPr="00692A50">
        <w:rPr>
          <w:rFonts w:ascii="Calibri" w:eastAsia="Calibri" w:hAnsi="Calibri" w:cs="Calibri"/>
        </w:rPr>
        <w:t>The remaining carbon</w:t>
      </w:r>
      <w:r w:rsidR="00743F53">
        <w:rPr>
          <w:rFonts w:ascii="Calibri" w:eastAsia="Calibri" w:hAnsi="Calibri" w:cs="Calibri"/>
        </w:rPr>
        <w:t xml:space="preserve"> (</w:t>
      </w:r>
      <w:r w:rsidR="00CD015D" w:rsidRPr="00692A50">
        <w:rPr>
          <w:rFonts w:ascii="Calibri" w:eastAsia="Calibri" w:hAnsi="Calibri" w:cs="Calibri"/>
        </w:rPr>
        <w:t xml:space="preserve">in the gas and tar </w:t>
      </w:r>
      <w:r w:rsidR="003F3499" w:rsidRPr="00692A50">
        <w:rPr>
          <w:rFonts w:ascii="Calibri" w:eastAsia="Calibri" w:hAnsi="Calibri" w:cs="Calibri"/>
        </w:rPr>
        <w:t>byproducts</w:t>
      </w:r>
      <w:r w:rsidR="00743F53">
        <w:rPr>
          <w:rFonts w:ascii="Calibri" w:eastAsia="Calibri" w:hAnsi="Calibri" w:cs="Calibri"/>
        </w:rPr>
        <w:t>)</w:t>
      </w:r>
      <w:r w:rsidR="006751DD" w:rsidRPr="00692A50">
        <w:rPr>
          <w:rFonts w:ascii="Calibri" w:eastAsia="Calibri" w:hAnsi="Calibri" w:cs="Calibri"/>
        </w:rPr>
        <w:t xml:space="preserve"> </w:t>
      </w:r>
      <w:r w:rsidR="001A64AD">
        <w:rPr>
          <w:rFonts w:ascii="Calibri" w:eastAsia="Calibri" w:hAnsi="Calibri" w:cs="Calibri"/>
        </w:rPr>
        <w:t xml:space="preserve">is </w:t>
      </w:r>
      <w:r w:rsidR="003F3499" w:rsidRPr="00692A50">
        <w:rPr>
          <w:rFonts w:ascii="Calibri" w:eastAsia="Calibri" w:hAnsi="Calibri" w:cs="Calibri"/>
        </w:rPr>
        <w:t xml:space="preserve">burned to </w:t>
      </w:r>
      <w:r w:rsidR="008924A4">
        <w:rPr>
          <w:rFonts w:ascii="Calibri" w:eastAsia="Calibri" w:hAnsi="Calibri" w:cs="Calibri"/>
        </w:rPr>
        <w:t>supply heat to</w:t>
      </w:r>
      <w:r w:rsidR="00894188" w:rsidRPr="00692A50">
        <w:rPr>
          <w:rFonts w:ascii="Calibri" w:eastAsia="Calibri" w:hAnsi="Calibri" w:cs="Calibri"/>
        </w:rPr>
        <w:t xml:space="preserve"> the pyrolysis process</w:t>
      </w:r>
      <w:r w:rsidR="0074192C">
        <w:rPr>
          <w:rFonts w:ascii="Calibri" w:eastAsia="Calibri" w:hAnsi="Calibri" w:cs="Calibri"/>
        </w:rPr>
        <w:t xml:space="preserve">, </w:t>
      </w:r>
      <w:r w:rsidR="00743F53">
        <w:rPr>
          <w:rFonts w:ascii="Calibri" w:eastAsia="Calibri" w:hAnsi="Calibri" w:cs="Calibri"/>
        </w:rPr>
        <w:t>generating excess heat</w:t>
      </w:r>
      <w:r w:rsidR="00B06F89" w:rsidRPr="00692A50">
        <w:rPr>
          <w:rFonts w:ascii="Calibri" w:eastAsia="Calibri" w:hAnsi="Calibri" w:cs="Calibri"/>
        </w:rPr>
        <w:t xml:space="preserve">. </w:t>
      </w:r>
      <w:r w:rsidR="00743F53">
        <w:rPr>
          <w:rFonts w:ascii="Calibri" w:eastAsia="Calibri" w:hAnsi="Calibri" w:cs="Calibri"/>
        </w:rPr>
        <w:t>T</w:t>
      </w:r>
      <w:r w:rsidR="00A56988" w:rsidRPr="00CB1FC4">
        <w:rPr>
          <w:rFonts w:ascii="Calibri" w:eastAsia="Calibri" w:hAnsi="Calibri" w:cs="Calibri"/>
        </w:rPr>
        <w:t xml:space="preserve">he scenarios considering </w:t>
      </w:r>
      <w:r w:rsidR="00DA34B3">
        <w:rPr>
          <w:rFonts w:ascii="Calibri" w:eastAsia="Calibri" w:hAnsi="Calibri" w:cs="Calibri"/>
        </w:rPr>
        <w:t>CCS</w:t>
      </w:r>
      <w:r w:rsidR="00A56988" w:rsidRPr="00CB1FC4">
        <w:rPr>
          <w:rFonts w:ascii="Calibri" w:eastAsia="Calibri" w:hAnsi="Calibri" w:cs="Calibri"/>
        </w:rPr>
        <w:t xml:space="preserve"> use part of the excess heat </w:t>
      </w:r>
      <w:r w:rsidR="00A93BFA" w:rsidRPr="00CB1FC4">
        <w:rPr>
          <w:rFonts w:ascii="Calibri" w:eastAsia="Calibri" w:hAnsi="Calibri" w:cs="Calibri"/>
        </w:rPr>
        <w:t>to desorb the CO</w:t>
      </w:r>
      <w:r w:rsidR="00A93BFA" w:rsidRPr="00CB1FC4">
        <w:rPr>
          <w:rFonts w:ascii="Calibri" w:eastAsia="Calibri" w:hAnsi="Calibri" w:cs="Calibri"/>
          <w:vertAlign w:val="subscript"/>
        </w:rPr>
        <w:t>2</w:t>
      </w:r>
      <w:r w:rsidR="00A93BFA" w:rsidRPr="00CB1FC4">
        <w:rPr>
          <w:rFonts w:ascii="Calibri" w:eastAsia="Calibri" w:hAnsi="Calibri" w:cs="Calibri"/>
        </w:rPr>
        <w:t xml:space="preserve"> generated in the combustion </w:t>
      </w:r>
      <w:r w:rsidR="00E018BA" w:rsidRPr="00CB1FC4">
        <w:rPr>
          <w:rFonts w:ascii="Calibri" w:eastAsia="Calibri" w:hAnsi="Calibri" w:cs="Calibri"/>
        </w:rPr>
        <w:t>process</w:t>
      </w:r>
      <w:r w:rsidR="00A93BFA" w:rsidRPr="00CB1FC4">
        <w:rPr>
          <w:rFonts w:ascii="Calibri" w:eastAsia="Calibri" w:hAnsi="Calibri" w:cs="Calibri"/>
        </w:rPr>
        <w:t xml:space="preserve"> from the </w:t>
      </w:r>
      <w:r w:rsidR="00453C97" w:rsidRPr="00CB1FC4">
        <w:rPr>
          <w:rFonts w:ascii="Calibri" w:eastAsia="Calibri" w:hAnsi="Calibri" w:cs="Calibri"/>
        </w:rPr>
        <w:t>MEA</w:t>
      </w:r>
      <w:r w:rsidR="00A93BFA" w:rsidRPr="00CB1FC4">
        <w:rPr>
          <w:rFonts w:ascii="Calibri" w:eastAsia="Calibri" w:hAnsi="Calibri" w:cs="Calibri"/>
        </w:rPr>
        <w:t xml:space="preserve"> solution</w:t>
      </w:r>
      <w:r w:rsidR="007F7F04" w:rsidRPr="00CB1FC4">
        <w:rPr>
          <w:rFonts w:ascii="Calibri" w:eastAsia="Calibri" w:hAnsi="Calibri" w:cs="Calibri"/>
        </w:rPr>
        <w:t>.</w:t>
      </w:r>
      <w:r w:rsidR="0039736D">
        <w:rPr>
          <w:rFonts w:ascii="Calibri" w:eastAsia="Calibri" w:hAnsi="Calibri" w:cs="Calibri"/>
        </w:rPr>
        <w:t xml:space="preserve"> </w:t>
      </w:r>
      <w:r w:rsidR="009846A4">
        <w:rPr>
          <w:rFonts w:ascii="Calibri" w:eastAsia="Calibri" w:hAnsi="Calibri" w:cs="Calibri"/>
        </w:rPr>
        <w:t xml:space="preserve">In the base scenario, </w:t>
      </w:r>
      <w:r w:rsidR="008F26E2">
        <w:rPr>
          <w:rFonts w:ascii="Calibri" w:eastAsia="Calibri" w:hAnsi="Calibri" w:cs="Calibri"/>
        </w:rPr>
        <w:t>50%</w:t>
      </w:r>
      <w:r w:rsidR="00A81C2C">
        <w:rPr>
          <w:rFonts w:ascii="Calibri" w:eastAsia="Calibri" w:hAnsi="Calibri" w:cs="Calibri"/>
        </w:rPr>
        <w:t xml:space="preserve"> of the remaining excess energy</w:t>
      </w:r>
      <w:r w:rsidR="00030DDB" w:rsidRPr="008A0D57">
        <w:rPr>
          <w:rFonts w:ascii="Calibri" w:eastAsia="Calibri" w:hAnsi="Calibri" w:cs="Calibri"/>
        </w:rPr>
        <w:t xml:space="preserve"> </w:t>
      </w:r>
      <w:r w:rsidR="00A81C2C" w:rsidRPr="008A0D57">
        <w:rPr>
          <w:rFonts w:ascii="Calibri" w:eastAsia="Calibri" w:hAnsi="Calibri" w:cs="Calibri"/>
        </w:rPr>
        <w:t>is used for industrial or residential heating</w:t>
      </w:r>
      <w:r w:rsidR="00726580">
        <w:rPr>
          <w:rFonts w:ascii="Calibri" w:eastAsia="Calibri" w:hAnsi="Calibri" w:cs="Calibri"/>
        </w:rPr>
        <w:t>, with heat use rates of 0 and 100% considered for the sensitivity analysis</w:t>
      </w:r>
      <w:r w:rsidR="00A81C2C" w:rsidRPr="008A0D57">
        <w:rPr>
          <w:rFonts w:ascii="Calibri" w:eastAsia="Calibri" w:hAnsi="Calibri" w:cs="Calibri"/>
        </w:rPr>
        <w:t xml:space="preserve"> (share of heat sources in </w:t>
      </w:r>
      <w:r w:rsidR="00A81C2C" w:rsidRPr="00C23D86">
        <w:rPr>
          <w:rFonts w:ascii="Calibri" w:eastAsia="Calibri" w:hAnsi="Calibri" w:cs="Calibri"/>
        </w:rPr>
        <w:t>Table 2.</w:t>
      </w:r>
      <w:r w:rsidR="00376CBF">
        <w:rPr>
          <w:rFonts w:ascii="Calibri" w:eastAsia="Calibri" w:hAnsi="Calibri" w:cs="Calibri"/>
        </w:rPr>
        <w:t>5</w:t>
      </w:r>
      <w:r w:rsidR="00A81C2C" w:rsidRPr="008A0D57">
        <w:rPr>
          <w:rFonts w:ascii="Calibri" w:eastAsia="Calibri" w:hAnsi="Calibri" w:cs="Calibri"/>
        </w:rPr>
        <w:t xml:space="preserve"> </w:t>
      </w:r>
      <w:r w:rsidR="009A2AC2" w:rsidRPr="008A0D57">
        <w:rPr>
          <w:rFonts w:ascii="Calibri" w:eastAsia="Calibri" w:hAnsi="Calibri" w:cs="Calibri"/>
        </w:rPr>
        <w:t>of</w:t>
      </w:r>
      <w:r w:rsidR="00A81C2C" w:rsidRPr="008A0D57">
        <w:rPr>
          <w:rFonts w:ascii="Calibri" w:eastAsia="Calibri" w:hAnsi="Calibri" w:cs="Calibri"/>
        </w:rPr>
        <w:t xml:space="preserve"> the Supplementary</w:t>
      </w:r>
      <w:r w:rsidR="00A81C2C" w:rsidRPr="00CB1FC4">
        <w:rPr>
          <w:rFonts w:ascii="Calibri" w:eastAsia="Calibri" w:hAnsi="Calibri" w:cs="Calibri"/>
        </w:rPr>
        <w:t xml:space="preserve"> Data file, taken from the REMIND 2.1 integrated assessment model</w:t>
      </w:r>
      <w:r w:rsidR="00A81C2C" w:rsidRPr="00CB1FC4">
        <w:fldChar w:fldCharType="begin" w:fldLock="1"/>
      </w:r>
      <w:r w:rsidR="00FA7E4F">
        <w:instrText xml:space="preserve"> ADDIN ZOTERO_ITEM CSL_CITATION {"citationID":"4h0xaMdR","properties":{"formattedCitation":"\\super 11\\nosupersub{}","plainCitation":"11","noteIndex":0},"citationItems":[{"id":2828,"uris":["http://www.mendeley.com/documents/?uuid=2260f3fa-2f6d-457b-8002-7813d793d4e6","http://zotero.org/users/14213812/items/6ULLLZ53"],"itemData":{"id":2828,"type":"article-journal","abstract":"This paper presents the new and now open-source version 2.1 of the REgional Model of INvestments and Development (REMIND). REMIND, as an integrated assessment model (IAM), provides an integrated view of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from 2005 to 2100. The resulting solution corresponds to the decentralized market outcome under the assumptions of perfect foresight of agents and internalization of external effects. REMIND enables the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 and output variables. Each module can be represented by different realizations, enabling flexible configuration and extension. The spatial resolution of REMIND is flexible and depends on the resolution of the input data. Thus, the framework can be used for a variety of applications in a customized form, balancing requirements for detail and overall runtime and complexity.","container-title":"Geoscientific Model Development","DOI":"10.5194/gmd-14-6571-2021","ISSN":"19919603","issue":"10","page":"6571-6603","title":"REMIND2.1: transformation and innovation dynamics of the energy-economic system within climate and sustainability limits","volume":"14","author":[{"family":"Baumstark","given":"Lavinia"},{"family":"Bauer","given":"Nico"},{"family":"Benke","given":"Falk"},{"family":"Bertram","given":"Christoph"},{"family":"Bi","given":"Stephen"},{"family":"Gong","given":"Chen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schema":"https://github.com/citation-style-language/schema/raw/master/csl-citation.json"} </w:instrText>
      </w:r>
      <w:r w:rsidR="00A81C2C" w:rsidRPr="00CB1FC4">
        <w:fldChar w:fldCharType="separate"/>
      </w:r>
      <w:r w:rsidR="00FA7E4F" w:rsidRPr="00FA7E4F">
        <w:rPr>
          <w:rFonts w:ascii="Calibri" w:hAnsi="Calibri" w:cs="Calibri"/>
          <w:vertAlign w:val="superscript"/>
        </w:rPr>
        <w:t>11</w:t>
      </w:r>
      <w:r w:rsidR="00A81C2C" w:rsidRPr="00CB1FC4">
        <w:fldChar w:fldCharType="end"/>
      </w:r>
      <w:r w:rsidR="00A81C2C" w:rsidRPr="00CB1FC4">
        <w:rPr>
          <w:rFonts w:ascii="Calibri" w:eastAsia="Calibri" w:hAnsi="Calibri" w:cs="Calibri"/>
        </w:rPr>
        <w:t>, SSP2-2.6</w:t>
      </w:r>
      <w:r w:rsidR="00A81C2C" w:rsidRPr="00CB1FC4">
        <w:fldChar w:fldCharType="begin" w:fldLock="1"/>
      </w:r>
      <w:r w:rsidR="00FA7E4F">
        <w:instrText xml:space="preserve"> ADDIN ZOTERO_ITEM CSL_CITATION {"citationID":"W3HzR4oy","properties":{"formattedCitation":"\\super 12\\nosupersub{}","plainCitation":"12","noteIndex":0},"citationItems":[{"id":2201,"uris":["http://www.mendeley.com/documents/?uuid=f660e61b-ae32-32d5-aea8-90dbe8ca9bba","http://zotero.org/users/14213812/items/G9UTKEAS"],"itemData":{"id":2201,"type":"article-journal","abstract":"This paper presents the overview of the Shared Socioeconomic Pathways (SSPs) and their energy, land use, and emissions implications. The SSPs are part of a new scenario framework, established by the climate change research community in order to facilitate the integrated analysis of future climate impacts, vulnerabilities, adaptation, and mitigation. The pathways were developed over the last years as a joint community effort and describe plausible major global developments that together would lead in the future to different challenges for mitigation and adaptation to climate change. The SSPs are based on five narratives describing alternative socio-economic developments, including sustainable development, regional rivalry, inequality, fossil-fueled development, and middle-of-the-road development. The long-term demographic and economic projections of the SSPs depict a wide uncertainty range consistent with the scenario literature. A multi-model approach was used for the elaboration of the energy, land-use and the emissions trajectories of SSP-based scenarios. The baseline scenarios lead to global energy consumption of 400–1200 EJ in 2100, and feature vastly different land-use dynamics, ranging from a possible reduction in cropland area up to a massive expansion by more than 700 million hectares by 2100. The associated annual CO2 emissions of the baseline scenarios range from about 25 GtCO2 to more than 120 GtCO2 per year by 2100. With respect to mitigation, we find that associated costs strongly depend on three factors: (1) the policy assumptions, (2) the socio-economic narrative, and (3) the stringency of the target. The carbon price for reaching the target of 2.6 W/m2 that is consistent with a temperature change limit of 2 °C, differs in our analysis thus by about a factor of three across the SSP marker scenarios. Moreover, many models could not reach this target from the SSPs with high mitigation challenges. While the SSPs were designed to represent different mitigation and adaptation challenges, the resulting narratives and quantifications span a wide range of different futures broadly representative of the current literature. This allows their subsequent use and development in new assessments and research projects. Critical next steps for the community scenario process will, among others, involve regional and sectoral extensions, further elaboration of the adaptation and impacts dimension, as well as employing the SSP scenarios with the new generation of earth system models as part of the 6th climate model intercomparison project (CMIP6).","container-title":"Global Environmental Change","DOI":"10.1016/J.GLOENVCHA.2016.05.009","ISSN":"0959-3780","note":"publisher: Pergamon","page":"153-168","title":"The Shared Socioeconomic Pathways and their energy, land use, and greenhouse gas emissions implications: An overview","volume":"42","author":[{"family":"Riahi","given":"Keywan"},{"family":"Vuuren","given":"Detlef P.","non-dropping-particle":"van"},{"family":"Kriegler","given":"Elmar"},{"family":"Edmonds","given":"Jae"},{"family":"O'Neill","given":"Brian C."},{"family":"Fujimori","given":"Shinichiro"},{"family":"Bauer","given":"Nico"},{"family":"Calvin","given":"Katherine"},{"family":"Dellink","given":"Rob"},{"family":"Fricko","given":"Oliver"},{"family":"Lutz","given":"Wolfgang"},{"family":"Popp","given":"Alexander"},{"family":"Cuaresma","given":"Jesus Crespo"},{"family":"KC","given":"Samir"},{"family":"Leimbach","given":"Marian"},{"family":"Jiang","given":"Leiwen"},{"family":"Kram","given":"Tom"},{"family":"Rao","given":"Shilpa"},{"family":"Emmerling","given":"Johannes"},{"family":"Ebi","given":"Kristie"},{"family":"Hasegawa","given":"Tomoko"},{"family":"Havlik","given":"Petr"},{"family":"Humpenöder","given":"Florian"},{"family":"Da Silva","given":"Lara Aleluia"},{"family":"Smith","given":"Steve"},{"family":"Stehfest","given":"Elke"},{"family":"Bosetti","given":"Valentina"},{"family":"Eom","given":"Jiyong"},{"family":"Gernaat","given":"David"},{"family":"Masui","given":"Toshihiko"},{"family":"Rogelj","given":"Joeri"},{"family":"Strefler","given":"Jessica"},{"family":"Drouet","given":"Laurent"},{"family":"Krey","given":"Volker"},{"family":"Luderer","given":"Gunnar"},{"family":"Harmsen","given":"Mathijs"},{"family":"Takahashi","given":"Kiyoshi"},{"family":"Baumstark","given":"Lavinia"},{"family":"Doelman","given":"Jonathan C."},{"family":"Kainuma","given":"Mikiko"},{"family":"Klimont","given":"Zbigniew"},{"family":"Marangoni","given":"Giacomo"},{"family":"Lotze-Campen","given":"Hermann"},{"family":"Obersteiner","given":"Michael"},{"family":"Tabeau","given":"Andrzej"},{"family":"Tavoni","given":"Massimo"}],"issued":{"date-parts":[["2017",1,1]]}}}],"schema":"https://github.com/citation-style-language/schema/raw/master/csl-citation.json"} </w:instrText>
      </w:r>
      <w:r w:rsidR="00A81C2C" w:rsidRPr="00CB1FC4">
        <w:fldChar w:fldCharType="separate"/>
      </w:r>
      <w:r w:rsidR="00FA7E4F" w:rsidRPr="00FA7E4F">
        <w:rPr>
          <w:rFonts w:ascii="Calibri" w:hAnsi="Calibri" w:cs="Calibri"/>
          <w:vertAlign w:val="superscript"/>
        </w:rPr>
        <w:t>12</w:t>
      </w:r>
      <w:r w:rsidR="00A81C2C" w:rsidRPr="00CB1FC4">
        <w:fldChar w:fldCharType="end"/>
      </w:r>
      <w:r w:rsidR="00A81C2C" w:rsidRPr="00CB1FC4">
        <w:rPr>
          <w:vertAlign w:val="superscript"/>
        </w:rPr>
        <w:t>,</w:t>
      </w:r>
      <w:r w:rsidR="00A81C2C" w:rsidRPr="00CB1FC4">
        <w:fldChar w:fldCharType="begin" w:fldLock="1"/>
      </w:r>
      <w:r w:rsidR="00FA7E4F">
        <w:instrText xml:space="preserve"> ADDIN ZOTERO_ITEM CSL_CITATION {"citationID":"tPH593W7","properties":{"formattedCitation":"\\super 13\\nosupersub{}","plainCitation":"13","noteIndex":0},"citationItems":[{"id":2826,"uris":["http://www.mendeley.com/documents/?uuid=930573e2-4e77-4d56-9545-a81c4da0f9bb","http://zotero.org/users/14213812/items/22JEDCKX"],"itemData":{"id":2826,"type":"article-journal","abstract":"The RCP2.6 emission and concentration pathway is representative of the literature on mitigation scenarios aiming to limit the increase of global mean temperature to 2°C. These scenarios form the low end of the scenario literature in terms of emissions and radiative forcing. They often show negative emissions from energy use in the second half of the 21st century. The RCP2. 6 scenario is shown to be technically feasible in the IMAGE integrated assessment modeling framework from a medium emission baseline scenario, assuming full participation of all countries. Cumulative emissions of greenhouse gases from 2010 to 2100 need to be reduced by 70% compared to a baseline scenario, requiring substantial changes in energy use and emissions of non-CO2 gases. These measures (specifically the use of bio-energy and reforestation measures) also have clear consequences for global land use. Based on the RCP2. 6 scenario, recommendations for further research on low emission scenarios have been formulated. These include the response of the climate system to a radiative forcing peak, the ability of society to achieve the required emission reduction rates given political and social inertia and the possibilities to further reduce emissions of non-CO2 gases. © 2011 The Author(s).","container-title":"Climatic Change","DOI":"10.1007/s10584-011-0152-3","ISSN":"01650009","issue":"1","page":"95-116","title":"RCP2.6: Exploring the possibility to keep global mean temperature increase below 2°C","volume":"109","author":[{"family":"Vuuren","given":"Detlef P.","non-dropping-particle":"van"},{"family":"Stehfest","given":"Elke"},{"family":"Elzen","given":"Michel G.J.","non-dropping-particle":"den"},{"family":"Kram","given":"Tom"},{"family":"Vliet","given":"Jasper","non-dropping-particle":"van"},{"family":"Deetman","given":"Sebastiaan"},{"family":"Isaac","given":"Morna"},{"family":"Goldewijk","given":"Kees Klein"},{"family":"Hof","given":"Andries"},{"family":"Beltran","given":"Angelica Mendoza"},{"family":"Oostenrijk","given":"Rineke"},{"family":"Ruijven","given":"Bas","non-dropping-particle":"van"}],"issued":{"date-parts":[["2011"]]}}}],"schema":"https://github.com/citation-style-language/schema/raw/master/csl-citation.json"} </w:instrText>
      </w:r>
      <w:r w:rsidR="00A81C2C" w:rsidRPr="00CB1FC4">
        <w:fldChar w:fldCharType="separate"/>
      </w:r>
      <w:r w:rsidR="00FA7E4F" w:rsidRPr="00FA7E4F">
        <w:rPr>
          <w:rFonts w:ascii="Calibri" w:hAnsi="Calibri" w:cs="Calibri"/>
          <w:vertAlign w:val="superscript"/>
        </w:rPr>
        <w:t>13</w:t>
      </w:r>
      <w:r w:rsidR="00A81C2C" w:rsidRPr="00CB1FC4">
        <w:fldChar w:fldCharType="end"/>
      </w:r>
      <w:r w:rsidR="00A81C2C" w:rsidRPr="00CB1FC4">
        <w:rPr>
          <w:rFonts w:ascii="Calibri" w:eastAsia="Calibri" w:hAnsi="Calibri" w:cs="Calibri"/>
        </w:rPr>
        <w:t>).</w:t>
      </w:r>
      <w:r w:rsidR="008A0D57">
        <w:rPr>
          <w:rFonts w:ascii="Calibri" w:eastAsia="Calibri" w:hAnsi="Calibri" w:cs="Calibri"/>
        </w:rPr>
        <w:t xml:space="preserve"> </w:t>
      </w:r>
      <w:r w:rsidR="0039736D" w:rsidRPr="00CB1FC4">
        <w:rPr>
          <w:rFonts w:ascii="Calibri" w:eastAsia="Calibri" w:hAnsi="Calibri" w:cs="Calibri"/>
        </w:rPr>
        <w:t>The biomass, biochar</w:t>
      </w:r>
      <w:r w:rsidR="0039736D">
        <w:rPr>
          <w:rFonts w:ascii="Calibri" w:eastAsia="Calibri" w:hAnsi="Calibri" w:cs="Calibri"/>
        </w:rPr>
        <w:t>,</w:t>
      </w:r>
      <w:r w:rsidR="0039736D" w:rsidRPr="00CB1FC4">
        <w:rPr>
          <w:rFonts w:ascii="Calibri" w:eastAsia="Calibri" w:hAnsi="Calibri" w:cs="Calibri"/>
        </w:rPr>
        <w:t xml:space="preserve"> and CO</w:t>
      </w:r>
      <w:r w:rsidR="0039736D" w:rsidRPr="00CB1FC4">
        <w:rPr>
          <w:rFonts w:ascii="Calibri" w:eastAsia="Calibri" w:hAnsi="Calibri" w:cs="Calibri"/>
          <w:vertAlign w:val="subscript"/>
        </w:rPr>
        <w:t>2</w:t>
      </w:r>
      <w:r w:rsidR="0039736D" w:rsidRPr="00CB1FC4">
        <w:rPr>
          <w:rFonts w:ascii="Calibri" w:eastAsia="Calibri" w:hAnsi="Calibri" w:cs="Calibri"/>
        </w:rPr>
        <w:t xml:space="preserve"> transportation distances are compiled in </w:t>
      </w:r>
      <w:r w:rsidR="0039736D" w:rsidRPr="00F86E76">
        <w:rPr>
          <w:rFonts w:ascii="Calibri" w:eastAsia="Calibri" w:hAnsi="Calibri" w:cs="Calibri"/>
        </w:rPr>
        <w:t>Table 1.1</w:t>
      </w:r>
      <w:r w:rsidR="0062048F" w:rsidRPr="00F86E76">
        <w:rPr>
          <w:rFonts w:ascii="Calibri" w:eastAsia="Calibri" w:hAnsi="Calibri" w:cs="Calibri"/>
        </w:rPr>
        <w:t>5</w:t>
      </w:r>
      <w:r w:rsidR="0039736D" w:rsidRPr="00F86E76">
        <w:rPr>
          <w:rFonts w:ascii="Calibri" w:eastAsia="Calibri" w:hAnsi="Calibri" w:cs="Calibri"/>
        </w:rPr>
        <w:t xml:space="preserve"> of </w:t>
      </w:r>
      <w:r w:rsidR="0039736D" w:rsidRPr="00CB1FC4">
        <w:rPr>
          <w:rFonts w:ascii="Calibri" w:eastAsia="Calibri" w:hAnsi="Calibri" w:cs="Calibri"/>
        </w:rPr>
        <w:t>the Supplementary Data file</w:t>
      </w:r>
      <w:r w:rsidR="008A0D57">
        <w:rPr>
          <w:rFonts w:ascii="Calibri" w:eastAsia="Calibri" w:hAnsi="Calibri" w:cs="Calibri"/>
        </w:rPr>
        <w:t>.</w:t>
      </w:r>
    </w:p>
    <w:p w14:paraId="59A4ADA4" w14:textId="5760411A" w:rsidR="0021784E" w:rsidRDefault="00742F23" w:rsidP="00D95820">
      <w:pPr>
        <w:spacing w:line="360" w:lineRule="auto"/>
        <w:jc w:val="both"/>
        <w:rPr>
          <w:rFonts w:ascii="Calibri" w:eastAsia="Calibri" w:hAnsi="Calibri" w:cs="Calibri"/>
        </w:rPr>
      </w:pPr>
      <w:r w:rsidRPr="00BC6034">
        <w:rPr>
          <w:rFonts w:ascii="Calibri" w:eastAsia="Calibri" w:hAnsi="Calibri" w:cs="Calibri"/>
        </w:rPr>
        <w:lastRenderedPageBreak/>
        <w:t>We analyze t</w:t>
      </w:r>
      <w:r w:rsidR="00777539" w:rsidRPr="00BC6034">
        <w:rPr>
          <w:rFonts w:ascii="Calibri" w:eastAsia="Calibri" w:hAnsi="Calibri" w:cs="Calibri"/>
        </w:rPr>
        <w:t>wo</w:t>
      </w:r>
      <w:r w:rsidRPr="00BC6034">
        <w:rPr>
          <w:rFonts w:ascii="Calibri" w:eastAsia="Calibri" w:hAnsi="Calibri" w:cs="Calibri"/>
        </w:rPr>
        <w:t xml:space="preserve"> end uses for the produced biochar: application to the </w:t>
      </w:r>
      <w:r w:rsidRPr="004D3548">
        <w:rPr>
          <w:rFonts w:ascii="Calibri" w:eastAsia="Calibri" w:hAnsi="Calibri" w:cs="Calibri"/>
        </w:rPr>
        <w:t>soil of the biomass plantation or use as an aggregate in building materials</w:t>
      </w:r>
      <w:r w:rsidR="00635CC6" w:rsidRPr="004D3548">
        <w:rPr>
          <w:rFonts w:ascii="Calibri" w:eastAsia="Calibri" w:hAnsi="Calibri" w:cs="Calibri"/>
        </w:rPr>
        <w:t xml:space="preserve">. </w:t>
      </w:r>
      <w:r w:rsidR="00A510B3" w:rsidRPr="004D3548">
        <w:rPr>
          <w:rFonts w:ascii="Calibri" w:eastAsia="Calibri" w:hAnsi="Calibri" w:cs="Calibri"/>
        </w:rPr>
        <w:t>In t</w:t>
      </w:r>
      <w:r w:rsidR="00635CC6" w:rsidRPr="004D3548">
        <w:rPr>
          <w:rFonts w:ascii="Calibri" w:eastAsia="Calibri" w:hAnsi="Calibri" w:cs="Calibri"/>
        </w:rPr>
        <w:t>he latter</w:t>
      </w:r>
      <w:r w:rsidR="00A510B3" w:rsidRPr="004D3548">
        <w:rPr>
          <w:rFonts w:ascii="Calibri" w:eastAsia="Calibri" w:hAnsi="Calibri" w:cs="Calibri"/>
        </w:rPr>
        <w:t>, we consider that the biogenic carbon remains sequestered during the</w:t>
      </w:r>
      <w:r w:rsidR="00331345" w:rsidRPr="004D3548">
        <w:rPr>
          <w:rFonts w:ascii="Calibri" w:eastAsia="Calibri" w:hAnsi="Calibri" w:cs="Calibri"/>
        </w:rPr>
        <w:t xml:space="preserve"> entire studied timeframe. </w:t>
      </w:r>
      <w:r w:rsidR="000E1D83" w:rsidRPr="004D3548">
        <w:rPr>
          <w:rFonts w:ascii="Calibri" w:eastAsia="Calibri" w:hAnsi="Calibri" w:cs="Calibri"/>
        </w:rPr>
        <w:t xml:space="preserve">By contrast, </w:t>
      </w:r>
      <w:r w:rsidR="0018467D" w:rsidRPr="004D3548">
        <w:rPr>
          <w:rFonts w:ascii="Calibri" w:eastAsia="Calibri" w:hAnsi="Calibri" w:cs="Calibri"/>
        </w:rPr>
        <w:t>t</w:t>
      </w:r>
      <w:r w:rsidR="00917AFA" w:rsidRPr="004D3548">
        <w:t>he</w:t>
      </w:r>
      <w:r w:rsidR="004F5565" w:rsidRPr="004D3548">
        <w:t xml:space="preserve"> biochar </w:t>
      </w:r>
      <w:r w:rsidR="00917AFA" w:rsidRPr="004D3548">
        <w:t>carbon is mineralized at a rate of 0.28 (0.18, 0.37)%/year</w:t>
      </w:r>
      <w:r w:rsidR="00917AFA" w:rsidRPr="004D3548">
        <w:fldChar w:fldCharType="begin" w:fldLock="1"/>
      </w:r>
      <w:r w:rsidR="00971A76">
        <w:instrText xml:space="preserve"> ADDIN ZOTERO_ITEM CSL_CITATION {"citationID":"ONXshTix","properties":{"formattedCitation":"\\super 94\\nosupersub{}","plainCitation":"94","noteIndex":0},"citationItems":[{"id":2559,"uris":["http://www.mendeley.com/documents/?uuid=eb156fc5-eed8-44c3-b681-bc10035b7f64","http://zotero.org/users/14213812/items/CU9VL8BU"],"itemData":{"id":2559,"type":"article-journal","abstract":"Stabilizing the global climate within safe bounds will require greenhouse gas (GHG) emissions to reach net zero within a few decades. Achieving this is expected to require removal of CO2from the atmosphere to offset some hard-to-eliminate emissions. There is, therefore, a clear need for GHG accounting protocols that quantify the mitigation impact of CO2removal practices, such as biochar sequestration, that have the potential to be deployed at scale. Here, we have developed a GHG accounting methodology for biochar application to mineral soils using simple parameterizations and readily accessible activity data that can be applied at a range of scales including farm, supply chain, national, or global. The method is grounded in a comprehensive analysis of current empirical data, making it a robust method that can be used for many applications including national inventories and voluntary and compliance carbon markets, among others. We show that the carbon content of biochar varies with feedstock and production conditions from as low as 7% (gasification of biosolids) to 79% (pyrolysis of wood at above 600 °C). Of this initial carbon, 63-82% will remain unmineralized in soil after 100 years at the global mean annual cropland-temperature of 14.9 °C. With this method, researchers and managers can address the long-term sequestration of C through biochar that is blended with soils through assessments such as GHG inventories and life cycle analyses.","container-title":"Environmental Science and Technology","DOI":"10.1021/acs.est.1c02425","ISSN":"15205851","issue":"21","note":"PMID: 34637286","page":"14795-14805","title":"Greenhouse Gas Inventory Model for Biochar Additions to Soil","volume":"55","author":[{"family":"Woolf","given":"Dominic"},{"family":"Lehmann","given":"Johannes"},{"family":"Ogle","given":"Stephen"},{"family":"Kishimoto-Mo","given":"Ayaka W."},{"family":"McConkey","given":"Brian"},{"family":"Baldock","given":"Jeffrey"}],"issued":{"date-parts":[["2021"]]}}}],"schema":"https://github.com/citation-style-language/schema/raw/master/csl-citation.json"} </w:instrText>
      </w:r>
      <w:r w:rsidR="00917AFA" w:rsidRPr="004D3548">
        <w:fldChar w:fldCharType="separate"/>
      </w:r>
      <w:r w:rsidR="00971A76" w:rsidRPr="00971A76">
        <w:rPr>
          <w:rFonts w:ascii="Calibri" w:hAnsi="Calibri" w:cs="Calibri"/>
          <w:vertAlign w:val="superscript"/>
        </w:rPr>
        <w:t>94</w:t>
      </w:r>
      <w:r w:rsidR="00917AFA" w:rsidRPr="004D3548">
        <w:fldChar w:fldCharType="end"/>
      </w:r>
      <w:r w:rsidR="004F5565" w:rsidRPr="004D3548">
        <w:t xml:space="preserve"> in the soil amendment scenarios, </w:t>
      </w:r>
      <w:r w:rsidR="00B86525" w:rsidRPr="004D3548">
        <w:t xml:space="preserve">where </w:t>
      </w:r>
      <w:r w:rsidR="00B64C13" w:rsidRPr="004D3548">
        <w:t xml:space="preserve">the </w:t>
      </w:r>
      <w:r w:rsidR="003102DA" w:rsidRPr="004D3548">
        <w:t xml:space="preserve">application of </w:t>
      </w:r>
      <w:r w:rsidR="00934D8C" w:rsidRPr="004D3548">
        <w:rPr>
          <w:rFonts w:ascii="Calibri" w:eastAsia="Calibri" w:hAnsi="Calibri" w:cs="Calibri"/>
        </w:rPr>
        <w:t xml:space="preserve">biochar </w:t>
      </w:r>
      <w:r w:rsidR="003102DA" w:rsidRPr="004D3548">
        <w:rPr>
          <w:rFonts w:ascii="Calibri" w:eastAsia="Calibri" w:hAnsi="Calibri" w:cs="Calibri"/>
        </w:rPr>
        <w:t xml:space="preserve">along with inorganic fertilizers </w:t>
      </w:r>
      <w:r w:rsidR="00934D8C" w:rsidRPr="004D3548">
        <w:rPr>
          <w:rFonts w:ascii="Calibri" w:eastAsia="Calibri" w:hAnsi="Calibri" w:cs="Calibri"/>
        </w:rPr>
        <w:t>improves the</w:t>
      </w:r>
      <w:r w:rsidR="008E21A9" w:rsidRPr="004D3548">
        <w:rPr>
          <w:rFonts w:ascii="Calibri" w:eastAsia="Calibri" w:hAnsi="Calibri" w:cs="Calibri"/>
        </w:rPr>
        <w:t xml:space="preserve"> biomass yield</w:t>
      </w:r>
      <w:r w:rsidR="00955C4C" w:rsidRPr="004D3548">
        <w:rPr>
          <w:rFonts w:ascii="Calibri" w:eastAsia="Calibri" w:hAnsi="Calibri" w:cs="Calibri"/>
        </w:rPr>
        <w:t xml:space="preserve"> by </w:t>
      </w:r>
      <w:r w:rsidR="002332F9" w:rsidRPr="004D3548">
        <w:rPr>
          <w:rFonts w:ascii="Calibri" w:eastAsia="Calibri" w:hAnsi="Calibri" w:cs="Calibri"/>
        </w:rPr>
        <w:t>9.85% (</w:t>
      </w:r>
      <w:r w:rsidR="00CD3668" w:rsidRPr="004D3548">
        <w:rPr>
          <w:rFonts w:ascii="Calibri" w:eastAsia="Calibri" w:hAnsi="Calibri" w:cs="Calibri"/>
        </w:rPr>
        <w:t xml:space="preserve">95% confidence interval: </w:t>
      </w:r>
      <w:r w:rsidR="0047647F" w:rsidRPr="004D3548">
        <w:rPr>
          <w:rFonts w:ascii="Calibri" w:eastAsia="Calibri" w:hAnsi="Calibri" w:cs="Calibri"/>
        </w:rPr>
        <w:t>5.3-14.4%)</w:t>
      </w:r>
      <w:r w:rsidR="002918A2" w:rsidRPr="004D3548">
        <w:rPr>
          <w:rFonts w:ascii="Calibri" w:eastAsia="Calibri" w:hAnsi="Calibri" w:cs="Calibri"/>
        </w:rPr>
        <w:fldChar w:fldCharType="begin"/>
      </w:r>
      <w:r w:rsidR="00971A76">
        <w:rPr>
          <w:rFonts w:ascii="Calibri" w:eastAsia="Calibri" w:hAnsi="Calibri" w:cs="Calibri"/>
        </w:rPr>
        <w:instrText xml:space="preserve"> ADDIN ZOTERO_ITEM CSL_CITATION {"citationID":"xx1cK4Tq","properties":{"formattedCitation":"\\super 95\\nosupersub{}","plainCitation":"95","noteIndex":0},"citationItems":[{"id":3312,"uris":["http://zotero.org/users/14213812/items/AMA8CT77"],"itemData":{"id":3312,"type":"article-journal","abstract":"The added value of biochar when applied along with fertilizers, beyond that of the fertilizers themselves, has not been summarized. Focusing on direct comparisons between biochar additions (≤20 t ha−1) – separately considering the addition or not of inorganic fertilizers (IF) and/or organic amendments (OA) along with biochar – and two different controls (with and without the addition of IF and/or OA), we carried out a meta-analysis to explain short-term (1-year) field responses in crop yield across different climates, soils, biochars and management practices worldwide. Compared with the non-fertilized control, a 26% (CI: 15%–40%) increase in yield was observed with the use of IF only, whereas that of biochar along with IF caused a 48% (CI: 30%–70%) increase. Compared with the use of IF only, the addition of biochar along with IF caused a 15% (CI: 11%–19%) increase in yield, indicating that biochar was as effective as fertilizers in increasing crop yields when added in combination. The use of biochar alone did not increase crop yield regardless of the control considered. Whereas in the short term, liming may have partly contributed to the beneficial effect of biochar (&gt;90% was plant-derived) when added along with IF, a separate meta-analysis – using those studies that reported crop yields for different years after a single biochar application – showed a 31% (CI: 17%–49%) increase in crop yield over time (≥ 3 years), which denotes the influence of biochar properties other than liming (i.e. an increase in CEC). Our results also suggest that biochar application rates &gt; 10 t ha−1 do not contribute to greater crop yield (at least in the short term). Data limitations precluded identification of the influence of feedstock, production conditions or climatic conditions without bias. As the response of crop yield to biochar addition was less a result of climatic zones or soil type than fertilizer use (chiefly N additions), the choice of nutrient addition along with biochar should be priorities for future research and development regardless of the region.","container-title":"Soil Use and Management","DOI":"10.1111/sum.12546","ISSN":"1475-2743","issue":"1","language":"en","license":"© 2019 British Society of Soil Science","note":"_eprint: https://onlinelibrary.wiley.com/doi/pdf/10.1111/sum.12546","page":"2-18","source":"Wiley Online Library","title":"Biochar effects on crop yields with and without fertilizer: A meta-analysis of field studies using separate controls","title-short":"Biochar effects on crop yields with and without fertilizer","volume":"36","author":[{"family":"Ye","given":"Lili"},{"family":"Camps-Arbestain","given":"Marta"},{"family":"Shen","given":"Qinhua"},{"family":"Lehmann","given":"Johannes"},{"family":"Singh","given":"Balwant"},{"family":"Sabir","given":"Muhammad"}],"issued":{"date-parts":[["2020"]]}}}],"schema":"https://github.com/citation-style-language/schema/raw/master/csl-citation.json"} </w:instrText>
      </w:r>
      <w:r w:rsidR="002918A2" w:rsidRPr="004D3548">
        <w:rPr>
          <w:rFonts w:ascii="Calibri" w:eastAsia="Calibri" w:hAnsi="Calibri" w:cs="Calibri"/>
        </w:rPr>
        <w:fldChar w:fldCharType="separate"/>
      </w:r>
      <w:r w:rsidR="00971A76" w:rsidRPr="00971A76">
        <w:rPr>
          <w:rFonts w:ascii="Calibri" w:hAnsi="Calibri" w:cs="Calibri"/>
          <w:vertAlign w:val="superscript"/>
        </w:rPr>
        <w:t>95</w:t>
      </w:r>
      <w:r w:rsidR="002918A2" w:rsidRPr="004D3548">
        <w:rPr>
          <w:rFonts w:ascii="Calibri" w:eastAsia="Calibri" w:hAnsi="Calibri" w:cs="Calibri"/>
        </w:rPr>
        <w:fldChar w:fldCharType="end"/>
      </w:r>
      <w:r w:rsidR="003102DA" w:rsidRPr="004D3548">
        <w:rPr>
          <w:rFonts w:ascii="Calibri" w:eastAsia="Calibri" w:hAnsi="Calibri" w:cs="Calibri"/>
        </w:rPr>
        <w:t xml:space="preserve"> relative to a scenario where only inorganic fertilizers are applied</w:t>
      </w:r>
      <w:r w:rsidR="00666386" w:rsidRPr="004D3548">
        <w:rPr>
          <w:rFonts w:ascii="Calibri" w:eastAsia="Calibri" w:hAnsi="Calibri" w:cs="Calibri"/>
        </w:rPr>
        <w:t xml:space="preserve">. </w:t>
      </w:r>
      <w:r w:rsidR="00D5045F" w:rsidRPr="004D3548">
        <w:rPr>
          <w:rFonts w:ascii="Calibri" w:eastAsia="Calibri" w:hAnsi="Calibri" w:cs="Calibri"/>
        </w:rPr>
        <w:t xml:space="preserve"> </w:t>
      </w:r>
      <w:r w:rsidR="003D58B0" w:rsidRPr="004D3548">
        <w:rPr>
          <w:rFonts w:ascii="Calibri" w:eastAsia="Calibri" w:hAnsi="Calibri" w:cs="Calibri"/>
        </w:rPr>
        <w:t xml:space="preserve">This increase in yield is translated into </w:t>
      </w:r>
      <w:r w:rsidR="008875A8" w:rsidRPr="004D3548">
        <w:rPr>
          <w:rFonts w:ascii="Calibri" w:eastAsia="Calibri" w:hAnsi="Calibri" w:cs="Calibri"/>
        </w:rPr>
        <w:t>a reduction in the i</w:t>
      </w:r>
      <w:r w:rsidR="00D86E1E" w:rsidRPr="004D3548">
        <w:rPr>
          <w:rFonts w:ascii="Calibri" w:eastAsia="Calibri" w:hAnsi="Calibri" w:cs="Calibri"/>
        </w:rPr>
        <w:t xml:space="preserve">nputs (fertilizers, land, water, etc.) </w:t>
      </w:r>
      <w:r w:rsidR="008875A8" w:rsidRPr="004D3548">
        <w:rPr>
          <w:rFonts w:ascii="Calibri" w:eastAsia="Calibri" w:hAnsi="Calibri" w:cs="Calibri"/>
        </w:rPr>
        <w:t xml:space="preserve">required to </w:t>
      </w:r>
      <w:r w:rsidR="00D34E2A" w:rsidRPr="004D3548">
        <w:rPr>
          <w:rFonts w:ascii="Calibri" w:eastAsia="Calibri" w:hAnsi="Calibri" w:cs="Calibri"/>
        </w:rPr>
        <w:t>grow the energy crops</w:t>
      </w:r>
      <w:r w:rsidR="00D34E2A" w:rsidRPr="00FC2501">
        <w:rPr>
          <w:rFonts w:ascii="Calibri" w:eastAsia="Calibri" w:hAnsi="Calibri" w:cs="Calibri"/>
        </w:rPr>
        <w:t>.</w:t>
      </w:r>
      <w:r w:rsidR="00D34E2A">
        <w:rPr>
          <w:rFonts w:ascii="Calibri" w:eastAsia="Calibri" w:hAnsi="Calibri" w:cs="Calibri"/>
        </w:rPr>
        <w:t xml:space="preserve"> </w:t>
      </w:r>
      <w:r w:rsidR="001D4004">
        <w:rPr>
          <w:rFonts w:ascii="Calibri" w:eastAsia="Calibri" w:hAnsi="Calibri" w:cs="Calibri"/>
        </w:rPr>
        <w:t>We estimate the</w:t>
      </w:r>
      <w:r w:rsidR="003C3244">
        <w:rPr>
          <w:rFonts w:ascii="Calibri" w:eastAsia="Calibri" w:hAnsi="Calibri" w:cs="Calibri"/>
        </w:rPr>
        <w:t xml:space="preserve"> forest plantation </w:t>
      </w:r>
      <w:r w:rsidR="007475F7">
        <w:rPr>
          <w:rFonts w:ascii="Calibri" w:eastAsia="Calibri" w:hAnsi="Calibri" w:cs="Calibri"/>
        </w:rPr>
        <w:t xml:space="preserve">area </w:t>
      </w:r>
      <w:r w:rsidR="003C3244">
        <w:rPr>
          <w:rFonts w:ascii="Calibri" w:eastAsia="Calibri" w:hAnsi="Calibri" w:cs="Calibri"/>
        </w:rPr>
        <w:t xml:space="preserve">over which the biochar derived from forest residues is </w:t>
      </w:r>
      <w:r w:rsidR="007475F7">
        <w:rPr>
          <w:rFonts w:ascii="Calibri" w:eastAsia="Calibri" w:hAnsi="Calibri" w:cs="Calibri"/>
        </w:rPr>
        <w:t xml:space="preserve">applied </w:t>
      </w:r>
      <w:r w:rsidR="006E0540">
        <w:rPr>
          <w:rFonts w:ascii="Calibri" w:eastAsia="Calibri" w:hAnsi="Calibri" w:cs="Calibri"/>
        </w:rPr>
        <w:t xml:space="preserve">considering a </w:t>
      </w:r>
      <w:r w:rsidR="00D218BD">
        <w:rPr>
          <w:rFonts w:ascii="Calibri" w:eastAsia="Calibri" w:hAnsi="Calibri" w:cs="Calibri"/>
        </w:rPr>
        <w:t xml:space="preserve">plantation </w:t>
      </w:r>
      <w:r w:rsidR="00AC12DD">
        <w:rPr>
          <w:rFonts w:ascii="Calibri" w:eastAsia="Calibri" w:hAnsi="Calibri" w:cs="Calibri"/>
        </w:rPr>
        <w:t xml:space="preserve">lifetime of 30 years, </w:t>
      </w:r>
      <w:r w:rsidR="00D218BD">
        <w:rPr>
          <w:rFonts w:ascii="Calibri" w:eastAsia="Calibri" w:hAnsi="Calibri" w:cs="Calibri"/>
        </w:rPr>
        <w:t xml:space="preserve">standing stock of 93 t/ha </w:t>
      </w:r>
      <w:r w:rsidR="003E45BB">
        <w:rPr>
          <w:rFonts w:ascii="Calibri" w:eastAsia="Calibri" w:hAnsi="Calibri" w:cs="Calibri"/>
        </w:rPr>
        <w:t>and a residue generation factor of 0.3</w:t>
      </w:r>
      <w:r w:rsidR="0049642B">
        <w:rPr>
          <w:rFonts w:ascii="Times New Roman" w:hAnsi="Times New Roman" w:cs="Times New Roman"/>
          <w:iCs/>
        </w:rPr>
        <w:fldChar w:fldCharType="begin"/>
      </w:r>
      <w:r w:rsidR="00B4317C">
        <w:rPr>
          <w:rFonts w:ascii="Times New Roman" w:hAnsi="Times New Roman" w:cs="Times New Roman"/>
          <w:iCs/>
        </w:rPr>
        <w:instrText xml:space="preserve"> ADDIN ZOTERO_ITEM CSL_CITATION {"citationID":"IfepdvTW","properties":{"formattedCitation":"\\super 54\\nosupersub{}","plainCitation":"54","noteIndex":0},"citationItems":[{"id":"z2fanENt/Xfnq5Bhe","uris":["http://zotero.org/users/local/lhmAtxw2/items/PSQ9BZXY"],"itemData":{"id":3042,"type":"article-journal","abstract":"Many climate change mitigation strategies rely on strong projected growth in biomass energy, supported by literature estimating high future bioenergy potential. However, expectations to 2050 are highly divergent. Examining the most widely cited studies ﬁnds that some assumptions in these models are inconsistent with the best available evidence. By identifying literature-supported, up-to-date assumptions for parameters including crop yields, land availability, and costs, we revise upper-end estimates of potential biomass availability from dedicated energy crops. Even allowing for the conversion of virtually all ‘unused’ grassland and savannah, we ﬁnd that the maximum plausible limit to sustainable energy crop production in 2050 would be 40–110 EJ yrÀ1. Combined with forestry, crop residues, and wastes, the maximum limit to long-term total biomass availability is 60–120 EJ yrÀ1 in primary energy. After accounting for current trends in bioenergy allocation and conversion losses, we estimate maximum potentials of 10–20 EJ yrÀ1 of biofuel, 20–40 EJ yrÀ1 of electricity, and 10–30 EJ yrÀ1 of heating in 2050. These ﬁndings suggest that many technical projections and aspirational goals for future bioenergy use could be difﬁcult or impossible to achieve sustainably.","container-title":"GCB Bioenergy","DOI":"10.1111/gcbb.12141","ISSN":"1757-1693, 1757-1707","issue":"2","journalAbbreviation":"GCB Bioenergy","language":"en","page":"328-336","source":"DOI.org (Crossref)","title":"A reassessment of global bioenergy potential in 2050","volume":"7","author":[{"family":"Searle","given":"Stephanie"},{"family":"Malins","given":"Chris"}],"issued":{"date-parts":[["2015",3]]}}}],"schema":"https://github.com/citation-style-language/schema/raw/master/csl-citation.json"} </w:instrText>
      </w:r>
      <w:r w:rsidR="0049642B">
        <w:rPr>
          <w:rFonts w:ascii="Times New Roman" w:hAnsi="Times New Roman" w:cs="Times New Roman"/>
          <w:iCs/>
        </w:rPr>
        <w:fldChar w:fldCharType="separate"/>
      </w:r>
      <w:r w:rsidR="00971A76" w:rsidRPr="00971A76">
        <w:rPr>
          <w:rFonts w:ascii="Times New Roman" w:hAnsi="Times New Roman" w:cs="Times New Roman"/>
          <w:vertAlign w:val="superscript"/>
        </w:rPr>
        <w:t>54</w:t>
      </w:r>
      <w:r w:rsidR="0049642B">
        <w:rPr>
          <w:rFonts w:ascii="Times New Roman" w:hAnsi="Times New Roman" w:cs="Times New Roman"/>
          <w:iCs/>
        </w:rPr>
        <w:fldChar w:fldCharType="end"/>
      </w:r>
      <w:r w:rsidR="00AC12DD">
        <w:rPr>
          <w:rFonts w:ascii="Calibri" w:eastAsia="Calibri" w:hAnsi="Calibri" w:cs="Calibri"/>
        </w:rPr>
        <w:t xml:space="preserve">. </w:t>
      </w:r>
      <w:r w:rsidR="001A2B19" w:rsidRPr="00623D77">
        <w:rPr>
          <w:rFonts w:ascii="Calibri" w:eastAsia="Calibri" w:hAnsi="Calibri" w:cs="Calibri"/>
        </w:rPr>
        <w:t>Our analysis does</w:t>
      </w:r>
      <w:r w:rsidR="003F65D0" w:rsidRPr="00623D77">
        <w:rPr>
          <w:rFonts w:ascii="Calibri" w:eastAsia="Calibri" w:hAnsi="Calibri" w:cs="Calibri"/>
        </w:rPr>
        <w:t xml:space="preserve"> not consider</w:t>
      </w:r>
      <w:r w:rsidR="005705A2" w:rsidRPr="00623D77">
        <w:rPr>
          <w:rFonts w:ascii="Calibri" w:eastAsia="Calibri" w:hAnsi="Calibri" w:cs="Calibri"/>
        </w:rPr>
        <w:t xml:space="preserve"> </w:t>
      </w:r>
      <w:r w:rsidR="00126422" w:rsidRPr="00623D77">
        <w:rPr>
          <w:rFonts w:ascii="Calibri" w:eastAsia="Calibri" w:hAnsi="Calibri" w:cs="Calibri"/>
        </w:rPr>
        <w:t>the effects of</w:t>
      </w:r>
      <w:r w:rsidR="00543450" w:rsidRPr="00623D77">
        <w:rPr>
          <w:rFonts w:ascii="Calibri" w:eastAsia="Calibri" w:hAnsi="Calibri" w:cs="Calibri"/>
        </w:rPr>
        <w:t xml:space="preserve"> the biomass plantation o</w:t>
      </w:r>
      <w:r w:rsidR="00970EF8" w:rsidRPr="00623D77">
        <w:rPr>
          <w:rFonts w:ascii="Calibri" w:eastAsia="Calibri" w:hAnsi="Calibri" w:cs="Calibri"/>
        </w:rPr>
        <w:t>r</w:t>
      </w:r>
      <w:r w:rsidR="00543450" w:rsidRPr="00623D77">
        <w:rPr>
          <w:rFonts w:ascii="Calibri" w:eastAsia="Calibri" w:hAnsi="Calibri" w:cs="Calibri"/>
        </w:rPr>
        <w:t xml:space="preserve"> the biochar application </w:t>
      </w:r>
      <w:r w:rsidR="00126422" w:rsidRPr="00623D77">
        <w:rPr>
          <w:rFonts w:ascii="Calibri" w:eastAsia="Calibri" w:hAnsi="Calibri" w:cs="Calibri"/>
        </w:rPr>
        <w:t>on</w:t>
      </w:r>
      <w:r w:rsidR="005705A2" w:rsidRPr="00623D77">
        <w:rPr>
          <w:rFonts w:ascii="Calibri" w:eastAsia="Calibri" w:hAnsi="Calibri" w:cs="Calibri"/>
        </w:rPr>
        <w:t xml:space="preserve"> the</w:t>
      </w:r>
      <w:r w:rsidR="00FB5AE3">
        <w:rPr>
          <w:rFonts w:ascii="Calibri" w:eastAsia="Calibri" w:hAnsi="Calibri" w:cs="Calibri"/>
        </w:rPr>
        <w:t xml:space="preserve"> land</w:t>
      </w:r>
      <w:r w:rsidR="00970EF8" w:rsidRPr="00623D77">
        <w:rPr>
          <w:rFonts w:ascii="Calibri" w:eastAsia="Calibri" w:hAnsi="Calibri" w:cs="Calibri"/>
        </w:rPr>
        <w:t xml:space="preserve"> surface albed</w:t>
      </w:r>
      <w:r w:rsidR="001A2B19" w:rsidRPr="00623D77">
        <w:rPr>
          <w:rFonts w:ascii="Calibri" w:eastAsia="Calibri" w:hAnsi="Calibri" w:cs="Calibri"/>
        </w:rPr>
        <w:t>o</w:t>
      </w:r>
      <w:r w:rsidR="00126422" w:rsidRPr="00623D77">
        <w:rPr>
          <w:rFonts w:ascii="Calibri" w:eastAsia="Calibri" w:hAnsi="Calibri" w:cs="Calibri"/>
        </w:rPr>
        <w:t xml:space="preserve">, </w:t>
      </w:r>
      <w:r w:rsidR="00557CBF" w:rsidRPr="00623D77">
        <w:rPr>
          <w:rFonts w:ascii="Calibri" w:eastAsia="Calibri" w:hAnsi="Calibri" w:cs="Calibri"/>
        </w:rPr>
        <w:t xml:space="preserve">which could </w:t>
      </w:r>
      <w:r w:rsidR="00E45D2D">
        <w:rPr>
          <w:rFonts w:ascii="Calibri" w:eastAsia="Calibri" w:hAnsi="Calibri" w:cs="Calibri"/>
        </w:rPr>
        <w:t>substantially affect</w:t>
      </w:r>
      <w:r w:rsidR="00557CBF" w:rsidRPr="00623D77">
        <w:rPr>
          <w:rFonts w:ascii="Calibri" w:eastAsia="Calibri" w:hAnsi="Calibri" w:cs="Calibri"/>
        </w:rPr>
        <w:t xml:space="preserve"> </w:t>
      </w:r>
      <w:r w:rsidR="00EE34F9" w:rsidRPr="00623D77">
        <w:rPr>
          <w:rFonts w:ascii="Calibri" w:eastAsia="Calibri" w:hAnsi="Calibri" w:cs="Calibri"/>
        </w:rPr>
        <w:t xml:space="preserve">the </w:t>
      </w:r>
      <w:r w:rsidR="00010A87">
        <w:rPr>
          <w:rFonts w:ascii="Calibri" w:eastAsia="Calibri" w:hAnsi="Calibri" w:cs="Calibri"/>
        </w:rPr>
        <w:t xml:space="preserve">net </w:t>
      </w:r>
      <w:r w:rsidR="00EE34F9" w:rsidRPr="00623D77">
        <w:rPr>
          <w:rFonts w:ascii="Calibri" w:eastAsia="Calibri" w:hAnsi="Calibri" w:cs="Calibri"/>
        </w:rPr>
        <w:t>cooling effect of CDR</w:t>
      </w:r>
      <w:r w:rsidR="00B61C43" w:rsidRPr="00623D77">
        <w:rPr>
          <w:rFonts w:ascii="Calibri" w:eastAsia="Calibri" w:hAnsi="Calibri" w:cs="Calibri"/>
        </w:rPr>
        <w:fldChar w:fldCharType="begin" w:fldLock="1"/>
      </w:r>
      <w:r w:rsidR="00971A76">
        <w:rPr>
          <w:rFonts w:ascii="Calibri" w:eastAsia="Calibri" w:hAnsi="Calibri" w:cs="Calibri"/>
        </w:rPr>
        <w:instrText xml:space="preserve"> ADDIN ZOTERO_ITEM CSL_CITATION {"citationID":"Z3APo3A4","properties":{"formattedCitation":"\\super 96,97\\nosupersub{}","plainCitation":"96,97","noteIndex":0},"citationItems":[{"id":2138,"uris":["http://www.mendeley.com/documents/?uuid=89436943-f9b5-38a5-b9a6-6be205f1d013","http://zotero.org/users/14213812/items/B8J4UJQU"],"itemData":{"id":2138,"type":"article-journal","abstract":"The agronomic use of charcoal from biomass pyrolysis (biochar) represents an interesting option for increasing soil fertility and sequestering atmospheric CO2. However, before moving toward large-scale biochar applications, additional research must evaluate all possible landatmosphere feedbacks. Despite the increasing number of studies investigating the effect of biochar on soil physical, chemical and biological properties, only a few have been done on surface albedo variations on agricultural lands. The present work had the aim of characterizing the annual albedo cycle for a durum wheat crop in Central Italy, by means of a spectroradiometer measurement campaign. Plots treated with biochar, at a rate of 3060tha-1, showed a surface albedo decrease of up to 80% (after the application) with respect to the control in bare soil conditions, while this difference tended to decrease during the crop growing season, because of the prevailing effect of canopy development on the radiometer response. After the post-harvesting tillage, the soil treated with biochar again showed a lower surface albedo value (&lt;2026% than the control), while the measurements taken in the second year after application suggested a clear decrease of biochar influence on soil color. The modeling of the surface energy balance highlighted changes in the partitioning of heat fluxes and in particular a substantial increase of ground heat fluxes on an annual basis. © 2012 IOP Publishing Ltd.","container-title":"Environmental Research Letters","DOI":"10.1088/1748-9326/7/1/014025","note":"publisher: Institute of Physics Publishing","page":"014025","title":"Surface albedo following biochar application in durum wheat","volume":"7","author":[{"family":"Genesio","given":"L."},{"family":"Miglietta","given":"F."},{"family":"Lugato","given":"E."},{"family":"Baronti","given":"S."},{"family":"Pieri","given":"M."},{"family":"Vaccari","given":"F. P."}],"issued":{"date-parts":[["2012"]]}}},{"id":2136,"uris":["http://www.mendeley.com/documents/?uuid=4cdbb6fe-52cd-3083-8ddc-6b5d172046bd","http://zotero.org/users/14213812/items/CYARZGEJ"],"itemData":{"id":2136,"type":"article-journal","abstract":"Biochar application to agricultural soils can change the surface albedo which could counteract the climate mitigation benefit of biochar systems. However, the size of this impact has not yet been quantified. Based on empirical albedo measurements and literature data of arable soils mixed with biochar, a model for annual vegetation cover development based on satellite data and an assessment of the annual development of surface humidity, an average mean annual albedo reduction of 0.05 has been calculated for applying 30-32 Mg ha -1 biochar on a test field near Bayreuth, Germany. The impact of biochar production and application on the carbon cycle and on the soil albedo was integrated into the greenhouse gas (GHG) balance of a modeled pyrolysis based biochar system via the computation of global warming potential (GWP) characterization factors. The analysis resulted in a reduction of the overall climate mitigation benefit of biochar systems by 13-22% due to the albedo change as compared to an analysis which disregards the albedo effect. Comparing the use of the same quantity of biomass in a biochar system to a bioenergy district heating system which replaces natural gas combustion, bioenergy heating systems achieve 99-119% of the climate benefit of biochar systems according to the model calculation. © 2012 American Chemical Society.","container-title":"Environmental Science and Technology","DOI":"10.1021/ES302302G","issue":"22","note":"publisher: American Chemical Society","page":"12726-12734","title":"Albedo impact on the suitability of biochar systems to mitigate global warming","volume":"46","author":[{"family":"Meyer","given":"Sebastian"},{"family":"Bright","given":"Ryan M."},{"family":"Fischer","given":"Daniel"},{"family":"Schulz","given":"Hardy"},{"family":"Glaser","given":"Bruno"}],"issued":{"date-parts":[["2012",11,20]]}}}],"schema":"https://github.com/citation-style-language/schema/raw/master/csl-citation.json"} </w:instrText>
      </w:r>
      <w:r w:rsidR="00B61C43" w:rsidRPr="00623D77">
        <w:rPr>
          <w:rFonts w:ascii="Calibri" w:eastAsia="Calibri" w:hAnsi="Calibri" w:cs="Calibri"/>
        </w:rPr>
        <w:fldChar w:fldCharType="separate"/>
      </w:r>
      <w:r w:rsidR="00971A76" w:rsidRPr="00971A76">
        <w:rPr>
          <w:rFonts w:ascii="Calibri" w:hAnsi="Calibri" w:cs="Calibri"/>
          <w:vertAlign w:val="superscript"/>
        </w:rPr>
        <w:t>96,97</w:t>
      </w:r>
      <w:r w:rsidR="00B61C43" w:rsidRPr="00623D77">
        <w:rPr>
          <w:rFonts w:ascii="Calibri" w:eastAsia="Calibri" w:hAnsi="Calibri" w:cs="Calibri"/>
        </w:rPr>
        <w:fldChar w:fldCharType="end"/>
      </w:r>
      <w:r w:rsidR="007D1DC8" w:rsidRPr="00623D77">
        <w:rPr>
          <w:rFonts w:ascii="Calibri" w:eastAsia="Calibri" w:hAnsi="Calibri" w:cs="Calibri"/>
        </w:rPr>
        <w:t>.</w:t>
      </w:r>
      <w:r w:rsidR="0021784E">
        <w:rPr>
          <w:rFonts w:ascii="Calibri" w:eastAsia="Calibri" w:hAnsi="Calibri" w:cs="Calibri"/>
        </w:rPr>
        <w:br w:type="page"/>
      </w:r>
    </w:p>
    <w:p w14:paraId="22075AD5" w14:textId="251A3B64" w:rsidR="0078246D" w:rsidRDefault="007B7988" w:rsidP="00453E23">
      <w:pPr>
        <w:pStyle w:val="Ttulo1"/>
        <w:spacing w:after="240"/>
        <w:jc w:val="both"/>
        <w:rPr>
          <w:rFonts w:asciiTheme="minorHAnsi" w:hAnsiTheme="minorHAnsi" w:cstheme="minorBidi"/>
          <w:b/>
          <w:bCs/>
          <w:color w:val="auto"/>
          <w:sz w:val="24"/>
          <w:szCs w:val="24"/>
        </w:rPr>
      </w:pPr>
      <w:bookmarkStart w:id="13" w:name="_Toc194330858"/>
      <w:r>
        <w:rPr>
          <w:rFonts w:asciiTheme="minorHAnsi" w:hAnsiTheme="minorHAnsi" w:cstheme="minorBidi"/>
          <w:b/>
          <w:bCs/>
          <w:color w:val="auto"/>
          <w:sz w:val="24"/>
          <w:szCs w:val="24"/>
        </w:rPr>
        <w:lastRenderedPageBreak/>
        <w:t>4</w:t>
      </w:r>
      <w:r w:rsidR="00002E8B" w:rsidRPr="00191AA7">
        <w:rPr>
          <w:rFonts w:asciiTheme="minorHAnsi" w:hAnsiTheme="minorHAnsi" w:cstheme="minorBidi"/>
          <w:b/>
          <w:bCs/>
          <w:color w:val="auto"/>
          <w:sz w:val="24"/>
          <w:szCs w:val="24"/>
        </w:rPr>
        <w:t xml:space="preserve">. </w:t>
      </w:r>
      <w:r w:rsidR="00201174">
        <w:rPr>
          <w:rFonts w:asciiTheme="minorHAnsi" w:hAnsiTheme="minorHAnsi" w:cstheme="minorBidi"/>
          <w:b/>
          <w:bCs/>
          <w:color w:val="auto"/>
          <w:sz w:val="24"/>
          <w:szCs w:val="24"/>
        </w:rPr>
        <w:t>Summary of assumptions and limitations</w:t>
      </w:r>
      <w:bookmarkEnd w:id="13"/>
    </w:p>
    <w:p w14:paraId="3378BB4F" w14:textId="4B3F3F5B" w:rsidR="00C4587E" w:rsidRDefault="006C4ABE" w:rsidP="00A43807">
      <w:pPr>
        <w:spacing w:line="360" w:lineRule="auto"/>
        <w:jc w:val="both"/>
        <w:rPr>
          <w:rFonts w:ascii="Calibri" w:hAnsi="Calibri" w:cs="Calibri"/>
        </w:rPr>
      </w:pPr>
      <w:r w:rsidRPr="001A6573">
        <w:rPr>
          <w:rFonts w:ascii="Calibri" w:hAnsi="Calibri" w:cs="Calibri"/>
        </w:rPr>
        <w:t xml:space="preserve">The accuracy of our results depends on the quality of the life cycle inventory </w:t>
      </w:r>
      <w:r w:rsidRPr="009D472E">
        <w:rPr>
          <w:rFonts w:ascii="Calibri" w:hAnsi="Calibri" w:cs="Calibri"/>
        </w:rPr>
        <w:t>data</w:t>
      </w:r>
      <w:r w:rsidR="00F42AD7" w:rsidRPr="009D472E">
        <w:rPr>
          <w:rFonts w:ascii="Calibri" w:hAnsi="Calibri" w:cs="Calibri"/>
        </w:rPr>
        <w:t xml:space="preserve"> </w:t>
      </w:r>
      <w:r w:rsidR="003C1B33" w:rsidRPr="009D472E">
        <w:rPr>
          <w:rFonts w:ascii="Calibri" w:hAnsi="Calibri" w:cs="Calibri"/>
        </w:rPr>
        <w:t>a</w:t>
      </w:r>
      <w:r w:rsidR="004114E2" w:rsidRPr="009D472E">
        <w:rPr>
          <w:rFonts w:ascii="Calibri" w:hAnsi="Calibri" w:cs="Calibri"/>
        </w:rPr>
        <w:t>nd the</w:t>
      </w:r>
      <w:r w:rsidR="001C67D9" w:rsidRPr="009D472E">
        <w:rPr>
          <w:rFonts w:ascii="Calibri" w:hAnsi="Calibri" w:cs="Calibri"/>
        </w:rPr>
        <w:t xml:space="preserve"> </w:t>
      </w:r>
      <w:r w:rsidR="00F42AD7" w:rsidRPr="009D472E">
        <w:rPr>
          <w:rFonts w:ascii="Calibri" w:hAnsi="Calibri" w:cs="Calibri"/>
        </w:rPr>
        <w:t>robustness</w:t>
      </w:r>
      <w:r w:rsidR="001C67D9" w:rsidRPr="009D472E">
        <w:rPr>
          <w:rFonts w:ascii="Calibri" w:hAnsi="Calibri" w:cs="Calibri"/>
        </w:rPr>
        <w:t xml:space="preserve"> of the </w:t>
      </w:r>
      <w:r w:rsidR="00733D0F" w:rsidRPr="009D472E">
        <w:rPr>
          <w:rFonts w:ascii="Calibri" w:hAnsi="Calibri" w:cs="Calibri"/>
        </w:rPr>
        <w:t>applied</w:t>
      </w:r>
      <w:r w:rsidR="004114E2" w:rsidRPr="009D472E">
        <w:rPr>
          <w:rFonts w:ascii="Calibri" w:hAnsi="Calibri" w:cs="Calibri"/>
        </w:rPr>
        <w:t xml:space="preserve"> impact assessment methods.</w:t>
      </w:r>
      <w:r w:rsidR="008976E5">
        <w:rPr>
          <w:rFonts w:ascii="Calibri" w:hAnsi="Calibri" w:cs="Calibri"/>
        </w:rPr>
        <w:t xml:space="preserve"> </w:t>
      </w:r>
      <w:r w:rsidR="00C4587E">
        <w:rPr>
          <w:rFonts w:ascii="Calibri" w:hAnsi="Calibri" w:cs="Calibri"/>
        </w:rPr>
        <w:t xml:space="preserve">The main assumptions and limitations </w:t>
      </w:r>
      <w:r w:rsidR="002432A7">
        <w:rPr>
          <w:rFonts w:ascii="Calibri" w:hAnsi="Calibri" w:cs="Calibri"/>
        </w:rPr>
        <w:t>regarding the</w:t>
      </w:r>
      <w:r w:rsidR="00C4587E">
        <w:rPr>
          <w:rFonts w:ascii="Calibri" w:hAnsi="Calibri" w:cs="Calibri"/>
        </w:rPr>
        <w:t xml:space="preserve"> modeling framework</w:t>
      </w:r>
      <w:r w:rsidR="009E735D">
        <w:rPr>
          <w:rFonts w:ascii="Calibri" w:hAnsi="Calibri" w:cs="Calibri"/>
        </w:rPr>
        <w:t xml:space="preserve"> and the developed life cycle models </w:t>
      </w:r>
      <w:r w:rsidR="00C4587E">
        <w:rPr>
          <w:rFonts w:ascii="Calibri" w:hAnsi="Calibri" w:cs="Calibri"/>
        </w:rPr>
        <w:t>are detailed here.</w:t>
      </w:r>
    </w:p>
    <w:p w14:paraId="62AE7878" w14:textId="77777777" w:rsidR="004916C2" w:rsidRDefault="004916C2" w:rsidP="00D74C3B">
      <w:pPr>
        <w:spacing w:after="0" w:line="360" w:lineRule="auto"/>
        <w:jc w:val="both"/>
        <w:rPr>
          <w:rFonts w:ascii="Calibri" w:hAnsi="Calibri" w:cs="Calibri"/>
        </w:rPr>
      </w:pPr>
    </w:p>
    <w:p w14:paraId="5CF5B0CD" w14:textId="196E3A78" w:rsidR="004916C2" w:rsidRPr="00D85415" w:rsidRDefault="004916C2" w:rsidP="00D85415">
      <w:pPr>
        <w:pStyle w:val="Ttulo2"/>
        <w:spacing w:after="240"/>
        <w:rPr>
          <w:rFonts w:ascii="Calibri" w:hAnsi="Calibri" w:cs="Calibri"/>
          <w:b/>
          <w:bCs/>
          <w:color w:val="auto"/>
          <w:sz w:val="22"/>
          <w:szCs w:val="22"/>
        </w:rPr>
      </w:pPr>
      <w:bookmarkStart w:id="14" w:name="_Toc194330859"/>
      <w:r w:rsidRPr="00D85415">
        <w:rPr>
          <w:rFonts w:ascii="Calibri" w:hAnsi="Calibri" w:cs="Calibri"/>
          <w:b/>
          <w:bCs/>
          <w:color w:val="auto"/>
          <w:sz w:val="22"/>
          <w:szCs w:val="22"/>
        </w:rPr>
        <w:t>4.1 Modeling framework</w:t>
      </w:r>
      <w:bookmarkEnd w:id="14"/>
    </w:p>
    <w:p w14:paraId="4159EBFC" w14:textId="0933CC4D" w:rsidR="00331277" w:rsidRPr="00F143E0" w:rsidRDefault="00331277" w:rsidP="00F143E0">
      <w:pPr>
        <w:spacing w:line="360" w:lineRule="auto"/>
        <w:jc w:val="both"/>
        <w:rPr>
          <w:rFonts w:ascii="Calibri" w:hAnsi="Calibri" w:cs="Calibri"/>
        </w:rPr>
      </w:pPr>
      <w:r w:rsidRPr="00F143E0">
        <w:rPr>
          <w:rFonts w:ascii="Calibri" w:hAnsi="Calibri" w:cs="Calibri"/>
        </w:rPr>
        <w:t>We assessed the uncertainty in our models by changing the foreground data, considering more optimistic and pessimistic sets of values (</w:t>
      </w:r>
      <w:r w:rsidRPr="00CB1FC4">
        <w:rPr>
          <w:rFonts w:ascii="Calibri" w:hAnsi="Calibri" w:cs="Calibri"/>
        </w:rPr>
        <w:t>see</w:t>
      </w:r>
      <w:r w:rsidR="00010AAA" w:rsidRPr="00CB1FC4">
        <w:rPr>
          <w:rFonts w:ascii="Calibri" w:hAnsi="Calibri" w:cs="Calibri"/>
        </w:rPr>
        <w:t xml:space="preserve"> Tables 1.1-1.1</w:t>
      </w:r>
      <w:r w:rsidR="003E442C">
        <w:rPr>
          <w:rFonts w:ascii="Calibri" w:hAnsi="Calibri" w:cs="Calibri"/>
        </w:rPr>
        <w:t>5</w:t>
      </w:r>
      <w:r w:rsidR="00010AAA" w:rsidRPr="00CB1FC4">
        <w:rPr>
          <w:rFonts w:ascii="Calibri" w:hAnsi="Calibri" w:cs="Calibri"/>
        </w:rPr>
        <w:t xml:space="preserve"> in the</w:t>
      </w:r>
      <w:r w:rsidRPr="00CB1FC4">
        <w:rPr>
          <w:rFonts w:ascii="Calibri" w:hAnsi="Calibri" w:cs="Calibri"/>
        </w:rPr>
        <w:t xml:space="preserve"> Supplementary Data </w:t>
      </w:r>
      <w:r w:rsidR="009C73D4" w:rsidRPr="00CB1FC4">
        <w:rPr>
          <w:rFonts w:ascii="Calibri" w:hAnsi="Calibri" w:cs="Calibri"/>
        </w:rPr>
        <w:t>file</w:t>
      </w:r>
      <w:r w:rsidRPr="00F143E0">
        <w:rPr>
          <w:rFonts w:ascii="Calibri" w:hAnsi="Calibri" w:cs="Calibri"/>
        </w:rPr>
        <w:t xml:space="preserve">). We did not evaluate how the uncertainty in the background system would affect our results because this is subject to the assumptions of the selected climate change mitigation scenario, i.e., making changes in the background system without recalculating the results of the integrated assessment model could lead to a scenario with a different temperature increase by the end of the century. </w:t>
      </w:r>
      <w:r w:rsidR="00D273AA">
        <w:rPr>
          <w:rFonts w:ascii="Calibri" w:hAnsi="Calibri" w:cs="Calibri"/>
        </w:rPr>
        <w:t>Moreover</w:t>
      </w:r>
      <w:r w:rsidR="00193797" w:rsidRPr="00193797">
        <w:rPr>
          <w:rFonts w:ascii="Calibri" w:hAnsi="Calibri" w:cs="Calibri"/>
        </w:rPr>
        <w:t>, our inventories are not regionalized (i.e., they are based on global market activities), which implies that the deployment of NETPs in specific locations could lead to different results.</w:t>
      </w:r>
      <w:r w:rsidR="00193797" w:rsidRPr="00F143E0">
        <w:rPr>
          <w:rFonts w:ascii="Calibri" w:hAnsi="Calibri" w:cs="Calibri"/>
        </w:rPr>
        <w:t xml:space="preserve"> </w:t>
      </w:r>
    </w:p>
    <w:p w14:paraId="781E0DB7" w14:textId="602B69F1" w:rsidR="00331277" w:rsidRPr="00F143E0" w:rsidRDefault="00C73171" w:rsidP="00F143E0">
      <w:pPr>
        <w:spacing w:line="360" w:lineRule="auto"/>
        <w:jc w:val="both"/>
        <w:rPr>
          <w:rFonts w:ascii="Calibri" w:hAnsi="Calibri" w:cs="Calibri"/>
        </w:rPr>
      </w:pPr>
      <w:r w:rsidRPr="00D85415">
        <w:rPr>
          <w:rFonts w:ascii="Calibri" w:hAnsi="Calibri" w:cs="Calibri"/>
        </w:rPr>
        <w:t>There is a</w:t>
      </w:r>
      <w:r w:rsidR="00331277" w:rsidRPr="00D85415">
        <w:rPr>
          <w:rFonts w:ascii="Calibri" w:hAnsi="Calibri" w:cs="Calibri"/>
        </w:rPr>
        <w:t xml:space="preserve"> temporal mismatch in the infrastructure activities</w:t>
      </w:r>
      <w:r w:rsidR="00BE354F" w:rsidRPr="00D85415">
        <w:rPr>
          <w:rFonts w:ascii="Calibri" w:hAnsi="Calibri" w:cs="Calibri"/>
        </w:rPr>
        <w:t xml:space="preserve"> of our inventories</w:t>
      </w:r>
      <w:r w:rsidR="00331277" w:rsidRPr="00F143E0">
        <w:rPr>
          <w:rFonts w:ascii="Calibri" w:hAnsi="Calibri" w:cs="Calibri"/>
        </w:rPr>
        <w:t>.</w:t>
      </w:r>
      <w:r w:rsidR="0086264C" w:rsidRPr="00F143E0">
        <w:rPr>
          <w:rFonts w:ascii="Calibri" w:hAnsi="Calibri" w:cs="Calibri"/>
        </w:rPr>
        <w:t xml:space="preserve"> </w:t>
      </w:r>
      <w:r w:rsidR="00FD7B03" w:rsidRPr="00F143E0">
        <w:rPr>
          <w:rFonts w:ascii="Calibri" w:hAnsi="Calibri" w:cs="Calibri"/>
        </w:rPr>
        <w:t>The</w:t>
      </w:r>
      <w:r w:rsidR="00794B7B" w:rsidRPr="00F143E0">
        <w:rPr>
          <w:rFonts w:ascii="Calibri" w:hAnsi="Calibri" w:cs="Calibri"/>
        </w:rPr>
        <w:t xml:space="preserve"> </w:t>
      </w:r>
      <w:r w:rsidR="0086264C" w:rsidRPr="00F143E0">
        <w:rPr>
          <w:rFonts w:ascii="Calibri" w:hAnsi="Calibri" w:cs="Calibri"/>
        </w:rPr>
        <w:t xml:space="preserve">temporal emissions profile </w:t>
      </w:r>
      <w:r w:rsidR="00794B7B" w:rsidRPr="00F143E0">
        <w:rPr>
          <w:rFonts w:ascii="Calibri" w:hAnsi="Calibri" w:cs="Calibri"/>
        </w:rPr>
        <w:t>of</w:t>
      </w:r>
      <w:r w:rsidR="00030406" w:rsidRPr="00F143E0">
        <w:rPr>
          <w:rFonts w:ascii="Calibri" w:hAnsi="Calibri" w:cs="Calibri"/>
        </w:rPr>
        <w:t xml:space="preserve"> the infrastructure activities</w:t>
      </w:r>
      <w:r w:rsidR="0086264C" w:rsidRPr="00F143E0">
        <w:rPr>
          <w:rFonts w:ascii="Calibri" w:hAnsi="Calibri" w:cs="Calibri"/>
        </w:rPr>
        <w:t xml:space="preserve"> is currently not available</w:t>
      </w:r>
      <w:r w:rsidR="00941FCD" w:rsidRPr="00F143E0">
        <w:rPr>
          <w:rFonts w:ascii="Calibri" w:hAnsi="Calibri" w:cs="Calibri"/>
        </w:rPr>
        <w:t xml:space="preserve"> in</w:t>
      </w:r>
      <w:r w:rsidR="0086264C" w:rsidRPr="00F143E0">
        <w:rPr>
          <w:rFonts w:ascii="Calibri" w:hAnsi="Calibri" w:cs="Calibri"/>
        </w:rPr>
        <w:t xml:space="preserve"> the </w:t>
      </w:r>
      <w:proofErr w:type="spellStart"/>
      <w:r w:rsidR="00B62C6F" w:rsidRPr="00F143E0">
        <w:rPr>
          <w:rFonts w:ascii="Calibri" w:hAnsi="Calibri" w:cs="Calibri"/>
        </w:rPr>
        <w:t>E</w:t>
      </w:r>
      <w:r w:rsidR="0086264C" w:rsidRPr="00F143E0">
        <w:rPr>
          <w:rFonts w:ascii="Calibri" w:hAnsi="Calibri" w:cs="Calibri"/>
        </w:rPr>
        <w:t>coinvent</w:t>
      </w:r>
      <w:proofErr w:type="spellEnd"/>
      <w:r w:rsidR="0086264C" w:rsidRPr="00F143E0">
        <w:rPr>
          <w:rFonts w:ascii="Calibri" w:hAnsi="Calibri" w:cs="Calibri"/>
        </w:rPr>
        <w:t xml:space="preserve"> </w:t>
      </w:r>
      <w:r w:rsidR="00FD7B03" w:rsidRPr="00F143E0">
        <w:rPr>
          <w:rFonts w:ascii="Calibri" w:hAnsi="Calibri" w:cs="Calibri"/>
        </w:rPr>
        <w:t>database</w:t>
      </w:r>
      <w:r w:rsidR="0086264C" w:rsidRPr="00F143E0">
        <w:rPr>
          <w:rFonts w:ascii="Calibri" w:hAnsi="Calibri" w:cs="Calibri"/>
        </w:rPr>
        <w:t xml:space="preserve">, despite some recent work </w:t>
      </w:r>
      <w:r w:rsidR="00FF78D3" w:rsidRPr="00F143E0">
        <w:rPr>
          <w:rFonts w:ascii="Calibri" w:hAnsi="Calibri" w:cs="Calibri"/>
        </w:rPr>
        <w:t>i</w:t>
      </w:r>
      <w:r w:rsidR="0086264C" w:rsidRPr="00F143E0">
        <w:rPr>
          <w:rFonts w:ascii="Calibri" w:hAnsi="Calibri" w:cs="Calibri"/>
        </w:rPr>
        <w:t xml:space="preserve">n </w:t>
      </w:r>
      <w:r w:rsidR="00ED0804" w:rsidRPr="00F143E0">
        <w:rPr>
          <w:rFonts w:ascii="Calibri" w:hAnsi="Calibri" w:cs="Calibri"/>
        </w:rPr>
        <w:t>this area</w:t>
      </w:r>
      <w:r w:rsidR="00BC5572">
        <w:rPr>
          <w:rFonts w:ascii="Calibri" w:hAnsi="Calibri" w:cs="Calibri"/>
        </w:rPr>
        <w:fldChar w:fldCharType="begin" w:fldLock="1"/>
      </w:r>
      <w:r w:rsidR="00B4317C">
        <w:rPr>
          <w:rFonts w:ascii="Calibri" w:hAnsi="Calibri" w:cs="Calibri"/>
        </w:rPr>
        <w:instrText xml:space="preserve"> ADDIN ZOTERO_ITEM CSL_CITATION {"citationID":"MD0beNPC","properties":{"formattedCitation":"\\super 98\\uc0\\u8211{}100\\nosupersub{}","plainCitation":"98–100","noteIndex":0},"citationItems":[{"id":"z2fanENt/9Xhtq9B6","uris":["http://www.mendeley.com/documents/?uuid=3923327b-68ca-368e-a3cd-3928d2569638"],"itemData":{"URL":"https://docs.brightway.dev/projects/bw-timex/en/latest/index.html","accessed":{"date-parts":[["2024","8","12"]]},"id":"ITEM-1","issued":{"date-parts":[["0"]]},"title":"Time-explicit LCA with bw_timex ","type":"webpage"}},{"id":"z2fanENt/lAcsI0lL","uris":["http://www.mendeley.com/documents/?uuid=b2be9e9f-fcda-48fb-8620-1bd4be1ae988"],"itemData":{"DOI":"10.1016/j.scitotenv.2018.07.044","ISSN":"18791026","PMID":"30029133","abstract":"The limitations of the static nature of Life Cycle Assessment (LCA) are well known. To overcome the loss of temporal information due to the aggregation of flows in the Life Cycle Inventory (LCI), several dynamic LCA methodologies have been proposed. In this paper we present a new generic and operational methodology for dynamic LCA that allows for the introduction of temporal information in both in the inventory and the Life Cycle Impact Assessment (LCIA) phases. The method makes use of graph traversal and convolution to calculate the temporally differentiated inventory, and makes it possible to use several types of dynamic impact assessment. We describe our method and apply it to a cradle-to-grave dynamic LCA of a glued laminated timber (glulam) product. We also test the sensitivity of the global warming results to temporal explicit LCI data. There is a considerable difference in outcome between the static and dynamic approaches. We have implemented our framework in the free and open source software Temporalis that is fully operational and can be used with existing LCA databases.","author":[{"dropping-particle":"","family":"Cardellini","given":"Giuseppe","non-dropping-particle":"","parse-names":false,"suffix":""},{"dropping-particle":"","family":"Mutel","given":"Christopher L.","non-dropping-particle":"","parse-names":false,"suffix":""},{"dropping-particle":"","family":"Vial","given":"Estelle","non-dropping-particle":"","parse-names":false,"suffix":""},{"dropping-particle":"","family":"Muys","given":"Bart","non-dropping-particle":"","parse-names":false,"suffix":""}],"container-title":"Science of the Total Environment","id":"ITEM-2","issued":{"date-parts":[["2018"]]},"page":"585-595","publisher":"Elsevier B.V.","title":"Temporalis, a generic method and tool for dynamic Life Cycle Assessment","type":"article-journal","volume":"645"}},{"id":"z2fanENt/Xh6pnDRl","uris":["http://www.mendeley.com/documents/?uuid=0e006501-ae68-4103-80d3-dae182316056"],"itemData":{"DOI":"10.1007/s11367-019-01696-6","ISSN":"16147502","abstract":"Purpose: The objective is to demonstrate an operational tool for dynamic LCA, based on the model by Tiruta-Barna et al. (J Clean Prod 116:198-206, Tiruta-Barna et al. 2016). The main innovation lies in the combination of full temporalization of the background inventory and a graph search algorithm leading to full dynamic LCI, further coupled to dynamic LCIA. The following objectives were addressed: (1) development of a database with temporal parameters for all processes of ecoinvent 3.2, (2) implementation of the model and the database in integrated software, and (3) demonstration on a case study comparing a conventional internal combustion engine car to an electric one. Methods: Calculation of dynamic LCA (including temporalization of background and foreground system) implies (i) a dynamic LCI model, (ii) a temporal database including temporal characterization of ecoinvent 3.2, (iii) a graph search algorithm, and (iv) dynamic LCIA models, in this specific case for climate change. The dynamic LCI model relies on a supply chain modeling perspective, instead of an accounting one. Unit processes are operations showing a specific functioning over time. Mass and energy exchanges depend on specific supply models. Production and supply are described by temporal parameters and functions. The graph search algorithm implements the dynamic LCI model, using the temporal database, to derive the life cycle environmental interventions scaled to the functional unit and distributed over time. The interventions are further combined with the dynamic LCIA models to obtain the temporally differentiated LCA results. Results and discussion: A web-based tool for dynamic LCA calculations (DyPLCA) implementing the dynamic LCI model and temporal database was developed. The tool is operational and available for testing (http://dyplca.univ-lehavre.fr/). The case study showed that temporal characterization of background LCI can change significantly the LCA results. It is fair to say that temporally differentiated LCI in the background offers little interest for activities with high downstream emissions. It can provide insightful results when applied to life cycle systems where significant environmental interventions occur upstream. Those systems concern, for example, renewable electricity generation, for which most emissions are embodied in an infrastructure upstream. It is also observed that a higher degree of infrastructure contribution leads to higher spreading of impacts over ti…","author":[{"dropping-particle":"","family":"Pigné","given":"Yoann","non-dropping-particle":"","parse-names":false,"suffix":""},{"dropping-particle":"","family":"Gutiérrez","given":"Tomás Navarrete","non-dropping-particle":"","parse-names":false,"suffix":""},{"dropping-particle":"","family":"Gibon","given":"Thomas","non-dropping-particle":"","parse-names":false,"suffix":""},{"dropping-particle":"","family":"Schaubroeck","given":"Thomas","non-dropping-particle":"","parse-names":false,"suffix":""},{"dropping-particle":"","family":"Popovici","given":"Emil","non-dropping-particle":"","parse-names":false,"suffix":""},{"dropping-particle":"","family":"Shimako","given":"Allan Hayato","non-dropping-particle":"","parse-names":false,"suffix":""},{"dropping-particle":"","family":"Benetto","given":"Enrico","non-dropping-particle":"","parse-names":false,"suffix":""},{"dropping-particle":"","family":"Tiruta-Barna","given":"Ligia","non-dropping-particle":"","parse-names":false,"suffix":""}],"container-title":"International Journal of Life Cycle Assessment","id":"ITEM-3","issue":"2","issued":{"date-parts":[["2020"]]},"page":"267-279","publisher":"The International Journal of Life Cycle Assessment","title":"A tool to operationalize dynamic LCA, including time differentiation on the complete background database","type":"article-journal","volume":"25"}}],"schema":"https://github.com/citation-style-language/schema/raw/master/csl-citation.json"} </w:instrText>
      </w:r>
      <w:r w:rsidR="00BC5572">
        <w:rPr>
          <w:rFonts w:ascii="Calibri" w:hAnsi="Calibri" w:cs="Calibri"/>
        </w:rPr>
        <w:fldChar w:fldCharType="separate"/>
      </w:r>
      <w:r w:rsidR="00971A76" w:rsidRPr="00971A76">
        <w:rPr>
          <w:rFonts w:ascii="Calibri" w:hAnsi="Calibri" w:cs="Calibri"/>
          <w:vertAlign w:val="superscript"/>
        </w:rPr>
        <w:t>98–100</w:t>
      </w:r>
      <w:r w:rsidR="00BC5572">
        <w:rPr>
          <w:rFonts w:ascii="Calibri" w:hAnsi="Calibri" w:cs="Calibri"/>
        </w:rPr>
        <w:fldChar w:fldCharType="end"/>
      </w:r>
      <w:r w:rsidR="0086264C" w:rsidRPr="00F143E0">
        <w:rPr>
          <w:rFonts w:ascii="Calibri" w:hAnsi="Calibri" w:cs="Calibri"/>
        </w:rPr>
        <w:t xml:space="preserve">. </w:t>
      </w:r>
      <w:r w:rsidR="00DB523D" w:rsidRPr="00F143E0">
        <w:rPr>
          <w:rFonts w:ascii="Calibri" w:hAnsi="Calibri" w:cs="Calibri"/>
        </w:rPr>
        <w:t>Hence, b</w:t>
      </w:r>
      <w:r w:rsidR="00331277" w:rsidRPr="00F143E0">
        <w:rPr>
          <w:rFonts w:ascii="Calibri" w:hAnsi="Calibri" w:cs="Calibri"/>
        </w:rPr>
        <w:t>oth the background and foreground systems assume that mineral resource extraction and the infrastructure construction and decommissioning activities happen the year that infrastructure is used. The consequences of this simplification on the life cycle impacts are unclear: the impacts of resource extraction and infrastructure construction are likely to be higher because the activities throughout the supply chain are more dependent on fossil fuels if they happen in previous years, while the opposite is true for the decommissioning activities.</w:t>
      </w:r>
    </w:p>
    <w:p w14:paraId="340120D1" w14:textId="10CD9E78" w:rsidR="00331277" w:rsidRDefault="00331277" w:rsidP="00F143E0">
      <w:pPr>
        <w:spacing w:line="360" w:lineRule="auto"/>
        <w:jc w:val="both"/>
        <w:rPr>
          <w:rFonts w:ascii="Calibri" w:hAnsi="Calibri" w:cs="Calibri"/>
        </w:rPr>
      </w:pPr>
      <w:r w:rsidRPr="0049003F">
        <w:rPr>
          <w:rFonts w:ascii="Calibri" w:hAnsi="Calibri" w:cs="Calibri"/>
        </w:rPr>
        <w:t xml:space="preserve">On the other hand, consistent with the standard </w:t>
      </w:r>
      <w:r w:rsidR="00367920">
        <w:rPr>
          <w:rFonts w:ascii="Calibri" w:hAnsi="Calibri" w:cs="Calibri"/>
        </w:rPr>
        <w:t>life cycle assessment</w:t>
      </w:r>
      <w:r w:rsidRPr="0049003F">
        <w:rPr>
          <w:rFonts w:ascii="Calibri" w:hAnsi="Calibri" w:cs="Calibri"/>
        </w:rPr>
        <w:t xml:space="preserve"> practices and the methodology used to model the background activities in the database, our life cycle inventories annualize the infrastructure needs based on its lifetime, i.e., we allocate the total infrastructure requirements to the annual CDR happening every year that the infrastructure is used.</w:t>
      </w:r>
      <w:r w:rsidRPr="00574EE7">
        <w:rPr>
          <w:rFonts w:ascii="Calibri" w:hAnsi="Calibri" w:cs="Calibri"/>
        </w:rPr>
        <w:t xml:space="preserve"> To operationalize this approach, we modeled the infrastructure activities allocated to the CDR occurring </w:t>
      </w:r>
      <w:r w:rsidR="00F02D9E">
        <w:rPr>
          <w:rFonts w:ascii="Calibri" w:hAnsi="Calibri" w:cs="Calibri"/>
        </w:rPr>
        <w:t>in</w:t>
      </w:r>
      <w:r w:rsidRPr="00574EE7">
        <w:rPr>
          <w:rFonts w:ascii="Calibri" w:hAnsi="Calibri" w:cs="Calibri"/>
        </w:rPr>
        <w:t xml:space="preserve"> a given </w:t>
      </w:r>
      <w:r w:rsidRPr="005E0B3D">
        <w:rPr>
          <w:rFonts w:ascii="Calibri" w:hAnsi="Calibri" w:cs="Calibri"/>
        </w:rPr>
        <w:t xml:space="preserve">year </w:t>
      </w:r>
      <w:r w:rsidRPr="00AD7325">
        <w:rPr>
          <w:rFonts w:ascii="Calibri" w:hAnsi="Calibri" w:cs="Calibri"/>
        </w:rPr>
        <w:t xml:space="preserve">based on the background activities corresponding to that year, </w:t>
      </w:r>
      <w:r w:rsidRPr="005E0B3D">
        <w:rPr>
          <w:rFonts w:ascii="Calibri" w:hAnsi="Calibri" w:cs="Calibri"/>
        </w:rPr>
        <w:t>even</w:t>
      </w:r>
      <w:r w:rsidRPr="007614BB">
        <w:rPr>
          <w:rFonts w:ascii="Calibri" w:hAnsi="Calibri" w:cs="Calibri"/>
        </w:rPr>
        <w:t xml:space="preserve"> though</w:t>
      </w:r>
      <w:r>
        <w:rPr>
          <w:rFonts w:ascii="Calibri" w:hAnsi="Calibri" w:cs="Calibri"/>
          <w:i/>
          <w:iCs/>
        </w:rPr>
        <w:t xml:space="preserve"> </w:t>
      </w:r>
      <w:r w:rsidRPr="00574EE7">
        <w:rPr>
          <w:rFonts w:ascii="Calibri" w:hAnsi="Calibri" w:cs="Calibri"/>
        </w:rPr>
        <w:t>part of the infrastructure should have</w:t>
      </w:r>
      <w:r>
        <w:rPr>
          <w:rFonts w:ascii="Calibri" w:hAnsi="Calibri" w:cs="Calibri"/>
        </w:rPr>
        <w:t xml:space="preserve"> already</w:t>
      </w:r>
      <w:r w:rsidRPr="00574EE7">
        <w:rPr>
          <w:rFonts w:ascii="Calibri" w:hAnsi="Calibri" w:cs="Calibri"/>
        </w:rPr>
        <w:t xml:space="preserve"> been built to meet the CDR target</w:t>
      </w:r>
      <w:r>
        <w:rPr>
          <w:rFonts w:ascii="Calibri" w:hAnsi="Calibri" w:cs="Calibri"/>
        </w:rPr>
        <w:t>s</w:t>
      </w:r>
      <w:r w:rsidRPr="00574EE7">
        <w:rPr>
          <w:rFonts w:ascii="Calibri" w:hAnsi="Calibri" w:cs="Calibri"/>
        </w:rPr>
        <w:t xml:space="preserve"> of previous years. </w:t>
      </w:r>
      <w:r w:rsidRPr="004C1FE5">
        <w:rPr>
          <w:rFonts w:ascii="Calibri" w:hAnsi="Calibri" w:cs="Calibri"/>
        </w:rPr>
        <w:t xml:space="preserve">However, as Supplementary Figures </w:t>
      </w:r>
      <w:r w:rsidR="004C1FE5" w:rsidRPr="004C1FE5">
        <w:rPr>
          <w:rFonts w:ascii="Calibri" w:hAnsi="Calibri" w:cs="Calibri"/>
        </w:rPr>
        <w:t>5</w:t>
      </w:r>
      <w:r w:rsidRPr="004C1FE5">
        <w:rPr>
          <w:rFonts w:ascii="Calibri" w:hAnsi="Calibri" w:cs="Calibri"/>
        </w:rPr>
        <w:t xml:space="preserve"> and </w:t>
      </w:r>
      <w:r w:rsidR="004C1FE5" w:rsidRPr="004C1FE5">
        <w:rPr>
          <w:rFonts w:ascii="Calibri" w:hAnsi="Calibri" w:cs="Calibri"/>
        </w:rPr>
        <w:t>6</w:t>
      </w:r>
      <w:r w:rsidRPr="004C1FE5">
        <w:rPr>
          <w:rFonts w:ascii="Calibri" w:hAnsi="Calibri" w:cs="Calibri"/>
        </w:rPr>
        <w:t xml:space="preserve"> show</w:t>
      </w:r>
      <w:r w:rsidRPr="00903767">
        <w:rPr>
          <w:rFonts w:ascii="Calibri" w:hAnsi="Calibri" w:cs="Calibri"/>
        </w:rPr>
        <w:t xml:space="preserve">, the infrastructure activities do not </w:t>
      </w:r>
      <w:r>
        <w:rPr>
          <w:rFonts w:ascii="Calibri" w:hAnsi="Calibri" w:cs="Calibri"/>
        </w:rPr>
        <w:t>contribute to</w:t>
      </w:r>
      <w:r w:rsidRPr="00903767">
        <w:rPr>
          <w:rFonts w:ascii="Calibri" w:hAnsi="Calibri" w:cs="Calibri"/>
        </w:rPr>
        <w:t xml:space="preserve"> a significant share of the life cycle impacts; therefore, we do not think that </w:t>
      </w:r>
      <w:r w:rsidRPr="00903767">
        <w:rPr>
          <w:rFonts w:ascii="Calibri" w:hAnsi="Calibri" w:cs="Calibri"/>
        </w:rPr>
        <w:lastRenderedPageBreak/>
        <w:t>these inconsistencies in the infrastructure modeling approach could alter the conclusions of the life cycle impact assessment.</w:t>
      </w:r>
      <w:r>
        <w:rPr>
          <w:rFonts w:ascii="Calibri" w:hAnsi="Calibri" w:cs="Calibri"/>
        </w:rPr>
        <w:t xml:space="preserve">  </w:t>
      </w:r>
    </w:p>
    <w:p w14:paraId="4AAF50B9" w14:textId="34CA5117" w:rsidR="00DC0584" w:rsidRDefault="00331277" w:rsidP="00DC0584">
      <w:pPr>
        <w:spacing w:line="360" w:lineRule="auto"/>
        <w:jc w:val="both"/>
        <w:rPr>
          <w:rFonts w:ascii="Calibri" w:hAnsi="Calibri" w:cs="Calibri"/>
        </w:rPr>
      </w:pPr>
      <w:r>
        <w:rPr>
          <w:rFonts w:ascii="Calibri" w:hAnsi="Calibri" w:cs="Calibri"/>
        </w:rPr>
        <w:t>Nevertheless, this modeling approach does not allow us to directly calculate the actual amounts of mineral resources extracted annually. We adjusted our life cycle inventories to accurately quantify the increase in the annual mineral resource extraction linked to the infrastructure requirements, following the methodology described in section 2.4 of the Supplementary Information. The proposed method has two main shortcomings: first, we considered the same lifetime for all the infrastructure activities, which–despite reflecting the lifespan of the infrastructure in the foreground system–</w:t>
      </w:r>
      <w:r w:rsidRPr="00050565">
        <w:rPr>
          <w:rFonts w:ascii="Calibri" w:hAnsi="Calibri" w:cs="Calibri"/>
        </w:rPr>
        <w:t xml:space="preserve">may not </w:t>
      </w:r>
      <w:r>
        <w:rPr>
          <w:rFonts w:ascii="Calibri" w:hAnsi="Calibri" w:cs="Calibri"/>
        </w:rPr>
        <w:t>be true for</w:t>
      </w:r>
      <w:r w:rsidRPr="00050565">
        <w:rPr>
          <w:rFonts w:ascii="Calibri" w:hAnsi="Calibri" w:cs="Calibri"/>
        </w:rPr>
        <w:t xml:space="preserve"> </w:t>
      </w:r>
      <w:r>
        <w:rPr>
          <w:rFonts w:ascii="Calibri" w:hAnsi="Calibri" w:cs="Calibri"/>
        </w:rPr>
        <w:t>all</w:t>
      </w:r>
      <w:r w:rsidRPr="00050565">
        <w:rPr>
          <w:rFonts w:ascii="Calibri" w:hAnsi="Calibri" w:cs="Calibri"/>
        </w:rPr>
        <w:t xml:space="preserve"> </w:t>
      </w:r>
      <w:r>
        <w:rPr>
          <w:rFonts w:ascii="Calibri" w:hAnsi="Calibri" w:cs="Calibri"/>
        </w:rPr>
        <w:t xml:space="preserve">the capital goods in the background. </w:t>
      </w:r>
      <w:r w:rsidRPr="00377229">
        <w:rPr>
          <w:rFonts w:ascii="Calibri" w:hAnsi="Calibri" w:cs="Calibri"/>
        </w:rPr>
        <w:t xml:space="preserve">Second, our approach requires differentiating between resources used for infrastructure and operating activities. Since evaluating the resources used in all the background activities would be extremely time consuming, we </w:t>
      </w:r>
      <w:r>
        <w:rPr>
          <w:rFonts w:ascii="Calibri" w:hAnsi="Calibri" w:cs="Calibri"/>
        </w:rPr>
        <w:t>only do it for the activities in the foreground</w:t>
      </w:r>
      <w:r w:rsidRPr="00377229">
        <w:rPr>
          <w:rFonts w:ascii="Calibri" w:hAnsi="Calibri" w:cs="Calibri"/>
        </w:rPr>
        <w:t>. As a result, we could be mislabeling (and therefore miscalculating) some of the resources used in the background system. Notwithstanding this, we think that the potential error will be marginal because, as expected, most resources in the foreground are related to the infrastructure requirements.</w:t>
      </w:r>
    </w:p>
    <w:p w14:paraId="6913E7D1" w14:textId="5A7F9E91" w:rsidR="005C775C" w:rsidRPr="00A018E3" w:rsidRDefault="001E7E07" w:rsidP="00DC0584">
      <w:pPr>
        <w:spacing w:line="360" w:lineRule="auto"/>
        <w:jc w:val="both"/>
        <w:rPr>
          <w:rFonts w:cstheme="minorHAnsi"/>
        </w:rPr>
      </w:pPr>
      <w:r w:rsidRPr="00EC7D21">
        <w:rPr>
          <w:rFonts w:cstheme="minorHAnsi"/>
        </w:rPr>
        <w:t>Finally,</w:t>
      </w:r>
      <w:r w:rsidR="00F97651" w:rsidRPr="00EC7D21">
        <w:rPr>
          <w:rFonts w:cstheme="minorHAnsi"/>
        </w:rPr>
        <w:t xml:space="preserve"> given the lack of</w:t>
      </w:r>
      <w:r w:rsidR="003A2FA1" w:rsidRPr="00EC7D21">
        <w:rPr>
          <w:rFonts w:cstheme="minorHAnsi"/>
        </w:rPr>
        <w:t xml:space="preserve"> reliable</w:t>
      </w:r>
      <w:r w:rsidR="00F97651" w:rsidRPr="00EC7D21">
        <w:rPr>
          <w:rFonts w:cstheme="minorHAnsi"/>
        </w:rPr>
        <w:t xml:space="preserve"> p</w:t>
      </w:r>
      <w:r w:rsidR="003A2FA1" w:rsidRPr="00EC7D21">
        <w:rPr>
          <w:rFonts w:cstheme="minorHAnsi"/>
        </w:rPr>
        <w:t>rojections,</w:t>
      </w:r>
      <w:r w:rsidRPr="00EC7D21">
        <w:rPr>
          <w:rFonts w:cstheme="minorHAnsi"/>
        </w:rPr>
        <w:t xml:space="preserve"> we do not make any assumptions about the future evolution of metal recycling</w:t>
      </w:r>
      <w:r w:rsidR="00793902" w:rsidRPr="00EC7D21">
        <w:rPr>
          <w:rFonts w:cstheme="minorHAnsi"/>
        </w:rPr>
        <w:t xml:space="preserve"> activities</w:t>
      </w:r>
      <w:r w:rsidRPr="00EC7D21">
        <w:rPr>
          <w:rFonts w:cstheme="minorHAnsi"/>
        </w:rPr>
        <w:t>, nor does premise</w:t>
      </w:r>
      <w:r w:rsidRPr="00EC7D21">
        <w:rPr>
          <w:rFonts w:cstheme="minorHAnsi"/>
        </w:rPr>
        <w:fldChar w:fldCharType="begin"/>
      </w:r>
      <w:r w:rsidR="00971A76">
        <w:rPr>
          <w:rFonts w:cstheme="minorHAnsi"/>
        </w:rPr>
        <w:instrText xml:space="preserve"> ADDIN ZOTERO_ITEM CSL_CITATION {"citationID":"qjX8umV4","properties":{"formattedCitation":"\\super 101\\nosupersub{}","plainCitation":"101","noteIndex":0},"citationItems":[{"id":2854,"uris":["http://zotero.org/users/14213812/items/Q3BBZNTJ"],"itemData":{"id":2854,"type":"article-journal","abstract":"Prospective Life Cycle Assessment (pLCA) is useful to evaluate the environmental performance of current and emerging technologies in the future. Yet, as energy systems and industries are rapidly shifting towards cleaner means of production, pLCA requires an inventory database that encapsulates the expected changes in technologies and the environment at a given point in time, following specific socio-techno-economic pathways. To this end, this study introduces premise, a tool to streamline the generation of prospective inventory databases for pLCA by integrating scenarios generated by Integrated Assessment Models (IAM). More precisely, premise applies a number of transformations on energy-intensive activities found in the inventory database ecoinvent according to projections provided by the IAM. Unsurprisingly, the study shows that, within a given socio-economic narrative, the climate change mitigation target chosen affects the performance of nearly all activities in the database. This is illustrated by focusing on the effects observed on a few activities, such as systems for direct air capture of CO2, lithium-ion batteries, electricity and clinker production as well as freight transport by road, in relation to the applied sector-based transformation and the chosen climate change mitigation target. This work also discusses the limitations and challenges faced when coupling IAM and LCA databases and what improvements are to be brought in to further facilitate the development of pLCA.","container-title":"Renewable and Sustainable Energy Reviews","DOI":"10.1016/j.rser.2022.112311","ISSN":"18790690","issue":"February","note":"publisher: Elsevier Ltd","page":"112311","title":"PRospective EnvironMental Impact asSEment (premise): A streamlined approach to producing databases for prospective life cycle assessment using integrated assessment models","volume":"160","author":[{"family":"Sacchi","given":"R."},{"family":"Terlouw","given":"T."},{"family":"Siala","given":"K."},{"family":"Dirnaichner","given":"A."},{"family":"Bauer","given":"C."},{"family":"Cox","given":"B."},{"family":"Mutel","given":"C."},{"family":"Daioglou","given":"V."},{"family":"Luderer","given":"G."}],"issued":{"date-parts":[["2022"]]}}}],"schema":"https://github.com/citation-style-language/schema/raw/master/csl-citation.json"} </w:instrText>
      </w:r>
      <w:r w:rsidRPr="00EC7D21">
        <w:rPr>
          <w:rFonts w:cstheme="minorHAnsi"/>
        </w:rPr>
        <w:fldChar w:fldCharType="separate"/>
      </w:r>
      <w:r w:rsidR="00971A76" w:rsidRPr="00971A76">
        <w:rPr>
          <w:rFonts w:ascii="Calibri" w:hAnsi="Calibri" w:cs="Calibri"/>
          <w:vertAlign w:val="superscript"/>
        </w:rPr>
        <w:t>101</w:t>
      </w:r>
      <w:r w:rsidRPr="00EC7D21">
        <w:rPr>
          <w:rFonts w:cstheme="minorHAnsi"/>
        </w:rPr>
        <w:fldChar w:fldCharType="end"/>
      </w:r>
      <w:r w:rsidRPr="00EC7D21">
        <w:rPr>
          <w:rFonts w:cstheme="minorHAnsi"/>
        </w:rPr>
        <w:t>. All metal-related activities</w:t>
      </w:r>
      <w:r w:rsidR="005919A0" w:rsidRPr="00EC7D21">
        <w:rPr>
          <w:rFonts w:cstheme="minorHAnsi"/>
        </w:rPr>
        <w:t xml:space="preserve"> in the background</w:t>
      </w:r>
      <w:r w:rsidRPr="00EC7D21">
        <w:rPr>
          <w:rFonts w:cstheme="minorHAnsi"/>
        </w:rPr>
        <w:t xml:space="preserve"> reflect the current markets as modeled by the </w:t>
      </w:r>
      <w:proofErr w:type="spellStart"/>
      <w:r w:rsidRPr="00EC7D21">
        <w:rPr>
          <w:rFonts w:cstheme="minorHAnsi"/>
        </w:rPr>
        <w:t>Ecoinvent</w:t>
      </w:r>
      <w:proofErr w:type="spellEnd"/>
      <w:r w:rsidRPr="00EC7D21">
        <w:rPr>
          <w:rFonts w:cstheme="minorHAnsi"/>
        </w:rPr>
        <w:t xml:space="preserve"> database</w:t>
      </w:r>
      <w:r w:rsidR="00CB3A75" w:rsidRPr="00EC7D21">
        <w:rPr>
          <w:rFonts w:cstheme="minorHAnsi"/>
          <w:color w:val="FF0000"/>
        </w:rPr>
        <w:fldChar w:fldCharType="begin" w:fldLock="1"/>
      </w:r>
      <w:r w:rsidR="00971A76">
        <w:rPr>
          <w:rFonts w:cstheme="minorHAnsi"/>
          <w:color w:val="FF0000"/>
        </w:rPr>
        <w:instrText xml:space="preserve"> ADDIN ZOTERO_ITEM CSL_CITATION {"citationID":"zf3EIUUq","properties":{"formattedCitation":"\\super 16\\nosupersub{}","plainCitation":"16","noteIndex":0},"citationItems":[{"id":2589,"uris":["http://www.mendeley.com/documents/?uuid=95513eed-e789-45a4-a6ba-5112be916f1d","http://zotero.org/users/14213812/items/XQY7SE5D"],"itemData":{"id":2589,"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 Methods: Modeling choices and raw data were separated in version 3, which enables the application of different sets of modeling choices, or system models, to the same raw data with little effort. This includes one system model for Consequential LCA. Flow properties were added to all exchanges in the database, giving more information on the inventory and allowing a fast calculation of mass and other balances. With version 3.1, the database is generally water-balanced, and water use and consumption can be determined. Consumption mixes called market datasets were consistently added to the database, and global background data was added, often as an extrapolation from regional data. Results and discussion: In combination with hundreds of new unit processes from regions outside Europe, these changes lead to an improved modeling of global supply chains, and a more realistic distribution of impacts in regionalized LCIA. The new mixes also facilitate further regionalization due to the availability of background data for all regions. Conclusions: With version 3, the ecoinvent database substantially expands the goals and scopes of LCA studies it can support. The new system models allow new, different studies to be performed. Global supply chains and market datasets significantly increase the relevance of the database outside of Europe, and regionalized LCA is supported by the data. Datasets are more transparent, include more information, and support, e.g., water balances. The developments also support easier collaboration with other database initiatives, as demonstrated by a first successful collaboration with a data project in Québec. Version 3 has set the foundation for expanding ecoinvent …","container-title":"International Journal of Life Cycle Assessment","DOI":"10.1007/s11367-016-1087-8","ISSN":"16147502","issue":"9","note":"publisher: Springer Verlag","page":"1218-1230","title":"The ecoinvent database version 3 (part I): overview and methodology","volume":"21","author":[{"family":"Wernet","given":"Gregor"},{"family":"Bauer","given":"Christian"},{"family":"Steubing","given":"Bernhard"},{"family":"Reinhard","given":"Jürgen"},{"family":"Moreno-Ruiz","given":"Emilia"},{"family":"Weidema","given":"Bo"}],"issued":{"date-parts":[["2016",9]]}}}],"schema":"https://github.com/citation-style-language/schema/raw/master/csl-citation.json"} </w:instrText>
      </w:r>
      <w:r w:rsidR="00CB3A75" w:rsidRPr="00EC7D21">
        <w:rPr>
          <w:rFonts w:cstheme="minorHAnsi"/>
          <w:color w:val="FF0000"/>
        </w:rPr>
        <w:fldChar w:fldCharType="separate"/>
      </w:r>
      <w:r w:rsidR="00971A76" w:rsidRPr="00971A76">
        <w:rPr>
          <w:rFonts w:ascii="Calibri" w:hAnsi="Calibri" w:cs="Calibri"/>
          <w:vertAlign w:val="superscript"/>
        </w:rPr>
        <w:t>16</w:t>
      </w:r>
      <w:r w:rsidR="00CB3A75" w:rsidRPr="00EC7D21">
        <w:rPr>
          <w:rFonts w:cstheme="minorHAnsi"/>
          <w:color w:val="FF0000"/>
        </w:rPr>
        <w:fldChar w:fldCharType="end"/>
      </w:r>
      <w:r w:rsidRPr="00EC7D21">
        <w:rPr>
          <w:rFonts w:cstheme="minorHAnsi"/>
        </w:rPr>
        <w:t>, including both primary and secondary sources</w:t>
      </w:r>
      <w:r w:rsidRPr="00EC7D21">
        <w:rPr>
          <w:rFonts w:cstheme="minorHAnsi"/>
          <w:i/>
          <w:iCs/>
        </w:rPr>
        <w:t>.</w:t>
      </w:r>
    </w:p>
    <w:p w14:paraId="2CA4969A" w14:textId="77777777" w:rsidR="00734059" w:rsidRDefault="00734059" w:rsidP="00DC0584">
      <w:pPr>
        <w:spacing w:line="360" w:lineRule="auto"/>
        <w:jc w:val="both"/>
        <w:rPr>
          <w:rFonts w:ascii="Calibri" w:hAnsi="Calibri" w:cs="Calibri"/>
        </w:rPr>
      </w:pPr>
    </w:p>
    <w:p w14:paraId="7A553D10" w14:textId="40F132D6" w:rsidR="00DC0584" w:rsidRPr="00D85415" w:rsidRDefault="00DC0584" w:rsidP="00D85415">
      <w:pPr>
        <w:pStyle w:val="Ttulo2"/>
        <w:spacing w:after="240"/>
        <w:rPr>
          <w:rFonts w:ascii="Calibri" w:hAnsi="Calibri" w:cs="Calibri"/>
          <w:b/>
          <w:bCs/>
          <w:color w:val="auto"/>
          <w:sz w:val="22"/>
          <w:szCs w:val="22"/>
          <w:highlight w:val="yellow"/>
        </w:rPr>
      </w:pPr>
      <w:bookmarkStart w:id="15" w:name="_Toc194330860"/>
      <w:r w:rsidRPr="00D85415">
        <w:rPr>
          <w:rFonts w:ascii="Calibri" w:hAnsi="Calibri" w:cs="Calibri"/>
          <w:b/>
          <w:bCs/>
          <w:color w:val="auto"/>
          <w:sz w:val="22"/>
          <w:szCs w:val="22"/>
        </w:rPr>
        <w:t>4.2 NETPs models</w:t>
      </w:r>
      <w:bookmarkEnd w:id="15"/>
    </w:p>
    <w:p w14:paraId="49C74B09" w14:textId="20951CC4" w:rsidR="00331277" w:rsidRPr="00DC0584" w:rsidRDefault="00331277" w:rsidP="00D74C3B">
      <w:pPr>
        <w:spacing w:line="360" w:lineRule="auto"/>
        <w:jc w:val="both"/>
        <w:rPr>
          <w:rFonts w:ascii="Calibri" w:hAnsi="Calibri" w:cs="Calibri"/>
        </w:rPr>
      </w:pPr>
      <w:r w:rsidRPr="00DC0584">
        <w:rPr>
          <w:rFonts w:ascii="Calibri" w:hAnsi="Calibri" w:cs="Calibri"/>
        </w:rPr>
        <w:t xml:space="preserve">Given the novel nature of NETPs, the most uncertain assumptions and limitations of our models concern the interaction between scaled-up NETPs systems and the environment, which are predominantly location-dependent. </w:t>
      </w:r>
      <w:r w:rsidR="00854ACF" w:rsidRPr="00854ACF">
        <w:rPr>
          <w:rFonts w:ascii="Calibri" w:hAnsi="Calibri" w:cs="Calibri"/>
        </w:rPr>
        <w:t>W</w:t>
      </w:r>
      <w:r w:rsidRPr="00854ACF">
        <w:rPr>
          <w:rFonts w:ascii="Calibri" w:hAnsi="Calibri" w:cs="Calibri"/>
        </w:rPr>
        <w:t>e summarize the main ones</w:t>
      </w:r>
      <w:r w:rsidR="00854ACF" w:rsidRPr="00854ACF">
        <w:rPr>
          <w:rFonts w:ascii="Calibri" w:hAnsi="Calibri" w:cs="Calibri"/>
        </w:rPr>
        <w:t xml:space="preserve"> below</w:t>
      </w:r>
      <w:r w:rsidRPr="00854ACF">
        <w:rPr>
          <w:rFonts w:ascii="Calibri" w:hAnsi="Calibri" w:cs="Calibri"/>
        </w:rPr>
        <w:t>.</w:t>
      </w:r>
      <w:r w:rsidRPr="00DC0584">
        <w:rPr>
          <w:rFonts w:ascii="Calibri" w:hAnsi="Calibri" w:cs="Calibri"/>
        </w:rPr>
        <w:t xml:space="preserve"> </w:t>
      </w:r>
    </w:p>
    <w:p w14:paraId="7D967CBF" w14:textId="366EF65D" w:rsidR="00331277" w:rsidRPr="009C7ED1" w:rsidRDefault="00331277" w:rsidP="00DC0584">
      <w:pPr>
        <w:spacing w:line="360" w:lineRule="auto"/>
        <w:jc w:val="both"/>
        <w:rPr>
          <w:rFonts w:ascii="Calibri" w:hAnsi="Calibri" w:cs="Calibri"/>
        </w:rPr>
      </w:pPr>
      <w:r>
        <w:rPr>
          <w:rFonts w:ascii="Calibri" w:hAnsi="Calibri" w:cs="Calibri"/>
        </w:rPr>
        <w:t>NETPs relying on biological processes are susceptible to disturbances that could unexpectedly release the carbon sequestered in the biomass, such as pests, diseases, or extreme weather events that our models do not consider. Furthermore, we did not quantify the potential consequences of indirect land use changes due to large-scale biomass plantations, such as the relocation of cattle from their grazing areas. Finally, our model d</w:t>
      </w:r>
      <w:r w:rsidR="00AA444E">
        <w:rPr>
          <w:rFonts w:ascii="Calibri" w:hAnsi="Calibri" w:cs="Calibri"/>
        </w:rPr>
        <w:t>oes</w:t>
      </w:r>
      <w:r>
        <w:rPr>
          <w:rFonts w:ascii="Calibri" w:hAnsi="Calibri" w:cs="Calibri"/>
        </w:rPr>
        <w:t xml:space="preserve"> not include climate effects due</w:t>
      </w:r>
      <w:r w:rsidR="00A44BFB">
        <w:rPr>
          <w:rFonts w:ascii="Calibri" w:hAnsi="Calibri" w:cs="Calibri"/>
        </w:rPr>
        <w:t xml:space="preserve"> to</w:t>
      </w:r>
      <w:r>
        <w:rPr>
          <w:rFonts w:ascii="Calibri" w:hAnsi="Calibri" w:cs="Calibri"/>
        </w:rPr>
        <w:t xml:space="preserve"> evapotranspiration or albedo, dependent on the location characteristics, which could either </w:t>
      </w:r>
      <w:r w:rsidR="003E0195" w:rsidRPr="009C7ED1">
        <w:rPr>
          <w:rFonts w:ascii="Calibri" w:hAnsi="Calibri" w:cs="Calibri"/>
        </w:rPr>
        <w:t xml:space="preserve">offset the climate benefits of </w:t>
      </w:r>
      <w:r w:rsidR="003E0195">
        <w:rPr>
          <w:rFonts w:ascii="Calibri" w:hAnsi="Calibri" w:cs="Calibri"/>
        </w:rPr>
        <w:t xml:space="preserve">CDR or </w:t>
      </w:r>
      <w:r>
        <w:rPr>
          <w:rFonts w:ascii="Calibri" w:hAnsi="Calibri" w:cs="Calibri"/>
        </w:rPr>
        <w:t xml:space="preserve">contribute to further </w:t>
      </w:r>
      <w:r w:rsidRPr="009C7ED1">
        <w:rPr>
          <w:rFonts w:ascii="Calibri" w:hAnsi="Calibri" w:cs="Calibri"/>
        </w:rPr>
        <w:t>cooling</w:t>
      </w:r>
      <w:r w:rsidRPr="009C7ED1">
        <w:rPr>
          <w:rFonts w:ascii="Calibri" w:hAnsi="Calibri" w:cs="Calibri"/>
        </w:rPr>
        <w:fldChar w:fldCharType="begin" w:fldLock="1"/>
      </w:r>
      <w:r w:rsidR="00B4317C">
        <w:rPr>
          <w:rFonts w:ascii="Calibri" w:hAnsi="Calibri" w:cs="Calibri"/>
        </w:rPr>
        <w:instrText xml:space="preserve"> ADDIN ZOTERO_ITEM CSL_CITATION {"citationID":"sbWKv9K0","properties":{"formattedCitation":"\\super 65,66\\nosupersub{}","plainCitation":"65,66","noteIndex":0},"citationItems":[{"id":2243,"uris":["http://www.mendeley.com/documents/?uuid=ddbbf46d-d54a-44d3-9544-428c250c9bc1","http://zotero.org/users/14213812/items/JS3L57U7"],"itemData":{"id":2243,"type":"article-journal","abstract":"Bioenergy crop with carbon capture and storage (BECCS) is a key negative emission technology to meet carbon neutrality. However, the biophysical effects of widespread bioenergy crop cultivation on temperature remain unclear. Here, using a coupled atmosphere-land model with an explicit representation of lignocellulosic bioenergy crops, we find that after 50 years of large-scale bioenergy crop cultivation following plausible scenarios, global air temperature decreases by 0.03~0.08 °C, with strong regional contrasts and interannual variability. Over the cultivated regions, woody crops induce stronger cooling effects than herbaceous crops due to larger evapotranspiration rates and smaller aerodynamic resistance. At the continental scale, air temperature changes are not linearly proportional to the cultivation area. Sensitivity tests show that the temperature change is robust for eucalypt but more uncertain for switchgrass among different cultivation maps. Our study calls for new metrics to take the biophysical effects into account when assessing the climate mitigation capacity of BECCS.","container-title":"Nature Communications","DOI":"10.1038/s41467-021-27520-0","issue":"1","note":"publisher: Springer US\nISBN: 4146702127","page":"7255","title":"Global cooling induced by biophysical effects of bioenergy crop cultivation","volume":"12","author":[{"family":"Wang","given":"Jingmeng"},{"family":"Li","given":"Wei"},{"family":"Ciais","given":"Philippe"},{"family":"Li","given":"Laurent Z. X."},{"family":"Chang","given":"Jinfeng"},{"family":"Goll","given":"Daniel"},{"family":"Gasser","given":"Thomas"},{"family":"Huang","given":"Xiaomeng"},{"family":"Devaraju","given":"Narayanappa"},{"family":"Boucher","given":"Olivier"}],"issued":{"date-parts":[["2021"]]}}},{"id":"z2fanENt/lZv5b3c9","uris":["http://www.mendeley.com/documents/?uuid=30326c2d-0e39-4874-b904-6957298a9f5e"],"itemData":{"DOI":"10.1038/s43247-023-00866-7","ISSN":"26624435","abstract":"Carbon dioxide removal is essential for achieving the Paris Agreement targets. Here we compare bioenergy with carbon capture and storage (BECCS) and afforestation and reforestation in terms of their carbon removal potentials and impacts on carbon cycle and surface climate under an overshoot pathway using Earth System Model simulations. Althought initially BECCS can remove more carbon in allocated areas, carbon dioxide emissions from land use change regionally offset the benefits of BECCS compared to afforestation, depending on the carbon capture and storage efficiency and timescales required to achieve mitigation targets. Furthermore, BECCS may cause local cooling in high- and mid-latitude subregions of the Northern Hemisphere dominated by albedo effects, while afforestation causes local cooling in subtropical and tropical subregions through non-radiative mechanisms. The decision to allocate land to bioenergy crops or forests should account for their respective carbon removal potentials, modulated by carbon-concentration and carbon-climate feedbacks, and the effects on climate.","author":[{"dropping-particle":"","family":"Melnikova","given":"Irina","non-dropping-particle":"","parse-names":false,"suffix":""},{"dropping-particle":"","family":"Ciais","given":"Philippe","non-dropping-particle":"","parse-names":false,"suffix":""},{"dropping-particle":"","family":"Tanaka","given":"Katsumasa","non-dropping-particle":"","parse-names":false,"suffix":""},{"dropping-particle":"","family":"Vuichard","given":"Nicolas","non-dropping-particle":"","parse-names":false,"suffix":""},{"dropping-particle":"","family":"Boucher","given":"Olivier","non-dropping-particle":"","parse-names":false,"suffix":""}],"container-title":"Communications Earth and Environment","id":"ITEM-2","issue":"1","issued":{"date-parts":[["2023"]]},"page":"230","publisher":"Springer US","title":"Relative benefits of allocating land to bioenergy crops and forests vary by region","type":"article-journal","volume":"4"}}],"schema":"https://github.com/citation-style-language/schema/raw/master/csl-citation.json"} </w:instrText>
      </w:r>
      <w:r w:rsidRPr="009C7ED1">
        <w:rPr>
          <w:rFonts w:ascii="Calibri" w:hAnsi="Calibri" w:cs="Calibri"/>
        </w:rPr>
        <w:fldChar w:fldCharType="separate"/>
      </w:r>
      <w:r w:rsidR="00971A76" w:rsidRPr="00971A76">
        <w:rPr>
          <w:rFonts w:ascii="Calibri" w:hAnsi="Calibri" w:cs="Calibri"/>
          <w:vertAlign w:val="superscript"/>
        </w:rPr>
        <w:t>65,66</w:t>
      </w:r>
      <w:r w:rsidRPr="009C7ED1">
        <w:rPr>
          <w:rFonts w:ascii="Calibri" w:hAnsi="Calibri" w:cs="Calibri"/>
        </w:rPr>
        <w:fldChar w:fldCharType="end"/>
      </w:r>
      <w:r w:rsidRPr="009C7ED1">
        <w:rPr>
          <w:rFonts w:ascii="Calibri" w:hAnsi="Calibri" w:cs="Calibri"/>
          <w:vertAlign w:val="superscript"/>
        </w:rPr>
        <w:t>,</w:t>
      </w:r>
      <w:r w:rsidRPr="009C7ED1">
        <w:rPr>
          <w:rFonts w:ascii="Calibri" w:hAnsi="Calibri" w:cs="Calibri"/>
        </w:rPr>
        <w:fldChar w:fldCharType="begin" w:fldLock="1"/>
      </w:r>
      <w:r w:rsidR="00B4317C">
        <w:rPr>
          <w:rFonts w:ascii="Calibri" w:hAnsi="Calibri" w:cs="Calibri"/>
        </w:rPr>
        <w:instrText xml:space="preserve"> ADDIN ZOTERO_ITEM CSL_CITATION {"citationID":"YLPGwZQm","properties":{"formattedCitation":"\\super 93\\nosupersub{}","plainCitation":"93","noteIndex":0},"citationItems":[{"id":"z2fanENt/c5K6AVbG","uris":["http://www.mendeley.com/documents/?uuid=269fc57e-d2bd-4122-871e-70a48f733ea4"],"itemData":{"DOI":"10.1038/s41467-024-46577-1","ISSN":"20411723","PMID":"38531896","abstract":"Restoring tree cover changes albedo, which is the fraction of sunlight reflected from the Earth’s surface. In most locations, these changes in albedo offset or even negate the carbon removal benefits with the latter leading to global warming. Previous efforts to quantify the global climate mitigation benefit of restoring tree cover have not accounted robustly for albedo given a lack of spatially explicit data. Here we produce maps that show that carbon-only estimates may be up to 81% too high. While dryland and boreal settings have especially severe albedo offsets, it is possible to find places that provide net-positive climate mitigation benefits in all biomes. We further find that on-the-ground projects are concentrated in these more climate-positive locations, but that the majority still face at least a 20% albedo offset. Thus, strategically deploying restoration of tree cover for maximum climate benefit requires accounting for albedo change and we provide the tools to do so.","author":[{"dropping-particle":"","family":"Hasler","given":"Natalia","non-dropping-particle":"","parse-names":false,"suffix":""},{"dropping-particle":"","family":"Williams","given":"Christopher A.","non-dropping-particle":"","parse-names":false,"suffix":""},{"dropping-particle":"","family":"Denney","given":"Vanessa Carrasco","non-dropping-particle":"","parse-names":false,"suffix":""},{"dropping-particle":"","family":"Ellis","given":"Peter W.","non-dropping-particle":"","parse-names":false,"suffix":""},{"dropping-particle":"","family":"Shrestha","given":"Surendra","non-dropping-particle":"","parse-names":false,"suffix":""},{"dropping-particle":"","family":"Terasaki Hart","given":"Drew E.","non-dropping-particle":"","parse-names":false,"suffix":""},{"dropping-particle":"","family":"Wolff","given":"Nicholas H.","non-dropping-particle":"","parse-names":false,"suffix":""},{"dropping-particle":"","family":"Yeo","given":"Samantha","non-dropping-particle":"","parse-names":false,"suffix":""},{"dropping-particle":"","family":"Crowther","given":"Thomas W.","non-dropping-particle":"","parse-names":false,"suffix":""},{"dropping-particle":"","family":"Werden","given":"Leland K.","non-dropping-particle":"","parse-names":false,"suffix":""},{"dropping-particle":"","family":"Cook-Patton","given":"Susan C.","non-dropping-particle":"","parse-names":false,"suffix":""}],"container-title":"Nature Communications","id":"ITEM-1","issue":"1","issued":{"date-parts":[["2024"]]},"page":"2275","publisher":"Springer US","title":"Accounting for albedo change to identify climate-positive tree cover restoration","type":"article-journal","volume":"15"}}],"schema":"https://github.com/citation-style-language/schema/raw/master/csl-citation.json"} </w:instrText>
      </w:r>
      <w:r w:rsidRPr="009C7ED1">
        <w:rPr>
          <w:rFonts w:ascii="Calibri" w:hAnsi="Calibri" w:cs="Calibri"/>
        </w:rPr>
        <w:fldChar w:fldCharType="separate"/>
      </w:r>
      <w:r w:rsidR="00971A76" w:rsidRPr="00971A76">
        <w:rPr>
          <w:rFonts w:ascii="Calibri" w:hAnsi="Calibri" w:cs="Calibri"/>
          <w:vertAlign w:val="superscript"/>
        </w:rPr>
        <w:t>93</w:t>
      </w:r>
      <w:r w:rsidRPr="009C7ED1">
        <w:rPr>
          <w:rFonts w:ascii="Calibri" w:hAnsi="Calibri" w:cs="Calibri"/>
        </w:rPr>
        <w:fldChar w:fldCharType="end"/>
      </w:r>
      <w:r w:rsidRPr="009C7ED1">
        <w:rPr>
          <w:rFonts w:ascii="Calibri" w:hAnsi="Calibri" w:cs="Calibri"/>
          <w:vertAlign w:val="superscript"/>
        </w:rPr>
        <w:t>,</w:t>
      </w:r>
      <w:r w:rsidRPr="009C7ED1">
        <w:rPr>
          <w:rFonts w:ascii="Calibri" w:eastAsia="Calibri" w:hAnsi="Calibri" w:cs="Calibri"/>
        </w:rPr>
        <w:fldChar w:fldCharType="begin" w:fldLock="1"/>
      </w:r>
      <w:r w:rsidR="00971A76">
        <w:rPr>
          <w:rFonts w:ascii="Calibri" w:eastAsia="Calibri" w:hAnsi="Calibri" w:cs="Calibri"/>
        </w:rPr>
        <w:instrText xml:space="preserve"> ADDIN ZOTERO_ITEM CSL_CITATION {"citationID":"NnGwpGKG","properties":{"formattedCitation":"\\super 96,97\\nosupersub{}","plainCitation":"96,97","noteIndex":0},"citationItems":[{"id":2138,"uris":["http://www.mendeley.com/documents/?uuid=89436943-f9b5-38a5-b9a6-6be205f1d013","http://zotero.org/users/14213812/items/B8J4UJQU"],"itemData":{"id":2138,"type":"article-journal","abstract":"The agronomic use of charcoal from biomass pyrolysis (biochar) represents an interesting option for increasing soil fertility and sequestering atmospheric CO2. However, before moving toward large-scale biochar applications, additional research must evaluate all possible landatmosphere feedbacks. Despite the increasing number of studies investigating the effect of biochar on soil physical, chemical and biological properties, only a few have been done on surface albedo variations on agricultural lands. The present work had the aim of characterizing the annual albedo cycle for a durum wheat crop in Central Italy, by means of a spectroradiometer measurement campaign. Plots treated with biochar, at a rate of 3060tha-1, showed a surface albedo decrease of up to 80% (after the application) with respect to the control in bare soil conditions, while this difference tended to decrease during the crop growing season, because of the prevailing effect of canopy development on the radiometer response. After the post-harvesting tillage, the soil treated with biochar again showed a lower surface albedo value (&lt;2026% than the control), while the measurements taken in the second year after application suggested a clear decrease of biochar influence on soil color. The modeling of the surface energy balance highlighted changes in the partitioning of heat fluxes and in particular a substantial increase of ground heat fluxes on an annual basis. © 2012 IOP Publishing Ltd.","container-title":"Environmental Research Letters","DOI":"10.1088/1748-9326/7/1/014025","note":"publisher: Institute of Physics Publishing","page":"014025","title":"Surface albedo following biochar application in durum wheat","volume":"7","author":[{"family":"Genesio","given":"L."},{"family":"Miglietta","given":"F."},{"family":"Lugato","given":"E."},{"family":"Baronti","given":"S."},{"family":"Pieri","given":"M."},{"family":"Vaccari","given":"F. P."}],"issued":{"date-parts":[["2012"]]}}},{"id":2136,"uris":["http://www.mendeley.com/documents/?uuid=4cdbb6fe-52cd-3083-8ddc-6b5d172046bd","http://zotero.org/users/14213812/items/CYARZGEJ"],"itemData":{"id":2136,"type":"article-journal","abstract":"Biochar application to agricultural soils can change the surface albedo which could counteract the climate mitigation benefit of biochar systems. However, the size of this impact has not yet been quantified. Based on empirical albedo measurements and literature data of arable soils mixed with biochar, a model for annual vegetation cover development based on satellite data and an assessment of the annual development of surface humidity, an average mean annual albedo reduction of 0.05 has been calculated for applying 30-32 Mg ha -1 biochar on a test field near Bayreuth, Germany. The impact of biochar production and application on the carbon cycle and on the soil albedo was integrated into the greenhouse gas (GHG) balance of a modeled pyrolysis based biochar system via the computation of global warming potential (GWP) characterization factors. The analysis resulted in a reduction of the overall climate mitigation benefit of biochar systems by 13-22% due to the albedo change as compared to an analysis which disregards the albedo effect. Comparing the use of the same quantity of biomass in a biochar system to a bioenergy district heating system which replaces natural gas combustion, bioenergy heating systems achieve 99-119% of the climate benefit of biochar systems according to the model calculation. © 2012 American Chemical Society.","container-title":"Environmental Science and Technology","DOI":"10.1021/ES302302G","issue":"22","note":"publisher: American Chemical Society","page":"12726-12734","title":"Albedo impact on the suitability of biochar systems to mitigate global warming","volume":"46","author":[{"family":"Meyer","given":"Sebastian"},{"family":"Bright","given":"Ryan M."},{"family":"Fischer","given":"Daniel"},{"family":"Schulz","given":"Hardy"},{"family":"Glaser","given":"Bruno"}],"issued":{"date-parts":[["2012",11,20]]}}}],"schema":"https://github.com/citation-style-language/schema/raw/master/csl-citation.json"} </w:instrText>
      </w:r>
      <w:r w:rsidRPr="009C7ED1">
        <w:rPr>
          <w:rFonts w:ascii="Calibri" w:eastAsia="Calibri" w:hAnsi="Calibri" w:cs="Calibri"/>
        </w:rPr>
        <w:fldChar w:fldCharType="separate"/>
      </w:r>
      <w:r w:rsidR="00971A76" w:rsidRPr="00971A76">
        <w:rPr>
          <w:rFonts w:ascii="Calibri" w:hAnsi="Calibri" w:cs="Calibri"/>
          <w:vertAlign w:val="superscript"/>
        </w:rPr>
        <w:t>96,97</w:t>
      </w:r>
      <w:r w:rsidRPr="009C7ED1">
        <w:rPr>
          <w:rFonts w:ascii="Calibri" w:eastAsia="Calibri" w:hAnsi="Calibri" w:cs="Calibri"/>
        </w:rPr>
        <w:fldChar w:fldCharType="end"/>
      </w:r>
      <w:r w:rsidRPr="009C7ED1">
        <w:rPr>
          <w:rFonts w:ascii="Calibri" w:hAnsi="Calibri" w:cs="Calibri"/>
        </w:rPr>
        <w:t xml:space="preserve">. </w:t>
      </w:r>
    </w:p>
    <w:p w14:paraId="113C9B7C" w14:textId="49F7F8A0" w:rsidR="00331277" w:rsidRPr="009C7ED1" w:rsidRDefault="00331277" w:rsidP="00DC0584">
      <w:pPr>
        <w:spacing w:line="360" w:lineRule="auto"/>
        <w:jc w:val="both"/>
        <w:rPr>
          <w:rFonts w:ascii="Calibri" w:hAnsi="Calibri" w:cs="Calibri"/>
        </w:rPr>
      </w:pPr>
      <w:r w:rsidRPr="009C7ED1">
        <w:rPr>
          <w:rFonts w:ascii="Calibri" w:hAnsi="Calibri" w:cs="Calibri"/>
        </w:rPr>
        <w:lastRenderedPageBreak/>
        <w:t>Regarding the chemical NETPs cluster, the performance of DACCS is sensitive to regional weather conditions (temperature and humidity), not considered in this study</w:t>
      </w:r>
      <w:r w:rsidRPr="009C7ED1">
        <w:rPr>
          <w:rFonts w:ascii="Calibri" w:hAnsi="Calibri" w:cs="Calibri"/>
          <w:b/>
          <w:bCs/>
        </w:rPr>
        <w:fldChar w:fldCharType="begin" w:fldLock="1"/>
      </w:r>
      <w:r w:rsidR="00B4317C">
        <w:rPr>
          <w:rFonts w:ascii="Calibri" w:hAnsi="Calibri" w:cs="Calibri"/>
          <w:b/>
          <w:bCs/>
        </w:rPr>
        <w:instrText xml:space="preserve"> ADDIN ZOTERO_ITEM CSL_CITATION {"citationID":"I6R6jXqw","properties":{"formattedCitation":"\\super 102,103\\nosupersub{}","plainCitation":"102,103","noteIndex":0},"citationItems":[{"id":"z2fanENt/uYW82aW1","uris":["http://www.mendeley.com/documents/?uuid=5ef09fd6-3c2f-3e54-8cd9-10be4f0f4c46"],"itemData":{"DOI":"10.1016/J.ONEEAR.2022.09.003","ISSN":"2590-3322","abstract":"Carbon dioxide (CO2) removal from the atmospheric will be essential if we are to achieve net-zero emissions targets. Direct air capture (DAC) is a CO2 removal method with the potential for large-scale deployment. However, DAC operational costs, and thus deployment potential, is dependent on performance, which can vary under different climate conditions. Here, to further develop our understanding of the impact of regional climate variation on DAC performance, we use high-resolution hourly based global weather profiles between 2016 and 2020 and weighted average capital costs to obtain DAC regional performance and levelized cost of DAC (LCOD). We found that relatively cold and drier regions have favorable DAC performance. Moreover, approximately 25% of the world's land is potentially unsuitable due to very cold ambient temperatures for a substantial part of the year. For the remaining regions, the estimated LCOD is $320–$540 per tCO2 at an electricity cost of $50 MWh−1. Our results improve the understanding of regional DAC performance, which can provide valuable insights for sustainable DAC deployment and effective climate action.","author":[{"dropping-particle":"","family":"Sendi","given":"Marwan","non-dropping-particle":"","parse-names":false,"suffix":""},{"dropping-particle":"","family":"Bui","given":"Mai","non-dropping-particle":"","parse-names":false,"suffix":""},{"dropping-particle":"","family":"Dowell","given":"Niall","non-dropping-particle":"Mac","parse-names":false,"suffix":""},{"dropping-particle":"","family":"Fennell","given":"Paul","non-dropping-particle":"","parse-names":false,"suffix":""}],"container-title":"One Earth","id":"ITEM-1","issue":"10","issued":{"date-parts":[["2022","10","21"]]},"page":"1153-1164","publisher":"Cell Press","title":"Geospatial analysis of regional climate impacts to accelerate cost-efficient direct air capture deployment","type":"article-journal","volume":"5"}},{"id":"z2fanENt/vZkTzHPt","uris":["http://www.mendeley.com/documents/?uuid=2fa6a466-ebb4-3fac-8363-8bcfc294f7ae"],"itemData":{"DOI":"10.1039/D4YA00200H","ISSN":"2753-1457","abstract":"CO2 from adsorption with supported-amine sorbents using steam-assisted temperature-vacuum swing adsorption is a technology to capture CO2 from the atmosphere (direct air capture). This process has many operational parameters and, on top of that, is heavily influenced by the ambient temperature and relative humidity. Identifying the minimum cost of direct air capture becomes a multi-dimensional problem in which climate conditions has to be incorporated as well. This study aims to evaluate the cost of direct air capture for year-round operation and to relate this to climate conditions. An optimization framework was developed with the ambient conditions as input parameters. This framework is able to find the minimum cost of direct air capture for a given fixed bed DAC facility and provides the corresponding operational parameters. These results were coupled to year-round weather data to find the total costs for continuous operation. We showed that the cost of CO2 capture from air correlates well with the average annual temperature, with a high average temperature being more beneficial. Furthermore, climates with strong variation in weather conditions over the seasons require dynamic process control in order to operate at minimum cost of DAC. Overall, the presented optimization framework is an excellent tool to identify suitable locations for direct air capture and provide the operational parameters to minimize its cost.","author":[{"dropping-particle":"","family":"Schellevis","given":"H. M.","non-dropping-particle":"","parse-names":false,"suffix":""},{"dropping-particle":"","family":"la Combé","given":"J. D.","non-dropping-particle":"de","parse-names":false,"suffix":""},{"dropping-particle":"","family":"Brilman","given":"D. W.F.","non-dropping-particle":"","parse-names":false,"suffix":""}],"container-title":"Energy Advances","id":"ITEM-2","issue":"7","issued":{"date-parts":[["2024","7","11"]]},"page":"1678-1687","publisher":"RSC","title":"Optimizing direct air capture under varying weather conditions","type":"article-journal","volume":"3"}}],"schema":"https://github.com/citation-style-language/schema/raw/master/csl-citation.json"} </w:instrText>
      </w:r>
      <w:r w:rsidRPr="009C7ED1">
        <w:rPr>
          <w:rFonts w:ascii="Calibri" w:hAnsi="Calibri" w:cs="Calibri"/>
          <w:b/>
          <w:bCs/>
        </w:rPr>
        <w:fldChar w:fldCharType="separate"/>
      </w:r>
      <w:r w:rsidR="00971A76" w:rsidRPr="00971A76">
        <w:rPr>
          <w:rFonts w:ascii="Calibri" w:hAnsi="Calibri" w:cs="Calibri"/>
          <w:vertAlign w:val="superscript"/>
        </w:rPr>
        <w:t>102,103</w:t>
      </w:r>
      <w:r w:rsidRPr="009C7ED1">
        <w:rPr>
          <w:rFonts w:ascii="Calibri" w:hAnsi="Calibri" w:cs="Calibri"/>
          <w:b/>
          <w:bCs/>
        </w:rPr>
        <w:fldChar w:fldCharType="end"/>
      </w:r>
      <w:r w:rsidRPr="009C7ED1">
        <w:rPr>
          <w:rFonts w:ascii="Calibri" w:hAnsi="Calibri" w:cs="Calibri"/>
        </w:rPr>
        <w:t xml:space="preserve">. In the ocean liming scenarios, we did not quantify the benefits of counteracting ocean acidification because of the lack of adequate impact assessment methods. The potential side-effects of the added alkalinity on marine ecosystems, </w:t>
      </w:r>
      <w:r w:rsidRPr="00BA552E">
        <w:rPr>
          <w:rFonts w:ascii="Calibri" w:hAnsi="Calibri" w:cs="Calibri"/>
        </w:rPr>
        <w:t>still poorly understood</w:t>
      </w:r>
      <w:r w:rsidR="005C6382" w:rsidRPr="00BA552E">
        <w:fldChar w:fldCharType="begin" w:fldLock="1"/>
      </w:r>
      <w:r w:rsidR="00971A76">
        <w:instrText xml:space="preserve"> ADDIN ZOTERO_ITEM CSL_CITATION {"citationID":"3ZgvALkG","properties":{"formattedCitation":"\\super 104,105\\nosupersub{}","plainCitation":"104,105","noteIndex":0},"citationItems":[{"id":2669,"uris":["http://www.mendeley.com/documents/?uuid=34b56efa-fff0-45fb-a13b-fa212a7f8a33","http://zotero.org/users/14213812/items/LHD2LAQ4"],"itemData":{"id":2669,"type":"article-journal","abstract":"Over the previous two decades, a diverse array of geochemical negative emissions technologies (NETs) have been proposed, which use alkaline minerals for removing and permanently storing atmospheric carbon dioxide (CO 2 ). Geochemical NETs include CO 2 mineralization (methods which react alkaline minerals with CO 2 , producing solid carbonate minerals), enhanced weathering (dispersing alkaline minerals in the environment for CO 2 drawdown) and ocean alkalinity enhancement (manipulation of ocean chemistry to remove CO 2 from air as dissolved inorganic carbon). CO 2 mineralization approaches include in situ (CO 2 reacts with alkaline minerals in the Earth's subsurface), surficial (high surface area alkaline minerals found at the Earth's surface are reacted with air or CO 2 -bearing fluids), and ex situ (high surface area alkaline minerals are transported to sites of concentrated CO 2 production). Geochemical NETS may also include an approach to direct air capture (DAC) that harnesses surficial mineralization reactions to remove CO 2 from air, and produce concentrated CO 2 . Overall, these technologies are at an early stage of development with just a few subjected to field trials. In Part I of this work we have reviewed the current state of geochemical NETs, highlighting key features (mineral resources; processes; kinetics; storage durability; synergies with other NETs such as DAC, risks; limitations; co-benefits, environmental impacts and life-cycle assessment). The role of organisms and biological mechanisms in enhancing geochemical NETs is also explored. In Part II, a roadmap is presented to help catalyze the research, development, and deployment of geochemical NETs at the gigaton scale over the coming decades.","container-title":"Frontiers in Climate","DOI":"10.3389/fclim.2022.879133","page":"879133","title":"Geochemical Negative Emissions Technologies: Part I. Review","volume":"4","author":[{"family":"Campbell","given":"James S."},{"family":"Foteinis","given":"Spyros"},{"family":"Furey","given":"Veronica"},{"family":"Hawrot","given":"Olivia"},{"family":"Pike","given":"Daniel"},{"family":"Aeschlimann","given":"Silvan"},{"family":"Maesano","given":"Cara N."},{"family":"Reginato","given":"Paul L."},{"family":"Goodwin","given":"Daniel R."},{"family":"Looger","given":"Loren L."},{"family":"Boyden","given":"Edward S."},{"family":"Renforth","given":"Phil"}],"issued":{"date-parts":[["2022"]]}}},{"id":2838,"uris":["http://www.mendeley.com/documents/?uuid=b866267a-4653-4d2e-b5a6-e9e5c72ee093","http://zotero.org/users/14213812/items/U9K9QFY6"],"itemData":{"id":2838,"type":"article-journal","abstract":"Ocean liming (OL) is a potential carbon dioxide removal (CDR) method that aims to increase the ocean's capacity to absorb atmospheric CO2 by adding hydrated lime to the surface ocean. Modeling studies indicate that OL may cause temporary pH spikes lasting several minutes, depending on the lime sparging rate. Little is known about the short-term effects of these spikes on marine organisms. Aim of the present study is to investigate these effects on the copepod Acartia tonsa. Copepods were exposed to different pH conditions (9, 10, 11, 12) by dosing different hydrated lime solutions. Copepod mortality, movements, and behavior were recorded. At pH 9 for short exposure times (&lt;6 h), no negative effects were observed indicating a potential tolerable threshold for OL applications. At longer exposure times (&gt;6 h) and pH higher than 9, negative effects (mortality and sublethal effects) were found significantly higher than in the control.","container-title":"Marine Pollution Bulletin","DOI":"10.1016/j.marpolbul.2023.115833","ISSN":"18793363","issue":"November 2023","note":"PMID: 38043201\npublisher: Elsevier Ltd","page":"115833","title":"Short-term impact assessment of ocean liming: A copepod exposure test","volume":"198","author":[{"family":"Camatti","given":"Elisa"},{"family":"Valsecchi","given":"Silvia"},{"family":"Caserini","given":"Stefano"},{"family":"Barbaccia","given":"Eleonora"},{"family":"Santinelli","given":"Chiara"},{"family":"Basso","given":"Daniela"},{"family":"Azzellino","given":"Arianna"}],"issued":{"date-parts":[["2024"]]}}}],"schema":"https://github.com/citation-style-language/schema/raw/master/csl-citation.json"} </w:instrText>
      </w:r>
      <w:r w:rsidR="005C6382" w:rsidRPr="00BA552E">
        <w:fldChar w:fldCharType="separate"/>
      </w:r>
      <w:r w:rsidR="00971A76" w:rsidRPr="00971A76">
        <w:rPr>
          <w:rFonts w:ascii="Calibri" w:hAnsi="Calibri" w:cs="Calibri"/>
          <w:vertAlign w:val="superscript"/>
        </w:rPr>
        <w:t>104,105</w:t>
      </w:r>
      <w:r w:rsidR="005C6382" w:rsidRPr="00BA552E">
        <w:fldChar w:fldCharType="end"/>
      </w:r>
      <w:r w:rsidRPr="00BA552E">
        <w:rPr>
          <w:rFonts w:ascii="Calibri" w:hAnsi="Calibri" w:cs="Calibri"/>
        </w:rPr>
        <w:t>,</w:t>
      </w:r>
      <w:r w:rsidRPr="009C7ED1">
        <w:rPr>
          <w:rFonts w:ascii="Calibri" w:hAnsi="Calibri" w:cs="Calibri"/>
        </w:rPr>
        <w:t xml:space="preserve"> were not assessed either. </w:t>
      </w:r>
    </w:p>
    <w:p w14:paraId="67957621" w14:textId="025E50AD" w:rsidR="0078246D" w:rsidRPr="00780381" w:rsidRDefault="00331277" w:rsidP="00780381">
      <w:pPr>
        <w:spacing w:line="360" w:lineRule="auto"/>
        <w:jc w:val="both"/>
        <w:rPr>
          <w:rFonts w:ascii="Calibri" w:hAnsi="Calibri" w:cs="Calibri"/>
        </w:rPr>
      </w:pPr>
      <w:r w:rsidRPr="009C7ED1">
        <w:rPr>
          <w:rFonts w:ascii="Calibri" w:hAnsi="Calibri" w:cs="Calibri"/>
        </w:rPr>
        <w:t xml:space="preserve">Finally, the results of the enhanced weathering scenarios are the most uncertain due to the lack of long-term experimental data. Notably, the parameters derived from specific experimental studies are location-specific and may not be universally applicable. We took a conservative approach and assumed that all the elements in the rock leach at the same rate as the alkaline materials. While this is not necessarily true, metals could be suddenly released due to changes in the </w:t>
      </w:r>
      <w:r w:rsidRPr="009C7ED1">
        <w:rPr>
          <w:rFonts w:ascii="Calibri" w:eastAsia="Calibri" w:hAnsi="Calibri" w:cs="Calibri"/>
        </w:rPr>
        <w:t>he soil pH or redox conditions</w:t>
      </w:r>
      <w:r w:rsidRPr="009C7ED1">
        <w:rPr>
          <w:rFonts w:ascii="Calibri" w:eastAsia="Calibri" w:hAnsi="Calibri" w:cs="Calibri"/>
        </w:rPr>
        <w:fldChar w:fldCharType="begin" w:fldLock="1"/>
      </w:r>
      <w:r w:rsidR="00971A76">
        <w:rPr>
          <w:rFonts w:ascii="Calibri" w:eastAsia="Calibri" w:hAnsi="Calibri" w:cs="Calibri"/>
        </w:rPr>
        <w:instrText xml:space="preserve"> ADDIN ZOTERO_ITEM CSL_CITATION {"citationID":"zbqtPaH9","properties":{"formattedCitation":"\\super 44,45\\nosupersub{}","plainCitation":"44,45","noteIndex":0},"citationItems":[{"id":2829,"uris":["http://www.mendeley.com/documents/?uuid=82685ec6-2c7a-461c-8c2d-661b2bd40961","http://zotero.org/users/14213812/items/UKAX9ZAB"],"itemData":{"id":2829,"type":"chapter","abstract":"Given that less than 10% of family owned businesses (FOBs) survive into the third generation, the issue of top executive succession has received a good deal of attention. Unfortunately, the literature on the topic is fragmented, as it deals with different parts of the elephant. This synthetic effort tries to put together the pieces to (1) derive a more encompassing model of what it takes for a succession to succeed, (2) determine the trends, consensus findings, as well as the gaps in our conceptual and empirical knowledge, and (3) suggest areas for further research.","container-title":"Biogeodynamics of Pollutants in Soils and Sediments","note":"DOI: 10.1007/978-3-642-79418-6_4\nissue: Stigliani 1993","page":"87-102","title":"Mobilization of Heavy Metals as Affected by pH and Redox Conditions","author":[{"family":"Bourg","given":"A. C. M."},{"family":"Loch","given":"J. P. G."}],"issued":{"date-parts":[["1995"]]}}},{"id":2831,"uris":["http://www.mendeley.com/documents/?uuid=9d087d09-edc8-470a-b99e-104d699b4f9f","http://www.mendeley.com/documents/?uuid=c22e8c1b-39af-48f8-bdfe-a4206805cc7a","http://zotero.org/users/14213812/items/WNN3NXGX"],"itemData":{"id":2831,"type":"article-journal","abstract":"The role of ultramafic rock weathering in global chromium (Cr) budgets and how these may be linked to changes in Earth's climate over geological time was investigated by compiling dissolved Cr speciation and fluxes in (i) 73 of the worlds large rivers, representing ~35% of global river discharge to oceans, and in (ii) an ultramafic catchment (Putah Creek watershed) in the California Coast Range Mountains, USA. Weathering of ultramafic rocks creates ideal conditions for Cr release and redox cycling. Alkaline river water draining ultramafic catchments is naturally enriched in Cr (up to 582 nmol/L). Chromium concentrations increase with the extent of rock-water interaction (as indicated by correlations with Mg and HCO3- concentrations and pH), whereas Cr cycling depends on the availability of electron donors and acceptors (e.g. Fe(II), organics, Mn(III/IV)-oxides). Thus, dissolved Cr is exported from ultramafic watersheds as both the soluble hexavalent Cr(VI) species (MgCrO4, CrO42-), and also as trivalent Cr(III) species (CrOH(CO3)22-), Cr(OH)3). The latter Cr(III) species were previously thought to have low solubility. Ultramafic catchments have higher area normalized Cr and major ion fluxes for a given runoff when compared to global rivers and may thus have a disproportional impact on global Cr-budgets, long-term carbon cycling and moderation of the Earth's climate over million-year timescales. Riverine export fluxes of Cr are linearly correlated with fluxes of Ca + Mg and alkalinity in both ultramafic catchments and global rivers. This suggests that silicate weathering is a key control on Cr fluxes and that major element weathering fluxes may be a useful proxy for estimating Cr and other trace element fluxes. Globally, present-day riverine dissolved Cr fluxes to oceans are spatially variable and estimated to be 1.7 × 109 mol/yr, three times higher than previously reported. However, when geochemical reactions in estuaries are considered riverine Cr fluxes may be lower. Throughout Earth history, Cr weathering fluxes also may have varied with changes in the global distribution of ultramafic rocks, Cr concentrations in continental rocks, or climactic conditions (e.g. atmospheric CO2 levels or runoff). Such variation should be considered when interpreting both modern and past Cr seawater isotopic compositions and residence times.","container-title":"Chemical Geology","DOI":"10.1016/j.chemgeo.2016.01.021","ISSN":"00092541","page":"135-157","title":"Chromium fluxes and speciation in ultramafic catchments and global rivers","volume":"426","author":[{"family":"McClain","given":"C. N."},{"family":"Maher","given":"K."}],"issued":{"date-parts":[["2016"]]}}}],"schema":"https://github.com/citation-style-language/schema/raw/master/csl-citation.json"} </w:instrText>
      </w:r>
      <w:r w:rsidRPr="009C7ED1">
        <w:rPr>
          <w:rFonts w:ascii="Calibri" w:eastAsia="Calibri" w:hAnsi="Calibri" w:cs="Calibri"/>
        </w:rPr>
        <w:fldChar w:fldCharType="separate"/>
      </w:r>
      <w:r w:rsidR="00971A76" w:rsidRPr="00971A76">
        <w:rPr>
          <w:rFonts w:ascii="Calibri" w:hAnsi="Calibri" w:cs="Calibri"/>
          <w:vertAlign w:val="superscript"/>
        </w:rPr>
        <w:t>44,45</w:t>
      </w:r>
      <w:r w:rsidRPr="009C7ED1">
        <w:rPr>
          <w:rFonts w:ascii="Calibri" w:eastAsia="Calibri" w:hAnsi="Calibri" w:cs="Calibri"/>
        </w:rPr>
        <w:fldChar w:fldCharType="end"/>
      </w:r>
      <w:r w:rsidRPr="009C7ED1">
        <w:rPr>
          <w:rFonts w:ascii="Calibri" w:eastAsia="Calibri" w:hAnsi="Calibri" w:cs="Calibri"/>
        </w:rPr>
        <w:t>.</w:t>
      </w:r>
      <w:r w:rsidRPr="009C7ED1">
        <w:rPr>
          <w:rFonts w:ascii="Calibri" w:hAnsi="Calibri" w:cs="Calibri"/>
        </w:rPr>
        <w:t xml:space="preserve"> Moreover, we did not consider the potential effects of simultaneously applying nitrogen fertilizers and rock particles to the soil, which could alter the enhanced weathering performance</w:t>
      </w:r>
      <w:r w:rsidRPr="009C7ED1">
        <w:rPr>
          <w:rFonts w:ascii="Calibri" w:eastAsia="Calibri" w:hAnsi="Calibri" w:cs="Calibri"/>
        </w:rPr>
        <w:fldChar w:fldCharType="begin" w:fldLock="1"/>
      </w:r>
      <w:r w:rsidR="00971A76">
        <w:rPr>
          <w:rFonts w:ascii="Calibri" w:eastAsia="Calibri" w:hAnsi="Calibri" w:cs="Calibri"/>
        </w:rPr>
        <w:instrText xml:space="preserve"> ADDIN ZOTERO_ITEM CSL_CITATION {"citationID":"Nruk48Tf","properties":{"formattedCitation":"\\super 46\\nosupersub{}","plainCitation":"46","noteIndex":0},"citationItems":[{"id":1257,"uris":["http://www.mendeley.com/documents/?uuid=7d00fdc9-de00-45fc-9a17-bf00a71dc4dd","http://zotero.org/users/14213812/items/X8KXIH3W"],"itemData":{"id":1257,"type":"article-journal","abstract":"Chemical weathering is an integral part of both the rock and carbon cycles and is being affected by changes in land use, particularly as a result of agricultural practices such as tilling, mineral fertilization, or liming to adjust soil pH. These human activities have already altered the terrestrial chemical cycles and land-ocean flux of major elements, although the extent remains difficult to quantify. When deployed on a grand scale, Enhanced Weathering (a form of mineral fertilization), the application of finely ground minerals over the land surface, could be used to remove CO&lt;inf&gt;2&lt;/inf&gt; from the atmosphere. The release of cations during the dissolution of such silicate minerals would convert dissolved CO&lt;inf&gt;2&lt;/inf&gt; to bicarbonate, increasing the alkalinity and pH of natural waters. Some products of mineral dissolution would precipitate in soils or be taken up by ecosystems, but a significant portion would be transported to the coastal zone and the open ocean, where the increase in alkalinity would partially counteract \"ocean acidification\" associated with the current marked increase in atmospheric CO&lt;inf&gt;2&lt;/inf&gt;. Other elements released during this mineral dissolution, like Si, P, or K, could stimulate biological productivity, further helping to remove CO&lt;inf&gt;2&lt;/inf&gt; from the atmosphere. On land, the terrestrial carbon pool would likely increase in response to Enhanced Weathering in areas where ecosystem growth rates are currently limited by one of the nutrients that would be released during mineral dissolution. In the ocean, the biological carbon pumps (which export organic matter and CaCO&lt;inf&gt;3&lt;/inf&gt; to the deep ocean) may be altered by the resulting influx of nutrients and alkalinity to the ocean. This review merges current interdisciplinary knowledge about Enhanced Weathering, the processes involved, and the applicability as well as some of the consequences and risks of applying the method. Key Points Enhanced Weathering impacts the C-cycle, NPP and ocean acidity Enhanced Weathering alters besides the C-cycle further nutrient cycles The rock for crop concept is already applied as Enhanced Weathering © 2013. American Geophysical Union. All Rights Reserved.","container-title":"Reviews of Geophysics","DOI":"10.1002/rog.20004","ISSN":"19449208","issue":"2","page":"113-149","title":"Enhanced chemical weathering as a geoengineering strategy to reduce atmospheric carbon dioxide, supply nutrients, and mitigate ocean acidification","volume":"51","author":[{"family":"Hartmann","given":"Jens"},{"family":"West","given":"A. Joshua"},{"family":"Renforth","given":"Phil"},{"family":"Köhler","given":"Peter"},{"family":"De La Rocha","given":"Christina L."},{"family":"Wolf-Gladrow","given":"Dieter A."},{"family":"Dürr","given":"Hans H."},{"family":"Scheffran","given":"Jürgen"}],"issued":{"date-parts":[["2013"]]}}}],"schema":"https://github.com/citation-style-language/schema/raw/master/csl-citation.json"} </w:instrText>
      </w:r>
      <w:r w:rsidRPr="009C7ED1">
        <w:rPr>
          <w:rFonts w:ascii="Calibri" w:eastAsia="Calibri" w:hAnsi="Calibri" w:cs="Calibri"/>
        </w:rPr>
        <w:fldChar w:fldCharType="separate"/>
      </w:r>
      <w:r w:rsidR="00971A76" w:rsidRPr="00971A76">
        <w:rPr>
          <w:rFonts w:ascii="Calibri" w:hAnsi="Calibri" w:cs="Calibri"/>
          <w:vertAlign w:val="superscript"/>
        </w:rPr>
        <w:t>46</w:t>
      </w:r>
      <w:r w:rsidRPr="009C7ED1">
        <w:rPr>
          <w:rFonts w:ascii="Calibri" w:eastAsia="Calibri" w:hAnsi="Calibri" w:cs="Calibri"/>
        </w:rPr>
        <w:fldChar w:fldCharType="end"/>
      </w:r>
      <w:r w:rsidR="000277DC">
        <w:rPr>
          <w:rFonts w:ascii="Calibri" w:eastAsia="Calibri" w:hAnsi="Calibri" w:cs="Calibri"/>
        </w:rPr>
        <w:t xml:space="preserve">, or the potential increase in soil organic carbon </w:t>
      </w:r>
      <w:r w:rsidR="000277DC">
        <w:rPr>
          <w:rFonts w:ascii="Calibri" w:eastAsia="Calibri" w:hAnsi="Calibri" w:cs="Calibri"/>
        </w:rPr>
        <w:fldChar w:fldCharType="begin" w:fldLock="1"/>
      </w:r>
      <w:r w:rsidR="00B4317C">
        <w:rPr>
          <w:rFonts w:ascii="Calibri" w:eastAsia="Calibri" w:hAnsi="Calibri" w:cs="Calibri"/>
        </w:rPr>
        <w:instrText xml:space="preserve"> ADDIN ZOTERO_ITEM CSL_CITATION {"citationID":"v7NKqbPw","properties":{"formattedCitation":"\\super 48\\nosupersub{}","plainCitation":"48","noteIndex":0},"citationItems":[{"id":"z2fanENt/LOlZ8M7Y","uris":["http://www.mendeley.com/documents/?uuid=4b9e94f5-68d3-4242-9ebc-118df60d59e2"],"itemData":{"DOI":"10.1111/gcb.17464","ISSN":"13652486","abstract":"Enhanced silicate rock weathering (ERW) is an emerging strategy for carbon dioxide removal (CDR) from the atmosphere to mitigate anthropogenic climate change. ERW aims at promoting soil inorganic carbon sequestration by accelerating geochemical weathering processes. Theoretically, ERW may also impact soil organic carbon (SOC), the largest carbon pool in terrestrial ecosystems, but experimental evidence for this is largely lacking. Here, we conducted a 2-year field experiment in tropical rubber plantations in the southeast of China to evaluate the effects of wollastonite powder additions (0, 0.25, and 0.5 kg m−2) on both soil organic and inorganic carbon at 0–10 cm depth. We found that ERW significantly increased the concentration of SOC and HCO3−, but the increases in SOC were four and eight times higher than that of HCO3− with low- and high-level wollastonite applications. ERW had positive effects on the accrual of organic carbon in mineral-associated organic matter (MAOM) and macroaggregate fractions, but not on particulate organic matter. Path analysis suggested that ERW increased MAOM mainly by increasing the release of Ca, Si, and Fe, and to a lesser extent by stimulating root growth and microbial-derived carbon inputs. Our study indicates that ERW with wollastonite can promote SOC sequestration in stable MOAM in surface soils through both the soil mineral carbon pump and microbial carbon pump. These effects may have been larger than the inorganic CDR during our experiment. We argue it is essential to account for the responses of SOC in the assessments of CDR by ERW.","author":[{"dropping-particle":"","family":"Xu","given":"Tongtong","non-dropping-particle":"","parse-names":false,"suffix":""},{"dropping-particle":"","family":"Yuan","given":"Zuoqiang","non-dropping-particle":"","parse-names":false,"suffix":""},{"dropping-particle":"","family":"Vicca","given":"Sara","non-dropping-particle":"","parse-names":false,"suffix":""},{"dropping-particle":"","family":"Goll","given":"Daniel S.","non-dropping-particle":"","parse-names":false,"suffix":""},{"dropping-particle":"","family":"Li","given":"Guochen","non-dropping-particle":"","parse-names":false,"suffix":""},{"dropping-particle":"","family":"Lin","given":"Luxiang","non-dropping-particle":"","parse-names":false,"suffix":""},{"dropping-particle":"","family":"Chen","given":"Hui","non-dropping-particle":"","parse-names":false,"suffix":""},{"dropping-particle":"","family":"Bi","given":"Boyuan","non-dropping-particle":"","parse-names":false,"suffix":""},{"dropping-particle":"","family":"Chen","given":"Qiong","non-dropping-particle":"","parse-names":false,"suffix":""},{"dropping-particle":"","family":"Li","given":"Chenlu","non-dropping-particle":"","parse-names":false,"suffix":""},{"dropping-particle":"","family":"Wang","given":"Xing","non-dropping-particle":"","parse-names":false,"suffix":""},{"dropping-particle":"","family":"Wang","given":"Chao","non-dropping-particle":"","parse-names":false,"suffix":""},{"dropping-particle":"","family":"Hao","given":"Zhanqing","non-dropping-particle":"","parse-names":false,"suffix":""},{"dropping-particle":"","family":"Fang","given":"Yunting","non-dropping-particle":"","parse-names":false,"suffix":""},{"dropping-particle":"","family":"Beerling","given":"David J.","non-dropping-particle":"","parse-names":false,"suffix":""}],"container-title":"Global Change Biology","id":"ITEM-1","issue":"8","issued":{"date-parts":[["2024"]]},"page":"1-17","title":"Enhanced silicate weathering accelerates forest carbon sequestration by stimulating the soil mineral carbon pump","type":"article-journal","volume":"30"}}],"schema":"https://github.com/citation-style-language/schema/raw/master/csl-citation.json"} </w:instrText>
      </w:r>
      <w:r w:rsidR="000277DC">
        <w:rPr>
          <w:rFonts w:ascii="Calibri" w:eastAsia="Calibri" w:hAnsi="Calibri" w:cs="Calibri"/>
        </w:rPr>
        <w:fldChar w:fldCharType="separate"/>
      </w:r>
      <w:r w:rsidR="00971A76" w:rsidRPr="00971A76">
        <w:rPr>
          <w:rFonts w:ascii="Calibri" w:hAnsi="Calibri" w:cs="Calibri"/>
          <w:vertAlign w:val="superscript"/>
        </w:rPr>
        <w:t>48</w:t>
      </w:r>
      <w:r w:rsidR="000277DC">
        <w:rPr>
          <w:rFonts w:ascii="Calibri" w:eastAsia="Calibri" w:hAnsi="Calibri" w:cs="Calibri"/>
        </w:rPr>
        <w:fldChar w:fldCharType="end"/>
      </w:r>
      <w:r w:rsidRPr="009C7ED1">
        <w:rPr>
          <w:rFonts w:ascii="Calibri" w:hAnsi="Calibri" w:cs="Calibri"/>
        </w:rPr>
        <w:t>.</w:t>
      </w:r>
      <w:r>
        <w:rPr>
          <w:rFonts w:ascii="Calibri" w:hAnsi="Calibri" w:cs="Calibri"/>
        </w:rPr>
        <w:t xml:space="preserve"> </w:t>
      </w:r>
      <w:r w:rsidR="0078246D">
        <w:rPr>
          <w:b/>
          <w:bCs/>
          <w:sz w:val="24"/>
          <w:szCs w:val="24"/>
        </w:rPr>
        <w:br w:type="page"/>
      </w:r>
    </w:p>
    <w:p w14:paraId="62FF2058" w14:textId="43AF4FFB" w:rsidR="00453E23" w:rsidRPr="0061367A" w:rsidRDefault="0078246D" w:rsidP="00453E23">
      <w:pPr>
        <w:pStyle w:val="Ttulo1"/>
        <w:spacing w:after="240"/>
        <w:jc w:val="both"/>
        <w:rPr>
          <w:rFonts w:asciiTheme="minorHAnsi" w:hAnsiTheme="minorHAnsi" w:cstheme="minorBidi"/>
          <w:b/>
          <w:bCs/>
          <w:color w:val="auto"/>
          <w:sz w:val="24"/>
          <w:szCs w:val="24"/>
        </w:rPr>
      </w:pPr>
      <w:bookmarkStart w:id="16" w:name="_Toc194330861"/>
      <w:r w:rsidRPr="0061367A">
        <w:rPr>
          <w:rFonts w:asciiTheme="minorHAnsi" w:hAnsiTheme="minorHAnsi" w:cstheme="minorBidi"/>
          <w:b/>
          <w:bCs/>
          <w:color w:val="auto"/>
          <w:sz w:val="24"/>
          <w:szCs w:val="24"/>
        </w:rPr>
        <w:lastRenderedPageBreak/>
        <w:t xml:space="preserve">5. </w:t>
      </w:r>
      <w:r w:rsidR="00002E8B" w:rsidRPr="0061367A">
        <w:rPr>
          <w:rFonts w:asciiTheme="minorHAnsi" w:hAnsiTheme="minorHAnsi" w:cstheme="minorBidi"/>
          <w:b/>
          <w:bCs/>
          <w:color w:val="auto"/>
          <w:sz w:val="24"/>
          <w:szCs w:val="24"/>
        </w:rPr>
        <w:t>Supplementary results</w:t>
      </w:r>
      <w:bookmarkEnd w:id="16"/>
    </w:p>
    <w:p w14:paraId="47EE18DE" w14:textId="217494E4" w:rsidR="00A65C45" w:rsidRPr="000E4E00" w:rsidRDefault="001E5DA0" w:rsidP="00C34602">
      <w:pPr>
        <w:spacing w:line="360" w:lineRule="auto"/>
        <w:jc w:val="both"/>
      </w:pPr>
      <w:r w:rsidRPr="0061367A">
        <w:t xml:space="preserve">Supplementary Figure </w:t>
      </w:r>
      <w:r w:rsidR="004C1FE5" w:rsidRPr="0061367A">
        <w:t>2</w:t>
      </w:r>
      <w:r w:rsidRPr="0061367A">
        <w:t xml:space="preserve"> </w:t>
      </w:r>
      <w:r w:rsidR="00982D2F" w:rsidRPr="0061367A">
        <w:t>shows</w:t>
      </w:r>
      <w:r w:rsidRPr="0061367A">
        <w:t xml:space="preserve"> how t</w:t>
      </w:r>
      <w:r w:rsidR="00993C3C" w:rsidRPr="0061367A">
        <w:t>he GGR efficiencies of terrestrial NETPs decline</w:t>
      </w:r>
      <w:r w:rsidR="00991271" w:rsidRPr="0061367A">
        <w:t xml:space="preserve"> </w:t>
      </w:r>
      <w:r w:rsidR="00AD5342" w:rsidRPr="0061367A">
        <w:t>2</w:t>
      </w:r>
      <w:r w:rsidR="00991271" w:rsidRPr="0061367A">
        <w:t>0 years</w:t>
      </w:r>
      <w:r w:rsidR="00993C3C" w:rsidRPr="0061367A">
        <w:t xml:space="preserve"> </w:t>
      </w:r>
      <w:r w:rsidR="00496437" w:rsidRPr="0061367A">
        <w:t xml:space="preserve">after </w:t>
      </w:r>
      <w:r w:rsidR="00E2157A" w:rsidRPr="0061367A">
        <w:t xml:space="preserve">CDR </w:t>
      </w:r>
      <w:r w:rsidR="00993C3C" w:rsidRPr="0061367A">
        <w:t xml:space="preserve">due to </w:t>
      </w:r>
      <w:r w:rsidR="00993C3C" w:rsidRPr="00B875A7">
        <w:t xml:space="preserve">the </w:t>
      </w:r>
      <w:r w:rsidR="0046403F" w:rsidRPr="00B875A7">
        <w:t>partial release of the sequestered carbon</w:t>
      </w:r>
      <w:r w:rsidR="004403D1" w:rsidRPr="00B875A7">
        <w:t>, except for the scenarios where bi</w:t>
      </w:r>
      <w:r w:rsidR="00982D2F" w:rsidRPr="00B875A7">
        <w:t xml:space="preserve">ochar </w:t>
      </w:r>
      <w:r w:rsidR="008740E2" w:rsidRPr="00B875A7">
        <w:t>is used</w:t>
      </w:r>
      <w:r w:rsidR="00982D2F" w:rsidRPr="00B875A7">
        <w:t xml:space="preserve"> as sand replacement</w:t>
      </w:r>
      <w:r w:rsidR="00920248" w:rsidRPr="00B875A7">
        <w:t xml:space="preserve"> and</w:t>
      </w:r>
      <w:r w:rsidR="009C34C9" w:rsidRPr="00B875A7">
        <w:t xml:space="preserve"> </w:t>
      </w:r>
      <w:r w:rsidR="00E41910" w:rsidRPr="00B875A7">
        <w:t xml:space="preserve">therefore </w:t>
      </w:r>
      <w:r w:rsidR="009C34C9" w:rsidRPr="00B875A7">
        <w:t>the</w:t>
      </w:r>
      <w:r w:rsidR="00920248" w:rsidRPr="00B875A7">
        <w:t xml:space="preserve"> </w:t>
      </w:r>
      <w:r w:rsidR="0090318D" w:rsidRPr="00B875A7">
        <w:t>carbon remains sequestered</w:t>
      </w:r>
      <w:r w:rsidR="00334E27" w:rsidRPr="00B875A7">
        <w:t>. The GGR efficienc</w:t>
      </w:r>
      <w:r w:rsidR="00D043BF" w:rsidRPr="00B875A7">
        <w:t>ies</w:t>
      </w:r>
      <w:r w:rsidR="00334E27" w:rsidRPr="00B875A7">
        <w:t xml:space="preserve"> improve with </w:t>
      </w:r>
      <w:r w:rsidR="000733FC" w:rsidRPr="00B875A7">
        <w:t>later deployments because of the</w:t>
      </w:r>
      <w:r w:rsidR="001A3EBA" w:rsidRPr="00B875A7">
        <w:t xml:space="preserve"> progressive</w:t>
      </w:r>
      <w:r w:rsidR="000733FC" w:rsidRPr="00B875A7">
        <w:t xml:space="preserve"> decarbonization</w:t>
      </w:r>
      <w:r w:rsidR="001A3EBA" w:rsidRPr="00B875A7">
        <w:t xml:space="preserve"> of </w:t>
      </w:r>
      <w:r w:rsidR="00BA0380" w:rsidRPr="00B875A7">
        <w:t>multiple economic sectors</w:t>
      </w:r>
      <w:r w:rsidR="0046403F" w:rsidRPr="00B875A7">
        <w:t xml:space="preserve">. </w:t>
      </w:r>
      <w:r w:rsidR="008740E2" w:rsidRPr="00B875A7">
        <w:t xml:space="preserve">Supplementary Figure </w:t>
      </w:r>
      <w:r w:rsidR="004C1FE5" w:rsidRPr="00B875A7">
        <w:t>3</w:t>
      </w:r>
      <w:r w:rsidR="008740E2" w:rsidRPr="00B875A7">
        <w:t xml:space="preserve"> illustrates the GGR efficiencies of NETPs where CDR occurs the year of deployment and the CO</w:t>
      </w:r>
      <w:r w:rsidR="008740E2" w:rsidRPr="00B875A7">
        <w:rPr>
          <w:vertAlign w:val="subscript"/>
        </w:rPr>
        <w:t>2</w:t>
      </w:r>
      <w:r w:rsidR="008740E2" w:rsidRPr="00B875A7">
        <w:t xml:space="preserve"> sequestration is assumed to be permanent</w:t>
      </w:r>
      <w:r w:rsidR="00646893" w:rsidRPr="00B875A7">
        <w:t>.</w:t>
      </w:r>
      <w:r w:rsidR="008740E2" w:rsidRPr="00B875A7">
        <w:t xml:space="preserve"> </w:t>
      </w:r>
      <w:r w:rsidR="00646893" w:rsidRPr="00B875A7">
        <w:t>Here,</w:t>
      </w:r>
      <w:r w:rsidR="008740E2" w:rsidRPr="00B875A7">
        <w:t xml:space="preserve"> GGR efficiencies vary with the year of deployment (because the impacts of the foreground and background activities change over time) but remain constant </w:t>
      </w:r>
      <w:r w:rsidR="00C435AD" w:rsidRPr="00B875A7">
        <w:t>after deployment</w:t>
      </w:r>
      <w:r w:rsidR="008740E2" w:rsidRPr="00B875A7">
        <w:t>.</w:t>
      </w:r>
    </w:p>
    <w:p w14:paraId="23CB61F8" w14:textId="6425C0B8" w:rsidR="00D0261A" w:rsidRPr="005A4CDE" w:rsidRDefault="009A2C02" w:rsidP="00C34602">
      <w:pPr>
        <w:spacing w:line="360" w:lineRule="auto"/>
        <w:jc w:val="both"/>
        <w:rPr>
          <w:color w:val="FF0000"/>
          <w:highlight w:val="yellow"/>
        </w:rPr>
      </w:pPr>
      <w:r w:rsidRPr="006402A2">
        <w:t>We show the</w:t>
      </w:r>
      <w:r w:rsidR="00901A00" w:rsidRPr="006402A2">
        <w:t xml:space="preserve"> health</w:t>
      </w:r>
      <w:r w:rsidRPr="006402A2">
        <w:t xml:space="preserve"> and ecosystem impacts of </w:t>
      </w:r>
      <w:r w:rsidR="00132CC3" w:rsidRPr="006402A2">
        <w:t xml:space="preserve">deploying </w:t>
      </w:r>
      <w:r w:rsidRPr="006402A2">
        <w:t xml:space="preserve">DACCS, Ocean liming, BECCS and </w:t>
      </w:r>
      <w:r w:rsidR="00B86140" w:rsidRPr="006402A2">
        <w:t xml:space="preserve">terrestrial NETPs </w:t>
      </w:r>
      <w:r w:rsidR="00132CC3" w:rsidRPr="006402A2">
        <w:t>between 2030 and 2050 (</w:t>
      </w:r>
      <w:r w:rsidR="00B86140" w:rsidRPr="006402A2">
        <w:t xml:space="preserve">Supplementary Figure </w:t>
      </w:r>
      <w:r w:rsidR="004C1FE5" w:rsidRPr="006402A2">
        <w:t>4</w:t>
      </w:r>
      <w:r w:rsidR="00132CC3" w:rsidRPr="006402A2">
        <w:t>)</w:t>
      </w:r>
      <w:r w:rsidR="006C5B67" w:rsidRPr="006402A2">
        <w:t>, and</w:t>
      </w:r>
      <w:r w:rsidR="00002E8B" w:rsidRPr="006402A2">
        <w:t xml:space="preserve"> the contribution of the </w:t>
      </w:r>
      <w:r w:rsidR="00B42569" w:rsidRPr="006402A2">
        <w:t>environmental mechanisms</w:t>
      </w:r>
      <w:r w:rsidR="00002E8B" w:rsidRPr="006402A2">
        <w:t xml:space="preserve"> and unit process</w:t>
      </w:r>
      <w:r w:rsidR="002D10D4" w:rsidRPr="006402A2">
        <w:t>es</w:t>
      </w:r>
      <w:r w:rsidR="00002E8B" w:rsidRPr="006402A2">
        <w:t xml:space="preserve"> integrating NETPs to the</w:t>
      </w:r>
      <w:r w:rsidR="00E27164" w:rsidRPr="006402A2">
        <w:t xml:space="preserve"> total</w:t>
      </w:r>
      <w:r w:rsidR="00002E8B" w:rsidRPr="006402A2">
        <w:t xml:space="preserve"> human health and ecosystem damage caused by the</w:t>
      </w:r>
      <w:r w:rsidR="001E01F4" w:rsidRPr="006402A2">
        <w:t xml:space="preserve"> CDR</w:t>
      </w:r>
      <w:r w:rsidR="00002E8B" w:rsidRPr="006402A2">
        <w:t xml:space="preserve"> deployment in 2050</w:t>
      </w:r>
      <w:r w:rsidR="006C5B67" w:rsidRPr="006402A2">
        <w:t xml:space="preserve"> </w:t>
      </w:r>
      <w:r w:rsidR="001E01F4" w:rsidRPr="006402A2">
        <w:t>(</w:t>
      </w:r>
      <w:r w:rsidR="006C5B67" w:rsidRPr="006402A2">
        <w:t xml:space="preserve">Supplementary Figures </w:t>
      </w:r>
      <w:r w:rsidR="004C1FE5" w:rsidRPr="006402A2">
        <w:t>5</w:t>
      </w:r>
      <w:r w:rsidR="006C5B67" w:rsidRPr="006402A2">
        <w:t xml:space="preserve"> and </w:t>
      </w:r>
      <w:r w:rsidR="004C1FE5" w:rsidRPr="006402A2">
        <w:t>6</w:t>
      </w:r>
      <w:r w:rsidR="00763FD7" w:rsidRPr="006402A2">
        <w:t>, respectively</w:t>
      </w:r>
      <w:r w:rsidR="001E01F4" w:rsidRPr="006402A2">
        <w:t>)</w:t>
      </w:r>
      <w:r w:rsidR="00002E8B" w:rsidRPr="006402A2">
        <w:t xml:space="preserve">. </w:t>
      </w:r>
      <w:r w:rsidR="00D0261A" w:rsidRPr="00DE4F3B">
        <w:t>Note that the endpoint damage caused by coastal enhanced weathering is associated with only 10% of the 2050 CDR target (309 MtCO</w:t>
      </w:r>
      <w:r w:rsidR="00D0261A" w:rsidRPr="00DE4F3B">
        <w:rPr>
          <w:vertAlign w:val="subscript"/>
        </w:rPr>
        <w:t>2</w:t>
      </w:r>
      <w:r w:rsidR="00D0261A" w:rsidRPr="00DE4F3B">
        <w:t xml:space="preserve">) due to the limited deployment potential of this NETP: we estimated that meeting this 10% target would require applying </w:t>
      </w:r>
      <w:r w:rsidR="00D0261A" w:rsidRPr="00DE4F3B">
        <w:rPr>
          <w:rFonts w:cstheme="minorHAnsi"/>
        </w:rPr>
        <w:t>29 kg/m</w:t>
      </w:r>
      <w:r w:rsidR="00D0261A" w:rsidRPr="00DE4F3B">
        <w:rPr>
          <w:rFonts w:cstheme="minorHAnsi"/>
          <w:vertAlign w:val="superscript"/>
        </w:rPr>
        <w:t>2</w:t>
      </w:r>
      <w:r w:rsidR="00D0261A" w:rsidRPr="00DE4F3B">
        <w:rPr>
          <w:rFonts w:cstheme="minorHAnsi"/>
        </w:rPr>
        <w:t>/month of dunite rock over a 50 m distance throughout the world’s total coastal areas (3.65·10</w:t>
      </w:r>
      <w:r w:rsidR="00D0261A" w:rsidRPr="00DE4F3B">
        <w:rPr>
          <w:rFonts w:cstheme="minorHAnsi"/>
          <w:vertAlign w:val="superscript"/>
        </w:rPr>
        <w:t>5</w:t>
      </w:r>
      <w:r w:rsidR="00D0261A" w:rsidRPr="00DE4F3B">
        <w:rPr>
          <w:rFonts w:cstheme="minorHAnsi"/>
        </w:rPr>
        <w:t xml:space="preserve"> km</w:t>
      </w:r>
      <w:r w:rsidR="00D0261A" w:rsidRPr="00DE4F3B">
        <w:rPr>
          <w:rFonts w:cstheme="minorHAnsi"/>
        </w:rPr>
        <w:fldChar w:fldCharType="begin" w:fldLock="1"/>
      </w:r>
      <w:r w:rsidR="00B4317C">
        <w:rPr>
          <w:rFonts w:cstheme="minorHAnsi"/>
        </w:rPr>
        <w:instrText xml:space="preserve"> ADDIN ZOTERO_ITEM CSL_CITATION {"citationID":"iCoR0PFn","properties":{"formattedCitation":"\\super 106\\nosupersub{}","plainCitation":"106","noteIndex":0},"citationItems":[{"id":"z2fanENt/JzusEMvM","uris":["http://www.mendeley.com/documents/?uuid=fab874c0-333b-44e9-a5c2-b88ad1eca241"],"itemData":{"URL":"https://www.cia.gov/the-world-factbook/field/coastline/","author":[{"dropping-particle":"","family":"CIA","given":"","non-dropping-particle":"","parse-names":false,"suffix":""}],"id":"ITEM-1","issued":{"date-parts":[["0"]]},"title":"The world factbook. Coastline","type":"webpage"}}],"schema":"https://github.com/citation-style-language/schema/raw/master/csl-citation.json"} </w:instrText>
      </w:r>
      <w:r w:rsidR="00D0261A" w:rsidRPr="00DE4F3B">
        <w:rPr>
          <w:rFonts w:cstheme="minorHAnsi"/>
        </w:rPr>
        <w:fldChar w:fldCharType="separate"/>
      </w:r>
      <w:r w:rsidR="00971A76" w:rsidRPr="00971A76">
        <w:rPr>
          <w:rFonts w:ascii="Calibri" w:hAnsi="Calibri" w:cs="Calibri"/>
          <w:vertAlign w:val="superscript"/>
        </w:rPr>
        <w:t>106</w:t>
      </w:r>
      <w:r w:rsidR="00D0261A" w:rsidRPr="00DE4F3B">
        <w:rPr>
          <w:rFonts w:cstheme="minorHAnsi"/>
        </w:rPr>
        <w:fldChar w:fldCharType="end"/>
      </w:r>
      <w:r w:rsidR="00D0261A" w:rsidRPr="00DE4F3B">
        <w:rPr>
          <w:rFonts w:cstheme="minorHAnsi"/>
        </w:rPr>
        <w:t>). W</w:t>
      </w:r>
      <w:r w:rsidR="00D0261A" w:rsidRPr="00DE4F3B">
        <w:t xml:space="preserve">e consider two coastal enhanced weathering scenarios: one where the initial rock deployment starts in 2050, and another one where the application of the rock needed to achieve 10% of the 2050 CDR target started before 2050, i.e., only the amount of rock that was dissolved the previous year must be applied in 2050 to maintain the CDR rate. In Supplementary Figures </w:t>
      </w:r>
      <w:r w:rsidR="004C1FE5" w:rsidRPr="00DE4F3B">
        <w:t>5</w:t>
      </w:r>
      <w:r w:rsidR="00D0261A" w:rsidRPr="00DE4F3B">
        <w:t xml:space="preserve"> and </w:t>
      </w:r>
      <w:r w:rsidR="004C1FE5" w:rsidRPr="00DE4F3B">
        <w:t>6</w:t>
      </w:r>
      <w:r w:rsidR="00D0261A" w:rsidRPr="00DE4F3B">
        <w:t>, we do not show the upper error bar of the coastal enhanced weathering scenario with deployment starting in 2050 because the considered worst-case parameters lead to a negative GGR efficiency, i.e., net CDR is not attained.</w:t>
      </w:r>
    </w:p>
    <w:p w14:paraId="6E0FF69C" w14:textId="3EE96BE7" w:rsidR="00F86736" w:rsidRDefault="003B31AF" w:rsidP="00C34602">
      <w:pPr>
        <w:spacing w:line="360" w:lineRule="auto"/>
        <w:jc w:val="both"/>
      </w:pPr>
      <w:r w:rsidRPr="00DD5B5C">
        <w:t>The Earth-system impacts of each scenario</w:t>
      </w:r>
      <w:r w:rsidR="00F11479" w:rsidRPr="00DD5B5C">
        <w:t xml:space="preserve"> in 2050</w:t>
      </w:r>
      <w:r w:rsidRPr="00DD5B5C">
        <w:t xml:space="preserve"> are disaggregated </w:t>
      </w:r>
      <w:r w:rsidR="00F11479" w:rsidRPr="00DD5B5C">
        <w:t xml:space="preserve">in Supplementary Figure </w:t>
      </w:r>
      <w:r w:rsidR="004C1FE5" w:rsidRPr="00DD5B5C">
        <w:t>7</w:t>
      </w:r>
      <w:r w:rsidR="00ED37F3" w:rsidRPr="00DD5B5C">
        <w:t xml:space="preserve">, while Supplementary Figure </w:t>
      </w:r>
      <w:r w:rsidR="004C1FE5" w:rsidRPr="00DD5B5C">
        <w:t>8</w:t>
      </w:r>
      <w:r w:rsidR="00ED37F3" w:rsidRPr="00DD5B5C">
        <w:t xml:space="preserve"> indicates the impacts of the four NETP clusters over time on these Earth-system processes: </w:t>
      </w:r>
      <w:r w:rsidR="00ED37F3" w:rsidRPr="005325D6">
        <w:t xml:space="preserve">phosphorus biogeochemical flows, </w:t>
      </w:r>
      <w:r w:rsidR="00DD5B5C" w:rsidRPr="005325D6">
        <w:t xml:space="preserve">stratospheric ozone depletion and </w:t>
      </w:r>
      <w:r w:rsidR="00ED37F3" w:rsidRPr="005325D6">
        <w:t>land system change</w:t>
      </w:r>
      <w:r w:rsidR="007242D2" w:rsidRPr="005325D6">
        <w:t>,</w:t>
      </w:r>
      <w:r w:rsidR="00ED37F3" w:rsidRPr="005325D6">
        <w:t xml:space="preserve"> which amount to </w:t>
      </w:r>
      <w:r w:rsidR="00606A76" w:rsidRPr="005325D6">
        <w:rPr>
          <w:rFonts w:cstheme="minorHAnsi"/>
        </w:rPr>
        <w:t>≤</w:t>
      </w:r>
      <w:r w:rsidR="005325D6" w:rsidRPr="005325D6">
        <w:t>0.8</w:t>
      </w:r>
      <w:r w:rsidR="00ED37F3" w:rsidRPr="005325D6">
        <w:t>% of their safe operating space</w:t>
      </w:r>
      <w:r w:rsidR="00E97F3C" w:rsidRPr="005325D6">
        <w:t>.</w:t>
      </w:r>
      <w:r w:rsidR="00F11479" w:rsidRPr="005325D6">
        <w:t xml:space="preserve"> </w:t>
      </w:r>
      <w:r w:rsidR="00C57AD3" w:rsidRPr="005325D6">
        <w:t xml:space="preserve">Finally, </w:t>
      </w:r>
      <w:r w:rsidR="009E02FD" w:rsidRPr="005325D6">
        <w:t>S</w:t>
      </w:r>
      <w:r w:rsidR="008D6832" w:rsidRPr="005325D6">
        <w:t xml:space="preserve">upplementary Figure </w:t>
      </w:r>
      <w:r w:rsidR="004C1FE5" w:rsidRPr="005325D6">
        <w:t>9</w:t>
      </w:r>
      <w:r w:rsidR="008D6832" w:rsidRPr="005325D6">
        <w:t xml:space="preserve"> shows the </w:t>
      </w:r>
      <w:r w:rsidR="007274BE" w:rsidRPr="005325D6">
        <w:t xml:space="preserve">contribution </w:t>
      </w:r>
      <w:r w:rsidR="007274BE" w:rsidRPr="004C1FE5">
        <w:t>of unit processes and materials</w:t>
      </w:r>
      <w:r w:rsidR="004F7D16" w:rsidRPr="004C1FE5">
        <w:t xml:space="preserve"> integrat</w:t>
      </w:r>
      <w:r w:rsidR="000253CC" w:rsidRPr="004C1FE5">
        <w:t>ing</w:t>
      </w:r>
      <w:r w:rsidR="004F7D16" w:rsidRPr="004C1FE5">
        <w:t xml:space="preserve"> NETPs</w:t>
      </w:r>
      <w:r w:rsidR="007274BE" w:rsidRPr="004C1FE5">
        <w:t xml:space="preserve"> </w:t>
      </w:r>
      <w:r w:rsidR="007274BE" w:rsidRPr="004C1FE5">
        <w:rPr>
          <w:color w:val="000000" w:themeColor="text1"/>
        </w:rPr>
        <w:t>to the extraction of key resources</w:t>
      </w:r>
      <w:r w:rsidR="00C57AD3" w:rsidRPr="004C1FE5">
        <w:rPr>
          <w:color w:val="000000" w:themeColor="text1"/>
        </w:rPr>
        <w:t xml:space="preserve"> </w:t>
      </w:r>
      <w:r w:rsidR="007274BE" w:rsidRPr="004C1FE5">
        <w:rPr>
          <w:color w:val="000000" w:themeColor="text1"/>
        </w:rPr>
        <w:t>in</w:t>
      </w:r>
      <w:r w:rsidR="007274BE" w:rsidRPr="002F56FE">
        <w:rPr>
          <w:color w:val="000000" w:themeColor="text1"/>
        </w:rPr>
        <w:t xml:space="preserve"> </w:t>
      </w:r>
      <w:r w:rsidR="007274BE">
        <w:t>2050.</w:t>
      </w:r>
    </w:p>
    <w:p w14:paraId="1B86AAFD" w14:textId="429C160B" w:rsidR="00053C97" w:rsidRPr="006010BC" w:rsidRDefault="00F86736" w:rsidP="006010BC">
      <w:r>
        <w:br w:type="page"/>
      </w:r>
    </w:p>
    <w:p w14:paraId="467F0FD0" w14:textId="2590FC9A" w:rsidR="004C3B71" w:rsidRPr="000E4E00" w:rsidRDefault="008172D0" w:rsidP="000E4E00">
      <w:pPr>
        <w:jc w:val="center"/>
        <w:rPr>
          <w:sz w:val="18"/>
          <w:szCs w:val="18"/>
        </w:rPr>
      </w:pPr>
      <w:r w:rsidRPr="008172D0">
        <w:rPr>
          <w:rFonts w:cstheme="minorHAnsi"/>
          <w:b/>
          <w:bCs/>
          <w:noProof/>
          <w:color w:val="FF0000"/>
          <w:sz w:val="18"/>
          <w:szCs w:val="18"/>
        </w:rPr>
        <w:lastRenderedPageBreak/>
        <w:drawing>
          <wp:inline distT="0" distB="0" distL="0" distR="0" wp14:anchorId="15A615CE" wp14:editId="7BB7A9D1">
            <wp:extent cx="5400040" cy="2719705"/>
            <wp:effectExtent l="0" t="0" r="0" b="4445"/>
            <wp:docPr id="4098" name="Picture 2" descr="Gráfico&#10;&#10;Descripción generada automáticamente">
              <a:extLst xmlns:a="http://schemas.openxmlformats.org/drawingml/2006/main">
                <a:ext uri="{FF2B5EF4-FFF2-40B4-BE49-F238E27FC236}">
                  <a16:creationId xmlns:a16="http://schemas.microsoft.com/office/drawing/2014/main" id="{F3F43B64-8839-1ECE-9BB5-0E67F33C5B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Gráfico&#10;&#10;Descripción generada automáticamente">
                      <a:extLst>
                        <a:ext uri="{FF2B5EF4-FFF2-40B4-BE49-F238E27FC236}">
                          <a16:creationId xmlns:a16="http://schemas.microsoft.com/office/drawing/2014/main" id="{F3F43B64-8839-1ECE-9BB5-0E67F33C5BCA}"/>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2719705"/>
                    </a:xfrm>
                    <a:prstGeom prst="rect">
                      <a:avLst/>
                    </a:prstGeom>
                    <a:noFill/>
                  </pic:spPr>
                </pic:pic>
              </a:graphicData>
            </a:graphic>
          </wp:inline>
        </w:drawing>
      </w:r>
      <w:r w:rsidRPr="008172D0">
        <w:rPr>
          <w:rFonts w:cstheme="minorHAnsi"/>
          <w:b/>
          <w:bCs/>
          <w:color w:val="FF0000"/>
          <w:sz w:val="18"/>
          <w:szCs w:val="18"/>
        </w:rPr>
        <w:t xml:space="preserve"> </w:t>
      </w:r>
      <w:r w:rsidR="00F86736" w:rsidRPr="008172D0">
        <w:rPr>
          <w:rFonts w:cstheme="minorHAnsi"/>
          <w:b/>
          <w:bCs/>
          <w:sz w:val="18"/>
          <w:szCs w:val="18"/>
        </w:rPr>
        <w:t xml:space="preserve">Supplementary Fig. </w:t>
      </w:r>
      <w:r w:rsidR="004C1FE5" w:rsidRPr="008172D0">
        <w:rPr>
          <w:rFonts w:cstheme="minorHAnsi"/>
          <w:b/>
          <w:bCs/>
          <w:sz w:val="18"/>
          <w:szCs w:val="18"/>
        </w:rPr>
        <w:t>2</w:t>
      </w:r>
      <w:r w:rsidR="00F86736" w:rsidRPr="008172D0">
        <w:rPr>
          <w:rFonts w:cstheme="minorHAnsi"/>
          <w:sz w:val="18"/>
          <w:szCs w:val="18"/>
        </w:rPr>
        <w:t>.</w:t>
      </w:r>
      <w:r w:rsidR="00F86736" w:rsidRPr="008172D0">
        <w:rPr>
          <w:rFonts w:cstheme="minorHAnsi"/>
          <w:b/>
          <w:bCs/>
          <w:sz w:val="18"/>
          <w:szCs w:val="18"/>
        </w:rPr>
        <w:t xml:space="preserve"> Greenhouse gas removal (GGR) efficiencies of terrestrial Negative Emissions Technologies and Practices</w:t>
      </w:r>
      <w:r w:rsidR="003C3CFC" w:rsidRPr="008172D0">
        <w:rPr>
          <w:rFonts w:cstheme="minorHAnsi"/>
          <w:b/>
          <w:bCs/>
          <w:sz w:val="18"/>
          <w:szCs w:val="18"/>
        </w:rPr>
        <w:t xml:space="preserve">, </w:t>
      </w:r>
      <w:r w:rsidR="00117522" w:rsidRPr="008172D0">
        <w:rPr>
          <w:rFonts w:cstheme="minorHAnsi"/>
          <w:b/>
          <w:bCs/>
          <w:sz w:val="18"/>
          <w:szCs w:val="18"/>
        </w:rPr>
        <w:t>considering that</w:t>
      </w:r>
      <w:r w:rsidR="003C3CFC" w:rsidRPr="008172D0">
        <w:rPr>
          <w:rFonts w:cstheme="minorHAnsi"/>
          <w:b/>
          <w:bCs/>
          <w:sz w:val="18"/>
          <w:szCs w:val="18"/>
        </w:rPr>
        <w:t xml:space="preserve"> CDR occurs the initial year of deployment (between 2030 and 2050)</w:t>
      </w:r>
      <w:r w:rsidR="00F86736" w:rsidRPr="008172D0">
        <w:rPr>
          <w:rFonts w:cstheme="minorHAnsi"/>
          <w:b/>
          <w:bCs/>
          <w:sz w:val="18"/>
          <w:szCs w:val="18"/>
        </w:rPr>
        <w:t xml:space="preserve">. </w:t>
      </w:r>
      <w:r w:rsidR="00F86736" w:rsidRPr="008172D0">
        <w:rPr>
          <w:rFonts w:cstheme="minorHAnsi"/>
          <w:sz w:val="18"/>
          <w:szCs w:val="18"/>
        </w:rPr>
        <w:t>Scenarios include forestation (on pasturelands and grasslands</w:t>
      </w:r>
      <w:r w:rsidR="00214068" w:rsidRPr="008172D0">
        <w:rPr>
          <w:rFonts w:cstheme="minorHAnsi"/>
          <w:sz w:val="18"/>
          <w:szCs w:val="18"/>
        </w:rPr>
        <w:t>)</w:t>
      </w:r>
      <w:r w:rsidR="00F86736" w:rsidRPr="008172D0">
        <w:rPr>
          <w:rFonts w:cstheme="minorHAnsi"/>
          <w:sz w:val="18"/>
          <w:szCs w:val="18"/>
        </w:rPr>
        <w:t xml:space="preserve"> and biochar</w:t>
      </w:r>
      <w:r w:rsidR="00F86736" w:rsidRPr="008172D0">
        <w:rPr>
          <w:rFonts w:cstheme="minorHAnsi"/>
          <w:b/>
          <w:bCs/>
          <w:sz w:val="18"/>
          <w:szCs w:val="18"/>
        </w:rPr>
        <w:t xml:space="preserve"> </w:t>
      </w:r>
      <w:r w:rsidR="00F86736" w:rsidRPr="008172D0">
        <w:rPr>
          <w:rFonts w:cstheme="minorHAnsi"/>
          <w:sz w:val="18"/>
          <w:szCs w:val="18"/>
        </w:rPr>
        <w:t xml:space="preserve">applied to the soil (Biochar1) or used as sand substitute (Biochar2). Pyrolysis modeled with and without Carbon Capture and Storage (CCS). Grey-shaded areas represent the uncertainty of the results (lowest values correspond to the scenarios with the worst GGR efficiencies obtained with the most pessimistic foreground parameters and highest values derived from the best scenarios considering </w:t>
      </w:r>
      <w:r w:rsidR="00F63BD6" w:rsidRPr="008172D0">
        <w:rPr>
          <w:rFonts w:cstheme="minorHAnsi"/>
          <w:sz w:val="18"/>
          <w:szCs w:val="18"/>
        </w:rPr>
        <w:t xml:space="preserve">the </w:t>
      </w:r>
      <w:r w:rsidR="00F86736" w:rsidRPr="008172D0">
        <w:rPr>
          <w:rFonts w:cstheme="minorHAnsi"/>
          <w:sz w:val="18"/>
          <w:szCs w:val="18"/>
        </w:rPr>
        <w:t>most favorable foreground parameters).</w:t>
      </w:r>
      <w:r w:rsidR="00F86736" w:rsidRPr="008172D0">
        <w:rPr>
          <w:rFonts w:cstheme="minorHAnsi"/>
          <w:b/>
          <w:bCs/>
          <w:sz w:val="18"/>
          <w:szCs w:val="18"/>
        </w:rPr>
        <w:t xml:space="preserve"> a </w:t>
      </w:r>
      <w:r w:rsidR="00F86736" w:rsidRPr="008172D0">
        <w:rPr>
          <w:rFonts w:cstheme="minorHAnsi"/>
          <w:sz w:val="18"/>
          <w:szCs w:val="18"/>
        </w:rPr>
        <w:t xml:space="preserve">GGR efficiencies during the initial year of deployment. </w:t>
      </w:r>
      <w:r w:rsidR="00F86736" w:rsidRPr="008172D0">
        <w:rPr>
          <w:rFonts w:cstheme="minorHAnsi"/>
          <w:b/>
          <w:bCs/>
          <w:sz w:val="18"/>
          <w:szCs w:val="18"/>
        </w:rPr>
        <w:t>b</w:t>
      </w:r>
      <w:r w:rsidR="00F86736" w:rsidRPr="008172D0">
        <w:rPr>
          <w:rFonts w:cstheme="minorHAnsi"/>
          <w:sz w:val="18"/>
          <w:szCs w:val="18"/>
        </w:rPr>
        <w:t xml:space="preserve"> GGR efficiencies after </w:t>
      </w:r>
      <w:r w:rsidR="001838F1" w:rsidRPr="008172D0">
        <w:rPr>
          <w:rFonts w:cstheme="minorHAnsi"/>
          <w:sz w:val="18"/>
          <w:szCs w:val="18"/>
        </w:rPr>
        <w:t xml:space="preserve">20 years of </w:t>
      </w:r>
      <w:r w:rsidR="00F86736" w:rsidRPr="008172D0">
        <w:rPr>
          <w:rFonts w:cstheme="minorHAnsi"/>
          <w:sz w:val="18"/>
          <w:szCs w:val="18"/>
        </w:rPr>
        <w:t>deployment.</w:t>
      </w:r>
    </w:p>
    <w:p w14:paraId="4E7F1827" w14:textId="77777777" w:rsidR="00296669" w:rsidRDefault="00296669" w:rsidP="00C34602">
      <w:pPr>
        <w:spacing w:line="360" w:lineRule="auto"/>
        <w:jc w:val="both"/>
        <w:sectPr w:rsidR="00296669" w:rsidSect="000E4E00">
          <w:footerReference w:type="default" r:id="rId10"/>
          <w:footnotePr>
            <w:numFmt w:val="lowerLetter"/>
          </w:footnotePr>
          <w:pgSz w:w="11906" w:h="16838"/>
          <w:pgMar w:top="1417" w:right="1701" w:bottom="1417" w:left="1701" w:header="708" w:footer="708" w:gutter="0"/>
          <w:lnNumType w:countBy="1" w:restart="continuous"/>
          <w:cols w:space="708"/>
          <w:titlePg/>
          <w:docGrid w:linePitch="360"/>
        </w:sectPr>
      </w:pPr>
    </w:p>
    <w:p w14:paraId="6A6C5186" w14:textId="4E76384A" w:rsidR="001407B0" w:rsidRDefault="001803AE" w:rsidP="00466416">
      <w:pPr>
        <w:spacing w:after="0" w:line="240" w:lineRule="auto"/>
        <w:jc w:val="center"/>
        <w:rPr>
          <w:rFonts w:cstheme="minorHAnsi"/>
          <w:b/>
          <w:bCs/>
          <w:sz w:val="18"/>
          <w:szCs w:val="18"/>
        </w:rPr>
      </w:pPr>
      <w:r w:rsidRPr="001803AE">
        <w:rPr>
          <w:rFonts w:cstheme="minorHAnsi"/>
          <w:b/>
          <w:bCs/>
          <w:noProof/>
          <w:sz w:val="18"/>
          <w:szCs w:val="18"/>
        </w:rPr>
        <w:lastRenderedPageBreak/>
        <w:drawing>
          <wp:inline distT="0" distB="0" distL="0" distR="0" wp14:anchorId="285A3E29" wp14:editId="4DE61727">
            <wp:extent cx="7624800" cy="2883600"/>
            <wp:effectExtent l="0" t="0" r="0" b="0"/>
            <wp:docPr id="3076" name="Picture 4" descr="Interfaz de usuario gráfica&#10;&#10;Descripción generada automáticamente con confianza media">
              <a:extLst xmlns:a="http://schemas.openxmlformats.org/drawingml/2006/main">
                <a:ext uri="{FF2B5EF4-FFF2-40B4-BE49-F238E27FC236}">
                  <a16:creationId xmlns:a16="http://schemas.microsoft.com/office/drawing/2014/main" id="{049087B3-8F29-19D9-0738-E692402F92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Interfaz de usuario gráfica&#10;&#10;Descripción generada automáticamente con confianza media">
                      <a:extLst>
                        <a:ext uri="{FF2B5EF4-FFF2-40B4-BE49-F238E27FC236}">
                          <a16:creationId xmlns:a16="http://schemas.microsoft.com/office/drawing/2014/main" id="{049087B3-8F29-19D9-0738-E692402F9286}"/>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4800" cy="2883600"/>
                    </a:xfrm>
                    <a:prstGeom prst="rect">
                      <a:avLst/>
                    </a:prstGeom>
                    <a:noFill/>
                  </pic:spPr>
                </pic:pic>
              </a:graphicData>
            </a:graphic>
          </wp:inline>
        </w:drawing>
      </w:r>
    </w:p>
    <w:p w14:paraId="698CCF80" w14:textId="7CDBC1A9" w:rsidR="00F951C5" w:rsidRPr="001803AE" w:rsidRDefault="004B51BE" w:rsidP="001407B0">
      <w:pPr>
        <w:spacing w:after="0" w:line="240" w:lineRule="auto"/>
        <w:jc w:val="center"/>
        <w:rPr>
          <w:rFonts w:cstheme="minorHAnsi"/>
          <w:b/>
          <w:bCs/>
          <w:sz w:val="18"/>
          <w:szCs w:val="18"/>
        </w:rPr>
      </w:pPr>
      <w:r w:rsidRPr="001803AE">
        <w:rPr>
          <w:rFonts w:cstheme="minorHAnsi"/>
          <w:b/>
          <w:bCs/>
          <w:sz w:val="18"/>
          <w:szCs w:val="18"/>
        </w:rPr>
        <w:t>Supplementary Fig</w:t>
      </w:r>
      <w:r w:rsidR="00232AAA" w:rsidRPr="001803AE">
        <w:rPr>
          <w:rFonts w:cstheme="minorHAnsi"/>
          <w:b/>
          <w:bCs/>
          <w:sz w:val="18"/>
          <w:szCs w:val="18"/>
        </w:rPr>
        <w:t>.</w:t>
      </w:r>
      <w:r w:rsidRPr="001803AE">
        <w:rPr>
          <w:rFonts w:cstheme="minorHAnsi"/>
          <w:b/>
          <w:bCs/>
          <w:sz w:val="18"/>
          <w:szCs w:val="18"/>
        </w:rPr>
        <w:t xml:space="preserve"> </w:t>
      </w:r>
      <w:r w:rsidR="004C1FE5" w:rsidRPr="001803AE">
        <w:rPr>
          <w:rFonts w:cstheme="minorHAnsi"/>
          <w:b/>
          <w:bCs/>
          <w:sz w:val="18"/>
          <w:szCs w:val="18"/>
        </w:rPr>
        <w:t>3</w:t>
      </w:r>
      <w:r w:rsidRPr="001803AE">
        <w:rPr>
          <w:rFonts w:cstheme="minorHAnsi"/>
          <w:sz w:val="18"/>
          <w:szCs w:val="18"/>
        </w:rPr>
        <w:t>.</w:t>
      </w:r>
      <w:r w:rsidR="002B2A08" w:rsidRPr="001803AE">
        <w:rPr>
          <w:rFonts w:cstheme="minorHAnsi"/>
          <w:b/>
          <w:bCs/>
          <w:sz w:val="18"/>
          <w:szCs w:val="18"/>
        </w:rPr>
        <w:t xml:space="preserve"> Greenhouse gas removal (GGR) efficiencies of Negative Emissions Technologies and Practices</w:t>
      </w:r>
      <w:r w:rsidR="001F28BB" w:rsidRPr="001803AE">
        <w:rPr>
          <w:rFonts w:cstheme="minorHAnsi"/>
          <w:b/>
          <w:bCs/>
          <w:sz w:val="18"/>
          <w:szCs w:val="18"/>
        </w:rPr>
        <w:t xml:space="preserve"> where CDR occurs the </w:t>
      </w:r>
      <w:r w:rsidR="00373BE8" w:rsidRPr="001803AE">
        <w:rPr>
          <w:rFonts w:cstheme="minorHAnsi"/>
          <w:b/>
          <w:bCs/>
          <w:sz w:val="18"/>
          <w:szCs w:val="18"/>
        </w:rPr>
        <w:t>initial year of deployment</w:t>
      </w:r>
      <w:r w:rsidR="001F28BB" w:rsidRPr="001803AE">
        <w:rPr>
          <w:rFonts w:cstheme="minorHAnsi"/>
          <w:b/>
          <w:bCs/>
          <w:sz w:val="18"/>
          <w:szCs w:val="18"/>
        </w:rPr>
        <w:t xml:space="preserve"> </w:t>
      </w:r>
      <w:r w:rsidR="00AB3EC1" w:rsidRPr="001803AE">
        <w:rPr>
          <w:rFonts w:cstheme="minorHAnsi"/>
          <w:b/>
          <w:bCs/>
          <w:sz w:val="18"/>
          <w:szCs w:val="18"/>
        </w:rPr>
        <w:t xml:space="preserve">(between 2030 and 2050) </w:t>
      </w:r>
      <w:r w:rsidR="00B87685" w:rsidRPr="001803AE">
        <w:rPr>
          <w:rFonts w:cstheme="minorHAnsi"/>
          <w:b/>
          <w:bCs/>
          <w:sz w:val="18"/>
          <w:szCs w:val="18"/>
        </w:rPr>
        <w:t xml:space="preserve">and </w:t>
      </w:r>
      <w:r w:rsidR="009738A3" w:rsidRPr="001803AE">
        <w:rPr>
          <w:rFonts w:cstheme="minorHAnsi"/>
          <w:b/>
          <w:bCs/>
          <w:sz w:val="18"/>
          <w:szCs w:val="18"/>
        </w:rPr>
        <w:t>CO</w:t>
      </w:r>
      <w:r w:rsidR="009738A3" w:rsidRPr="001803AE">
        <w:rPr>
          <w:rFonts w:cstheme="minorHAnsi"/>
          <w:b/>
          <w:bCs/>
          <w:sz w:val="18"/>
          <w:szCs w:val="18"/>
          <w:vertAlign w:val="subscript"/>
        </w:rPr>
        <w:t>2</w:t>
      </w:r>
      <w:r w:rsidR="009738A3" w:rsidRPr="001803AE">
        <w:rPr>
          <w:rFonts w:cstheme="minorHAnsi"/>
          <w:b/>
          <w:bCs/>
          <w:sz w:val="18"/>
          <w:szCs w:val="18"/>
        </w:rPr>
        <w:t xml:space="preserve"> remains sequestered over</w:t>
      </w:r>
      <w:r w:rsidR="00B87685" w:rsidRPr="001803AE">
        <w:rPr>
          <w:rFonts w:cstheme="minorHAnsi"/>
          <w:b/>
          <w:bCs/>
          <w:sz w:val="18"/>
          <w:szCs w:val="18"/>
        </w:rPr>
        <w:t xml:space="preserve"> t</w:t>
      </w:r>
      <w:r w:rsidR="00A20FBD" w:rsidRPr="001803AE">
        <w:rPr>
          <w:rFonts w:cstheme="minorHAnsi"/>
          <w:b/>
          <w:bCs/>
          <w:sz w:val="18"/>
          <w:szCs w:val="18"/>
        </w:rPr>
        <w:t>he considered time horizon (</w:t>
      </w:r>
      <w:r w:rsidR="00510812" w:rsidRPr="001803AE">
        <w:rPr>
          <w:rFonts w:cstheme="minorHAnsi"/>
          <w:b/>
          <w:bCs/>
          <w:sz w:val="18"/>
          <w:szCs w:val="18"/>
        </w:rPr>
        <w:t>2</w:t>
      </w:r>
      <w:r w:rsidR="00A20FBD" w:rsidRPr="001803AE">
        <w:rPr>
          <w:rFonts w:cstheme="minorHAnsi"/>
          <w:b/>
          <w:bCs/>
          <w:sz w:val="18"/>
          <w:szCs w:val="18"/>
        </w:rPr>
        <w:t>0 years</w:t>
      </w:r>
      <w:r w:rsidR="00AB3EC1" w:rsidRPr="001803AE">
        <w:rPr>
          <w:rFonts w:cstheme="minorHAnsi"/>
          <w:b/>
          <w:bCs/>
          <w:sz w:val="18"/>
          <w:szCs w:val="18"/>
        </w:rPr>
        <w:t>)</w:t>
      </w:r>
      <w:r w:rsidR="00A20FBD" w:rsidRPr="001803AE">
        <w:rPr>
          <w:rFonts w:cstheme="minorHAnsi"/>
          <w:b/>
          <w:bCs/>
          <w:sz w:val="18"/>
          <w:szCs w:val="18"/>
        </w:rPr>
        <w:t xml:space="preserve">. </w:t>
      </w:r>
      <w:r w:rsidR="002B2A08" w:rsidRPr="001803AE">
        <w:rPr>
          <w:rFonts w:cstheme="minorHAnsi"/>
          <w:sz w:val="18"/>
          <w:szCs w:val="18"/>
        </w:rPr>
        <w:t>Grey-shaded areas represent the uncertainty of the results</w:t>
      </w:r>
      <w:r w:rsidR="0082464F" w:rsidRPr="001803AE">
        <w:rPr>
          <w:rFonts w:cstheme="minorHAnsi"/>
          <w:sz w:val="18"/>
          <w:szCs w:val="18"/>
        </w:rPr>
        <w:t xml:space="preserve"> (</w:t>
      </w:r>
      <w:r w:rsidR="006A7AD0" w:rsidRPr="001803AE">
        <w:rPr>
          <w:rFonts w:cstheme="minorHAnsi"/>
          <w:sz w:val="18"/>
          <w:szCs w:val="18"/>
        </w:rPr>
        <w:t xml:space="preserve">lowest </w:t>
      </w:r>
      <w:r w:rsidR="0082464F" w:rsidRPr="001803AE">
        <w:rPr>
          <w:rFonts w:cstheme="minorHAnsi"/>
          <w:sz w:val="18"/>
          <w:szCs w:val="18"/>
        </w:rPr>
        <w:t xml:space="preserve">values correspond </w:t>
      </w:r>
      <w:r w:rsidR="005814A2" w:rsidRPr="001803AE">
        <w:rPr>
          <w:rFonts w:cstheme="minorHAnsi"/>
          <w:sz w:val="18"/>
          <w:szCs w:val="18"/>
        </w:rPr>
        <w:t xml:space="preserve">to the scenarios with the </w:t>
      </w:r>
      <w:r w:rsidR="00726228" w:rsidRPr="001803AE">
        <w:rPr>
          <w:rFonts w:cstheme="minorHAnsi"/>
          <w:sz w:val="18"/>
          <w:szCs w:val="18"/>
        </w:rPr>
        <w:t>worst</w:t>
      </w:r>
      <w:r w:rsidR="005814A2" w:rsidRPr="001803AE">
        <w:rPr>
          <w:rFonts w:cstheme="minorHAnsi"/>
          <w:sz w:val="18"/>
          <w:szCs w:val="18"/>
        </w:rPr>
        <w:t xml:space="preserve"> GGR efficiencies obtained with </w:t>
      </w:r>
      <w:r w:rsidR="00422C54" w:rsidRPr="001803AE">
        <w:rPr>
          <w:rFonts w:cstheme="minorHAnsi"/>
          <w:sz w:val="18"/>
          <w:szCs w:val="18"/>
        </w:rPr>
        <w:t xml:space="preserve">the </w:t>
      </w:r>
      <w:r w:rsidR="004906EA" w:rsidRPr="001803AE">
        <w:rPr>
          <w:rFonts w:cstheme="minorHAnsi"/>
          <w:sz w:val="18"/>
          <w:szCs w:val="18"/>
        </w:rPr>
        <w:t>most pessimistic</w:t>
      </w:r>
      <w:r w:rsidR="00422C54" w:rsidRPr="001803AE">
        <w:rPr>
          <w:rFonts w:cstheme="minorHAnsi"/>
          <w:sz w:val="18"/>
          <w:szCs w:val="18"/>
        </w:rPr>
        <w:t xml:space="preserve"> foreground parameters</w:t>
      </w:r>
      <w:r w:rsidR="00802224" w:rsidRPr="001803AE">
        <w:rPr>
          <w:rFonts w:cstheme="minorHAnsi"/>
          <w:sz w:val="18"/>
          <w:szCs w:val="18"/>
        </w:rPr>
        <w:t xml:space="preserve"> and</w:t>
      </w:r>
      <w:r w:rsidR="004009A6" w:rsidRPr="001803AE">
        <w:rPr>
          <w:rFonts w:cstheme="minorHAnsi"/>
          <w:sz w:val="18"/>
          <w:szCs w:val="18"/>
        </w:rPr>
        <w:t xml:space="preserve"> highest</w:t>
      </w:r>
      <w:r w:rsidR="00802224" w:rsidRPr="001803AE">
        <w:rPr>
          <w:rFonts w:cstheme="minorHAnsi"/>
          <w:sz w:val="18"/>
          <w:szCs w:val="18"/>
        </w:rPr>
        <w:t xml:space="preserve"> values derived from the best scenarios considering</w:t>
      </w:r>
      <w:r w:rsidR="00F63BD6" w:rsidRPr="001803AE">
        <w:rPr>
          <w:rFonts w:cstheme="minorHAnsi"/>
          <w:sz w:val="18"/>
          <w:szCs w:val="18"/>
        </w:rPr>
        <w:t xml:space="preserve"> the</w:t>
      </w:r>
      <w:r w:rsidR="001045DC" w:rsidRPr="001803AE">
        <w:rPr>
          <w:rFonts w:cstheme="minorHAnsi"/>
          <w:sz w:val="18"/>
          <w:szCs w:val="18"/>
        </w:rPr>
        <w:t xml:space="preserve"> most favorable foreground parameters)</w:t>
      </w:r>
      <w:r w:rsidR="002B2A08" w:rsidRPr="001803AE">
        <w:rPr>
          <w:rFonts w:cstheme="minorHAnsi"/>
          <w:sz w:val="18"/>
          <w:szCs w:val="18"/>
        </w:rPr>
        <w:t>.</w:t>
      </w:r>
      <w:r w:rsidR="002B2A08" w:rsidRPr="001803AE">
        <w:rPr>
          <w:rFonts w:cstheme="minorHAnsi"/>
          <w:b/>
          <w:bCs/>
          <w:sz w:val="18"/>
          <w:szCs w:val="18"/>
        </w:rPr>
        <w:t xml:space="preserve"> a </w:t>
      </w:r>
      <w:r w:rsidR="002B2A08" w:rsidRPr="001803AE">
        <w:rPr>
          <w:rFonts w:cstheme="minorHAnsi"/>
          <w:sz w:val="18"/>
          <w:szCs w:val="18"/>
        </w:rPr>
        <w:t xml:space="preserve">Direct Air Carbon Capture and Storage (DACCS): High Temperature Liquid Sorbent (HTLS) and Low Temperature Solid Sorbent (LTSS). HTLS-1 is powered by natural gas (NG). NG supplies the heat of HTLS-2, while the electricity comes from the global average grid mix (GRID), solar photovoltaic (PV) or wind energy. HTLS-3 is powered by the GRID, PV or wind. LTSS is powered by the GRID, PV, wind or geothermal electricity (GEO). The heating demand of LTSS is supplied by heat pumps (LTSS-1) or excess geothermal heat (LTSS-2) generated in the production of GEO. </w:t>
      </w:r>
      <w:r w:rsidR="002B2A08" w:rsidRPr="001803AE">
        <w:rPr>
          <w:rFonts w:cstheme="minorHAnsi"/>
          <w:b/>
          <w:bCs/>
          <w:sz w:val="18"/>
          <w:szCs w:val="18"/>
        </w:rPr>
        <w:t>b</w:t>
      </w:r>
      <w:r w:rsidR="002B2A08" w:rsidRPr="001803AE">
        <w:rPr>
          <w:rFonts w:cstheme="minorHAnsi"/>
          <w:sz w:val="18"/>
          <w:szCs w:val="18"/>
        </w:rPr>
        <w:t xml:space="preserve"> </w:t>
      </w:r>
      <w:r w:rsidR="00E72BDB" w:rsidRPr="001803AE">
        <w:rPr>
          <w:rFonts w:cstheme="minorHAnsi"/>
          <w:sz w:val="18"/>
          <w:szCs w:val="18"/>
        </w:rPr>
        <w:t>O</w:t>
      </w:r>
      <w:r w:rsidR="002B2A08" w:rsidRPr="001803AE">
        <w:rPr>
          <w:rFonts w:cstheme="minorHAnsi"/>
          <w:sz w:val="18"/>
          <w:szCs w:val="18"/>
        </w:rPr>
        <w:t>cean liming (</w:t>
      </w:r>
      <w:proofErr w:type="spellStart"/>
      <w:r w:rsidR="002B2A08" w:rsidRPr="001803AE">
        <w:rPr>
          <w:rFonts w:cstheme="minorHAnsi"/>
          <w:sz w:val="18"/>
          <w:szCs w:val="18"/>
        </w:rPr>
        <w:t>OLiming</w:t>
      </w:r>
      <w:proofErr w:type="spellEnd"/>
      <w:r w:rsidR="002B2A08" w:rsidRPr="001803AE">
        <w:rPr>
          <w:rFonts w:cstheme="minorHAnsi"/>
          <w:sz w:val="18"/>
          <w:szCs w:val="18"/>
        </w:rPr>
        <w:t>)</w:t>
      </w:r>
      <w:r w:rsidR="00FD7BB3" w:rsidRPr="001803AE">
        <w:rPr>
          <w:rFonts w:cstheme="minorHAnsi"/>
          <w:sz w:val="18"/>
          <w:szCs w:val="18"/>
        </w:rPr>
        <w:t xml:space="preserve">. </w:t>
      </w:r>
      <w:r w:rsidR="002B2A08" w:rsidRPr="001803AE">
        <w:rPr>
          <w:rFonts w:cstheme="minorHAnsi"/>
          <w:sz w:val="18"/>
          <w:szCs w:val="18"/>
        </w:rPr>
        <w:t xml:space="preserve">The calciner of OLiming-1 uses NG, in OLiming-2, it is powered by the GRID, PV, or wind. </w:t>
      </w:r>
      <w:r w:rsidR="00FD7BB3" w:rsidRPr="001803AE">
        <w:rPr>
          <w:rFonts w:cstheme="minorHAnsi"/>
          <w:b/>
          <w:bCs/>
          <w:sz w:val="18"/>
          <w:szCs w:val="18"/>
        </w:rPr>
        <w:t>c</w:t>
      </w:r>
      <w:r w:rsidR="002B2A08" w:rsidRPr="001803AE">
        <w:rPr>
          <w:rFonts w:cstheme="minorHAnsi"/>
          <w:sz w:val="18"/>
          <w:szCs w:val="18"/>
        </w:rPr>
        <w:t xml:space="preserve"> Bioenergy with Carbon Capture and Storage (BECCS): combustion w/ post-combustion capture, oxy-combustion and gasification.</w:t>
      </w:r>
    </w:p>
    <w:p w14:paraId="00D79609" w14:textId="77777777" w:rsidR="00F951C5" w:rsidRPr="002171ED" w:rsidRDefault="00F951C5" w:rsidP="00F951C5">
      <w:pPr>
        <w:spacing w:line="360" w:lineRule="auto"/>
        <w:jc w:val="center"/>
        <w:rPr>
          <w:rFonts w:cstheme="minorHAnsi"/>
          <w:color w:val="FF0000"/>
          <w:sz w:val="20"/>
          <w:szCs w:val="20"/>
        </w:rPr>
      </w:pPr>
    </w:p>
    <w:p w14:paraId="440397EB" w14:textId="77777777" w:rsidR="00A51F7C" w:rsidRDefault="00A51F7C" w:rsidP="00C34602">
      <w:pPr>
        <w:spacing w:line="360" w:lineRule="auto"/>
        <w:jc w:val="both"/>
        <w:sectPr w:rsidR="00A51F7C" w:rsidSect="00E97F3C">
          <w:pgSz w:w="16838" w:h="11906" w:orient="landscape"/>
          <w:pgMar w:top="1701" w:right="1418" w:bottom="1701" w:left="1418" w:header="709" w:footer="709" w:gutter="0"/>
          <w:cols w:space="708"/>
          <w:docGrid w:linePitch="360"/>
        </w:sectPr>
      </w:pPr>
    </w:p>
    <w:p w14:paraId="0BC9115C" w14:textId="65D3492D" w:rsidR="006C6635" w:rsidRPr="003A0DCC" w:rsidRDefault="00C839FF" w:rsidP="003A0DCC">
      <w:pPr>
        <w:jc w:val="center"/>
        <w:rPr>
          <w:b/>
          <w:bCs/>
        </w:rPr>
      </w:pPr>
      <w:r>
        <w:rPr>
          <w:noProof/>
        </w:rPr>
        <w:lastRenderedPageBreak/>
        <w:drawing>
          <wp:anchor distT="0" distB="0" distL="114300" distR="114300" simplePos="0" relativeHeight="251673601" behindDoc="1" locked="0" layoutInCell="1" allowOverlap="1" wp14:anchorId="6CA6A55F" wp14:editId="745800A7">
            <wp:simplePos x="0" y="0"/>
            <wp:positionH relativeFrom="margin">
              <wp:align>center</wp:align>
            </wp:positionH>
            <wp:positionV relativeFrom="paragraph">
              <wp:posOffset>-470535</wp:posOffset>
            </wp:positionV>
            <wp:extent cx="8337600" cy="4147200"/>
            <wp:effectExtent l="0" t="0" r="6350" b="5715"/>
            <wp:wrapNone/>
            <wp:docPr id="1761121241"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121241" name="Imagen 1" descr="Interfaz de usuario gráfic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37600" cy="414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FAB678" w14:textId="77777777" w:rsidR="003A0DCC" w:rsidRDefault="003A0DCC" w:rsidP="006D1A9C">
      <w:pPr>
        <w:spacing w:line="240" w:lineRule="auto"/>
        <w:jc w:val="center"/>
        <w:rPr>
          <w:b/>
          <w:bCs/>
          <w:sz w:val="18"/>
          <w:szCs w:val="18"/>
          <w:highlight w:val="yellow"/>
        </w:rPr>
      </w:pPr>
    </w:p>
    <w:p w14:paraId="5A4A6B46" w14:textId="77777777" w:rsidR="003A0DCC" w:rsidRDefault="003A0DCC" w:rsidP="006D1A9C">
      <w:pPr>
        <w:spacing w:line="240" w:lineRule="auto"/>
        <w:jc w:val="center"/>
        <w:rPr>
          <w:b/>
          <w:bCs/>
          <w:sz w:val="18"/>
          <w:szCs w:val="18"/>
          <w:highlight w:val="yellow"/>
        </w:rPr>
      </w:pPr>
    </w:p>
    <w:p w14:paraId="15EB4F98" w14:textId="77777777" w:rsidR="003A0DCC" w:rsidRDefault="003A0DCC" w:rsidP="006D1A9C">
      <w:pPr>
        <w:spacing w:line="240" w:lineRule="auto"/>
        <w:jc w:val="center"/>
        <w:rPr>
          <w:b/>
          <w:bCs/>
          <w:sz w:val="18"/>
          <w:szCs w:val="18"/>
          <w:highlight w:val="yellow"/>
        </w:rPr>
      </w:pPr>
    </w:p>
    <w:p w14:paraId="19DC271E" w14:textId="77777777" w:rsidR="003A0DCC" w:rsidRDefault="003A0DCC" w:rsidP="006D1A9C">
      <w:pPr>
        <w:spacing w:line="240" w:lineRule="auto"/>
        <w:jc w:val="center"/>
        <w:rPr>
          <w:b/>
          <w:bCs/>
          <w:sz w:val="18"/>
          <w:szCs w:val="18"/>
          <w:highlight w:val="yellow"/>
        </w:rPr>
      </w:pPr>
    </w:p>
    <w:p w14:paraId="6DF5F756" w14:textId="77777777" w:rsidR="003A0DCC" w:rsidRDefault="003A0DCC" w:rsidP="006D1A9C">
      <w:pPr>
        <w:spacing w:line="240" w:lineRule="auto"/>
        <w:jc w:val="center"/>
        <w:rPr>
          <w:b/>
          <w:bCs/>
          <w:sz w:val="18"/>
          <w:szCs w:val="18"/>
          <w:highlight w:val="yellow"/>
        </w:rPr>
      </w:pPr>
    </w:p>
    <w:p w14:paraId="00BA1849" w14:textId="77777777" w:rsidR="003A0DCC" w:rsidRDefault="003A0DCC" w:rsidP="006D1A9C">
      <w:pPr>
        <w:spacing w:line="240" w:lineRule="auto"/>
        <w:jc w:val="center"/>
        <w:rPr>
          <w:b/>
          <w:bCs/>
          <w:sz w:val="18"/>
          <w:szCs w:val="18"/>
          <w:highlight w:val="yellow"/>
        </w:rPr>
      </w:pPr>
    </w:p>
    <w:p w14:paraId="5528DC48" w14:textId="77777777" w:rsidR="003A0DCC" w:rsidRDefault="003A0DCC" w:rsidP="006D1A9C">
      <w:pPr>
        <w:spacing w:line="240" w:lineRule="auto"/>
        <w:jc w:val="center"/>
        <w:rPr>
          <w:b/>
          <w:bCs/>
          <w:sz w:val="18"/>
          <w:szCs w:val="18"/>
          <w:highlight w:val="yellow"/>
        </w:rPr>
      </w:pPr>
    </w:p>
    <w:p w14:paraId="1F9045EA" w14:textId="77777777" w:rsidR="003A0DCC" w:rsidRDefault="003A0DCC" w:rsidP="006D1A9C">
      <w:pPr>
        <w:spacing w:line="240" w:lineRule="auto"/>
        <w:jc w:val="center"/>
        <w:rPr>
          <w:b/>
          <w:bCs/>
          <w:sz w:val="18"/>
          <w:szCs w:val="18"/>
          <w:highlight w:val="yellow"/>
        </w:rPr>
      </w:pPr>
    </w:p>
    <w:p w14:paraId="5D5D92F4" w14:textId="77777777" w:rsidR="003A0DCC" w:rsidRDefault="003A0DCC" w:rsidP="006D1A9C">
      <w:pPr>
        <w:spacing w:line="240" w:lineRule="auto"/>
        <w:jc w:val="center"/>
        <w:rPr>
          <w:b/>
          <w:bCs/>
          <w:sz w:val="18"/>
          <w:szCs w:val="18"/>
          <w:highlight w:val="yellow"/>
        </w:rPr>
      </w:pPr>
    </w:p>
    <w:p w14:paraId="2401D97E" w14:textId="77777777" w:rsidR="003A0DCC" w:rsidRDefault="003A0DCC" w:rsidP="006D1A9C">
      <w:pPr>
        <w:spacing w:line="240" w:lineRule="auto"/>
        <w:jc w:val="center"/>
        <w:rPr>
          <w:b/>
          <w:bCs/>
          <w:sz w:val="18"/>
          <w:szCs w:val="18"/>
          <w:highlight w:val="yellow"/>
        </w:rPr>
      </w:pPr>
    </w:p>
    <w:p w14:paraId="34E1EB09" w14:textId="77777777" w:rsidR="003A0DCC" w:rsidRDefault="003A0DCC" w:rsidP="006D1A9C">
      <w:pPr>
        <w:spacing w:line="240" w:lineRule="auto"/>
        <w:jc w:val="center"/>
        <w:rPr>
          <w:b/>
          <w:bCs/>
          <w:sz w:val="18"/>
          <w:szCs w:val="18"/>
          <w:highlight w:val="yellow"/>
        </w:rPr>
      </w:pPr>
    </w:p>
    <w:p w14:paraId="2F391305" w14:textId="77777777" w:rsidR="003A0DCC" w:rsidRDefault="003A0DCC" w:rsidP="006D1A9C">
      <w:pPr>
        <w:spacing w:line="240" w:lineRule="auto"/>
        <w:jc w:val="center"/>
        <w:rPr>
          <w:b/>
          <w:bCs/>
          <w:sz w:val="18"/>
          <w:szCs w:val="18"/>
          <w:highlight w:val="yellow"/>
        </w:rPr>
      </w:pPr>
    </w:p>
    <w:p w14:paraId="53876E09" w14:textId="77777777" w:rsidR="003A0DCC" w:rsidRDefault="003A0DCC" w:rsidP="006D1A9C">
      <w:pPr>
        <w:spacing w:line="240" w:lineRule="auto"/>
        <w:jc w:val="center"/>
        <w:rPr>
          <w:b/>
          <w:bCs/>
          <w:sz w:val="18"/>
          <w:szCs w:val="18"/>
          <w:highlight w:val="yellow"/>
        </w:rPr>
      </w:pPr>
    </w:p>
    <w:p w14:paraId="301754AC" w14:textId="77777777" w:rsidR="003A0DCC" w:rsidRDefault="003A0DCC" w:rsidP="006D1A9C">
      <w:pPr>
        <w:spacing w:line="240" w:lineRule="auto"/>
        <w:jc w:val="center"/>
        <w:rPr>
          <w:b/>
          <w:bCs/>
          <w:sz w:val="18"/>
          <w:szCs w:val="18"/>
          <w:highlight w:val="yellow"/>
        </w:rPr>
      </w:pPr>
    </w:p>
    <w:p w14:paraId="24C9AE66" w14:textId="0A1806CE" w:rsidR="00486D62" w:rsidRPr="006402A2" w:rsidRDefault="00EF1E39" w:rsidP="006D1A9C">
      <w:pPr>
        <w:spacing w:line="240" w:lineRule="auto"/>
        <w:jc w:val="center"/>
        <w:rPr>
          <w:sz w:val="18"/>
          <w:szCs w:val="18"/>
        </w:rPr>
      </w:pPr>
      <w:r w:rsidRPr="006402A2">
        <w:rPr>
          <w:b/>
          <w:bCs/>
          <w:sz w:val="18"/>
          <w:szCs w:val="18"/>
        </w:rPr>
        <w:t>Supplementary Fi</w:t>
      </w:r>
      <w:r w:rsidR="00232AAA" w:rsidRPr="006402A2">
        <w:rPr>
          <w:b/>
          <w:bCs/>
          <w:sz w:val="18"/>
          <w:szCs w:val="18"/>
        </w:rPr>
        <w:t>g.</w:t>
      </w:r>
      <w:r w:rsidRPr="006402A2">
        <w:rPr>
          <w:b/>
          <w:bCs/>
          <w:sz w:val="18"/>
          <w:szCs w:val="18"/>
        </w:rPr>
        <w:t xml:space="preserve"> </w:t>
      </w:r>
      <w:r w:rsidR="00F23201" w:rsidRPr="006402A2">
        <w:rPr>
          <w:b/>
          <w:bCs/>
          <w:sz w:val="18"/>
          <w:szCs w:val="18"/>
        </w:rPr>
        <w:t>4</w:t>
      </w:r>
      <w:r w:rsidRPr="006402A2">
        <w:rPr>
          <w:b/>
          <w:bCs/>
          <w:sz w:val="18"/>
          <w:szCs w:val="18"/>
        </w:rPr>
        <w:t>.</w:t>
      </w:r>
      <w:r w:rsidR="00CF1CBF" w:rsidRPr="006402A2">
        <w:rPr>
          <w:b/>
          <w:bCs/>
          <w:sz w:val="18"/>
          <w:szCs w:val="18"/>
        </w:rPr>
        <w:t xml:space="preserve"> </w:t>
      </w:r>
      <w:r w:rsidR="008618C5" w:rsidRPr="006402A2">
        <w:rPr>
          <w:b/>
          <w:bCs/>
          <w:sz w:val="18"/>
          <w:szCs w:val="18"/>
        </w:rPr>
        <w:t xml:space="preserve">Human health and ecosystem damage due to the deployment of Negative Emissions Technologies </w:t>
      </w:r>
      <w:r w:rsidR="00902CAF" w:rsidRPr="006402A2">
        <w:rPr>
          <w:b/>
          <w:bCs/>
          <w:sz w:val="18"/>
          <w:szCs w:val="18"/>
        </w:rPr>
        <w:t>or</w:t>
      </w:r>
      <w:r w:rsidR="008618C5" w:rsidRPr="006402A2">
        <w:rPr>
          <w:b/>
          <w:bCs/>
          <w:sz w:val="18"/>
          <w:szCs w:val="18"/>
        </w:rPr>
        <w:t xml:space="preserve"> Practices (NETPs) between 2030 and 2050. </w:t>
      </w:r>
      <w:r w:rsidR="008618C5" w:rsidRPr="006402A2">
        <w:rPr>
          <w:sz w:val="18"/>
          <w:szCs w:val="18"/>
        </w:rPr>
        <w:t xml:space="preserve">Results expressed in </w:t>
      </w:r>
      <w:r w:rsidR="00643CE7" w:rsidRPr="006402A2">
        <w:rPr>
          <w:sz w:val="18"/>
          <w:szCs w:val="18"/>
        </w:rPr>
        <w:t xml:space="preserve">million </w:t>
      </w:r>
      <w:r w:rsidR="008618C5" w:rsidRPr="006402A2">
        <w:rPr>
          <w:sz w:val="18"/>
          <w:szCs w:val="18"/>
        </w:rPr>
        <w:t xml:space="preserve">Disability-Adjusted Life Years </w:t>
      </w:r>
      <w:r w:rsidR="00643CE7" w:rsidRPr="006402A2">
        <w:rPr>
          <w:sz w:val="18"/>
          <w:szCs w:val="18"/>
        </w:rPr>
        <w:t>(x10</w:t>
      </w:r>
      <w:r w:rsidR="00643CE7" w:rsidRPr="006402A2">
        <w:rPr>
          <w:sz w:val="18"/>
          <w:szCs w:val="18"/>
          <w:vertAlign w:val="superscript"/>
        </w:rPr>
        <w:t>6</w:t>
      </w:r>
      <w:r w:rsidR="00643CE7" w:rsidRPr="006402A2">
        <w:rPr>
          <w:sz w:val="18"/>
          <w:szCs w:val="18"/>
        </w:rPr>
        <w:t xml:space="preserve"> </w:t>
      </w:r>
      <w:r w:rsidR="008618C5" w:rsidRPr="006402A2">
        <w:rPr>
          <w:sz w:val="18"/>
          <w:szCs w:val="18"/>
        </w:rPr>
        <w:t xml:space="preserve">DALYs) and </w:t>
      </w:r>
      <w:r w:rsidR="00E00CE0" w:rsidRPr="006402A2">
        <w:rPr>
          <w:sz w:val="18"/>
          <w:szCs w:val="18"/>
        </w:rPr>
        <w:t>local species loss integrated over space and time (x10</w:t>
      </w:r>
      <w:r w:rsidR="00E00CE0" w:rsidRPr="006402A2">
        <w:rPr>
          <w:sz w:val="18"/>
          <w:szCs w:val="18"/>
          <w:vertAlign w:val="superscript"/>
        </w:rPr>
        <w:t>3</w:t>
      </w:r>
      <w:r w:rsidR="00E00CE0" w:rsidRPr="006402A2">
        <w:rPr>
          <w:sz w:val="18"/>
          <w:szCs w:val="18"/>
        </w:rPr>
        <w:t xml:space="preserve"> </w:t>
      </w:r>
      <w:proofErr w:type="spellStart"/>
      <w:r w:rsidR="008618C5" w:rsidRPr="006402A2">
        <w:rPr>
          <w:sz w:val="18"/>
          <w:szCs w:val="18"/>
        </w:rPr>
        <w:t>species·year</w:t>
      </w:r>
      <w:proofErr w:type="spellEnd"/>
      <w:r w:rsidR="003526F1" w:rsidRPr="006402A2">
        <w:rPr>
          <w:sz w:val="18"/>
          <w:szCs w:val="18"/>
        </w:rPr>
        <w:t>)</w:t>
      </w:r>
      <w:r w:rsidR="008618C5" w:rsidRPr="006402A2">
        <w:rPr>
          <w:sz w:val="18"/>
          <w:szCs w:val="18"/>
        </w:rPr>
        <w:t>, and relative to a baseline without Carbon Dioxide Removal (CDR).</w:t>
      </w:r>
      <w:r w:rsidR="008618C5" w:rsidRPr="006402A2">
        <w:rPr>
          <w:b/>
          <w:bCs/>
          <w:sz w:val="18"/>
          <w:szCs w:val="18"/>
        </w:rPr>
        <w:t xml:space="preserve"> </w:t>
      </w:r>
      <w:r w:rsidR="008618C5" w:rsidRPr="006402A2">
        <w:rPr>
          <w:sz w:val="18"/>
          <w:szCs w:val="18"/>
        </w:rPr>
        <w:t>Grey-shaded areas represent the uncertainty of the results</w:t>
      </w:r>
      <w:r w:rsidR="005B35D6" w:rsidRPr="006402A2">
        <w:rPr>
          <w:sz w:val="18"/>
          <w:szCs w:val="18"/>
        </w:rPr>
        <w:t xml:space="preserve"> </w:t>
      </w:r>
      <w:r w:rsidR="003758D9" w:rsidRPr="006402A2">
        <w:rPr>
          <w:rFonts w:cstheme="minorHAnsi"/>
          <w:sz w:val="18"/>
          <w:szCs w:val="18"/>
        </w:rPr>
        <w:t xml:space="preserve">(lowest values correspond to the scenarios </w:t>
      </w:r>
      <w:r w:rsidR="00FE7498" w:rsidRPr="006402A2">
        <w:rPr>
          <w:rFonts w:cstheme="minorHAnsi"/>
          <w:sz w:val="18"/>
          <w:szCs w:val="18"/>
        </w:rPr>
        <w:t>generating the least damage</w:t>
      </w:r>
      <w:r w:rsidR="003758D9" w:rsidRPr="006402A2">
        <w:rPr>
          <w:rFonts w:cstheme="minorHAnsi"/>
          <w:sz w:val="18"/>
          <w:szCs w:val="18"/>
        </w:rPr>
        <w:t xml:space="preserve"> with the most </w:t>
      </w:r>
      <w:r w:rsidR="004A0A14" w:rsidRPr="006402A2">
        <w:rPr>
          <w:rFonts w:cstheme="minorHAnsi"/>
          <w:sz w:val="18"/>
          <w:szCs w:val="18"/>
        </w:rPr>
        <w:t>favorable</w:t>
      </w:r>
      <w:r w:rsidR="003758D9" w:rsidRPr="006402A2">
        <w:rPr>
          <w:rFonts w:cstheme="minorHAnsi"/>
          <w:sz w:val="18"/>
          <w:szCs w:val="18"/>
        </w:rPr>
        <w:t xml:space="preserve"> foreground parameters and highest values derived from the </w:t>
      </w:r>
      <w:r w:rsidR="004A0A14" w:rsidRPr="006402A2">
        <w:rPr>
          <w:rFonts w:cstheme="minorHAnsi"/>
          <w:sz w:val="18"/>
          <w:szCs w:val="18"/>
        </w:rPr>
        <w:t xml:space="preserve">worst-performing </w:t>
      </w:r>
      <w:r w:rsidR="003758D9" w:rsidRPr="006402A2">
        <w:rPr>
          <w:rFonts w:cstheme="minorHAnsi"/>
          <w:sz w:val="18"/>
          <w:szCs w:val="18"/>
        </w:rPr>
        <w:t xml:space="preserve">scenarios considering </w:t>
      </w:r>
      <w:r w:rsidR="005B35D6" w:rsidRPr="006402A2">
        <w:rPr>
          <w:rFonts w:cstheme="minorHAnsi"/>
          <w:sz w:val="18"/>
          <w:szCs w:val="18"/>
        </w:rPr>
        <w:t xml:space="preserve">the </w:t>
      </w:r>
      <w:r w:rsidR="00E53F85" w:rsidRPr="006402A2">
        <w:rPr>
          <w:rFonts w:cstheme="minorHAnsi"/>
          <w:sz w:val="18"/>
          <w:szCs w:val="18"/>
        </w:rPr>
        <w:t>most pessimistic</w:t>
      </w:r>
      <w:r w:rsidR="003758D9" w:rsidRPr="006402A2">
        <w:rPr>
          <w:rFonts w:cstheme="minorHAnsi"/>
          <w:sz w:val="18"/>
          <w:szCs w:val="18"/>
        </w:rPr>
        <w:t xml:space="preserve"> foreground parameters)</w:t>
      </w:r>
      <w:r w:rsidR="006D1A9C" w:rsidRPr="006402A2">
        <w:rPr>
          <w:sz w:val="18"/>
          <w:szCs w:val="18"/>
        </w:rPr>
        <w:t xml:space="preserve">. </w:t>
      </w:r>
      <w:r w:rsidR="008618C5" w:rsidRPr="006402A2">
        <w:rPr>
          <w:b/>
          <w:bCs/>
          <w:sz w:val="18"/>
          <w:szCs w:val="18"/>
        </w:rPr>
        <w:t xml:space="preserve">a </w:t>
      </w:r>
      <w:r w:rsidR="008618C5" w:rsidRPr="006402A2">
        <w:rPr>
          <w:sz w:val="18"/>
          <w:szCs w:val="18"/>
        </w:rPr>
        <w:t xml:space="preserve">Health impacts of Direct Air Carbon Capture and Storage (DACCS): High Temperature Liquid Sorbent (HTLS) and Low Temperature Solid Sorbent (LTSS). HTLS-1 is powered by natural gas (NG). NG supplies the heat of HTLS-2, while the electricity comes from the global average grid mix (GRID), solar photovoltaic (PV) or wind energy.  HTLS-3 is powered by the GRID, PV or wind. LTSS is powered by the GRID, PV, wind or geothermal electricity (GEO). The heating demand of LTSS is supplied by heat pumps (LTSS-1) or excess geothermal heat (LTSS-2) generated in the production of GEO.  </w:t>
      </w:r>
      <w:r w:rsidR="008618C5" w:rsidRPr="006402A2">
        <w:rPr>
          <w:b/>
          <w:bCs/>
          <w:sz w:val="18"/>
          <w:szCs w:val="18"/>
        </w:rPr>
        <w:t>b</w:t>
      </w:r>
      <w:r w:rsidR="008618C5" w:rsidRPr="006402A2">
        <w:rPr>
          <w:sz w:val="18"/>
          <w:szCs w:val="18"/>
        </w:rPr>
        <w:t xml:space="preserve"> Health impacts of ocean liming (</w:t>
      </w:r>
      <w:proofErr w:type="spellStart"/>
      <w:r w:rsidR="008618C5" w:rsidRPr="006402A2">
        <w:rPr>
          <w:sz w:val="18"/>
          <w:szCs w:val="18"/>
        </w:rPr>
        <w:t>OLiming</w:t>
      </w:r>
      <w:proofErr w:type="spellEnd"/>
      <w:r w:rsidR="008618C5" w:rsidRPr="006402A2">
        <w:rPr>
          <w:sz w:val="18"/>
          <w:szCs w:val="18"/>
        </w:rPr>
        <w:t xml:space="preserve">). The calciner of OLiming-1 uses NG, in OLiming-2, it is powered by the GRID, PV, or wind. </w:t>
      </w:r>
      <w:r w:rsidR="008618C5" w:rsidRPr="006402A2">
        <w:rPr>
          <w:b/>
          <w:bCs/>
          <w:sz w:val="18"/>
          <w:szCs w:val="18"/>
        </w:rPr>
        <w:t xml:space="preserve">c </w:t>
      </w:r>
      <w:r w:rsidR="008618C5" w:rsidRPr="006402A2">
        <w:rPr>
          <w:sz w:val="18"/>
          <w:szCs w:val="18"/>
        </w:rPr>
        <w:t>Health impacts of</w:t>
      </w:r>
      <w:r w:rsidR="008618C5" w:rsidRPr="006402A2">
        <w:rPr>
          <w:b/>
          <w:bCs/>
          <w:sz w:val="18"/>
          <w:szCs w:val="18"/>
        </w:rPr>
        <w:t xml:space="preserve"> </w:t>
      </w:r>
      <w:r w:rsidR="008618C5" w:rsidRPr="006402A2">
        <w:rPr>
          <w:sz w:val="18"/>
          <w:szCs w:val="18"/>
        </w:rPr>
        <w:t xml:space="preserve">Bioenergy with Carbon Capture and Storage (BECCS): combustion w/ post-combustion capture, oxy-combustion and gasification. </w:t>
      </w:r>
      <w:r w:rsidR="008618C5" w:rsidRPr="006402A2">
        <w:rPr>
          <w:b/>
          <w:bCs/>
          <w:sz w:val="18"/>
          <w:szCs w:val="18"/>
        </w:rPr>
        <w:t>d</w:t>
      </w:r>
      <w:r w:rsidR="008618C5" w:rsidRPr="006402A2">
        <w:rPr>
          <w:sz w:val="18"/>
          <w:szCs w:val="18"/>
        </w:rPr>
        <w:t xml:space="preserve"> Health impacts of terrestrial NETPs: forestation (forest) and biochar. Forestation occurs on grasslands or pasturelands. Biochar is applied to the soil (Biochar1) or used as sand substitute (Biochar2). Pyrolysis modeled with and without Carbon Capture and Storage (CCS). </w:t>
      </w:r>
      <w:r w:rsidR="008618C5" w:rsidRPr="006402A2">
        <w:rPr>
          <w:b/>
          <w:bCs/>
          <w:sz w:val="18"/>
          <w:szCs w:val="18"/>
        </w:rPr>
        <w:t>e</w:t>
      </w:r>
      <w:r w:rsidR="008618C5" w:rsidRPr="006402A2">
        <w:rPr>
          <w:sz w:val="18"/>
          <w:szCs w:val="18"/>
        </w:rPr>
        <w:t xml:space="preserve"> Ecosystem impacts of DACCS.  </w:t>
      </w:r>
      <w:r w:rsidR="008618C5" w:rsidRPr="006402A2">
        <w:rPr>
          <w:b/>
          <w:bCs/>
          <w:sz w:val="18"/>
          <w:szCs w:val="18"/>
        </w:rPr>
        <w:t>f</w:t>
      </w:r>
      <w:r w:rsidR="008618C5" w:rsidRPr="006402A2">
        <w:rPr>
          <w:sz w:val="18"/>
          <w:szCs w:val="18"/>
        </w:rPr>
        <w:t xml:space="preserve"> Ecosystem impacts of </w:t>
      </w:r>
      <w:proofErr w:type="spellStart"/>
      <w:r w:rsidR="008618C5" w:rsidRPr="006402A2">
        <w:rPr>
          <w:sz w:val="18"/>
          <w:szCs w:val="18"/>
        </w:rPr>
        <w:t>OLiming</w:t>
      </w:r>
      <w:proofErr w:type="spellEnd"/>
      <w:r w:rsidR="008618C5" w:rsidRPr="006402A2">
        <w:rPr>
          <w:sz w:val="18"/>
          <w:szCs w:val="18"/>
        </w:rPr>
        <w:t xml:space="preserve">. </w:t>
      </w:r>
      <w:r w:rsidR="008618C5" w:rsidRPr="006402A2">
        <w:rPr>
          <w:b/>
          <w:bCs/>
          <w:sz w:val="18"/>
          <w:szCs w:val="18"/>
        </w:rPr>
        <w:t>g</w:t>
      </w:r>
      <w:r w:rsidR="008618C5" w:rsidRPr="006402A2">
        <w:rPr>
          <w:sz w:val="18"/>
          <w:szCs w:val="18"/>
        </w:rPr>
        <w:t xml:space="preserve"> Ecosystem impacts of BECCS. </w:t>
      </w:r>
      <w:r w:rsidR="008618C5" w:rsidRPr="006402A2">
        <w:rPr>
          <w:b/>
          <w:bCs/>
          <w:sz w:val="18"/>
          <w:szCs w:val="18"/>
        </w:rPr>
        <w:t>h</w:t>
      </w:r>
      <w:r w:rsidR="008618C5" w:rsidRPr="006402A2">
        <w:rPr>
          <w:sz w:val="18"/>
          <w:szCs w:val="18"/>
        </w:rPr>
        <w:t xml:space="preserve"> Ecosystem impacts of terrestrial NETPs.</w:t>
      </w:r>
    </w:p>
    <w:p w14:paraId="5F32C945" w14:textId="4C3628B7" w:rsidR="00A10A6F" w:rsidRPr="00112E9F" w:rsidRDefault="00A10A6F" w:rsidP="00002E8B">
      <w:pPr>
        <w:rPr>
          <w:b/>
          <w:bCs/>
          <w:color w:val="FF0000"/>
        </w:rPr>
        <w:sectPr w:rsidR="00A10A6F" w:rsidRPr="00112E9F" w:rsidSect="00E97F3C">
          <w:pgSz w:w="16838" w:h="11906" w:orient="landscape"/>
          <w:pgMar w:top="1701" w:right="1418" w:bottom="1701" w:left="1418" w:header="709" w:footer="709" w:gutter="0"/>
          <w:cols w:space="708"/>
          <w:docGrid w:linePitch="360"/>
        </w:sectPr>
      </w:pPr>
    </w:p>
    <w:p w14:paraId="0253AE1B" w14:textId="30B6F998" w:rsidR="00771CFA" w:rsidRPr="007A202B" w:rsidRDefault="007A202B" w:rsidP="007A202B">
      <w:pPr>
        <w:spacing w:line="240" w:lineRule="auto"/>
        <w:jc w:val="center"/>
        <w:rPr>
          <w:b/>
          <w:bCs/>
          <w:sz w:val="20"/>
          <w:szCs w:val="20"/>
        </w:rPr>
      </w:pPr>
      <w:r>
        <w:rPr>
          <w:noProof/>
        </w:rPr>
        <w:lastRenderedPageBreak/>
        <w:drawing>
          <wp:anchor distT="0" distB="0" distL="114300" distR="114300" simplePos="0" relativeHeight="251674625" behindDoc="1" locked="0" layoutInCell="1" allowOverlap="1" wp14:anchorId="05608773" wp14:editId="2560958E">
            <wp:simplePos x="0" y="0"/>
            <wp:positionH relativeFrom="margin">
              <wp:align>center</wp:align>
            </wp:positionH>
            <wp:positionV relativeFrom="paragraph">
              <wp:posOffset>-641985</wp:posOffset>
            </wp:positionV>
            <wp:extent cx="8010000" cy="4575600"/>
            <wp:effectExtent l="0" t="0" r="0" b="0"/>
            <wp:wrapNone/>
            <wp:docPr id="607720389" name="Imagen 3" descr="Imagen que contiene Calendari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720389" name="Imagen 3" descr="Imagen que contiene Calendari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10000" cy="457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48ED72" w14:textId="77777777" w:rsidR="00771CFA" w:rsidRPr="002171ED" w:rsidRDefault="00771CFA" w:rsidP="007F3BE2">
      <w:pPr>
        <w:spacing w:line="240" w:lineRule="auto"/>
        <w:jc w:val="center"/>
        <w:rPr>
          <w:b/>
          <w:bCs/>
          <w:color w:val="FF0000"/>
          <w:sz w:val="18"/>
          <w:szCs w:val="18"/>
          <w:highlight w:val="yellow"/>
        </w:rPr>
      </w:pPr>
    </w:p>
    <w:p w14:paraId="6EEADC6A" w14:textId="77777777" w:rsidR="007A202B" w:rsidRDefault="007A202B" w:rsidP="007F3BE2">
      <w:pPr>
        <w:spacing w:line="240" w:lineRule="auto"/>
        <w:jc w:val="center"/>
        <w:rPr>
          <w:b/>
          <w:bCs/>
          <w:sz w:val="18"/>
          <w:szCs w:val="18"/>
        </w:rPr>
      </w:pPr>
    </w:p>
    <w:p w14:paraId="5B58A135" w14:textId="77777777" w:rsidR="007A202B" w:rsidRDefault="007A202B" w:rsidP="007F3BE2">
      <w:pPr>
        <w:spacing w:line="240" w:lineRule="auto"/>
        <w:jc w:val="center"/>
        <w:rPr>
          <w:b/>
          <w:bCs/>
          <w:sz w:val="18"/>
          <w:szCs w:val="18"/>
        </w:rPr>
      </w:pPr>
    </w:p>
    <w:p w14:paraId="50419AB9" w14:textId="77777777" w:rsidR="007A202B" w:rsidRDefault="007A202B" w:rsidP="007F3BE2">
      <w:pPr>
        <w:spacing w:line="240" w:lineRule="auto"/>
        <w:jc w:val="center"/>
        <w:rPr>
          <w:b/>
          <w:bCs/>
          <w:sz w:val="18"/>
          <w:szCs w:val="18"/>
        </w:rPr>
      </w:pPr>
    </w:p>
    <w:p w14:paraId="58BA990B" w14:textId="77777777" w:rsidR="007A202B" w:rsidRDefault="007A202B" w:rsidP="007F3BE2">
      <w:pPr>
        <w:spacing w:line="240" w:lineRule="auto"/>
        <w:jc w:val="center"/>
        <w:rPr>
          <w:b/>
          <w:bCs/>
          <w:sz w:val="18"/>
          <w:szCs w:val="18"/>
        </w:rPr>
      </w:pPr>
    </w:p>
    <w:p w14:paraId="2EEF774E" w14:textId="77777777" w:rsidR="007A202B" w:rsidRDefault="007A202B" w:rsidP="007F3BE2">
      <w:pPr>
        <w:spacing w:line="240" w:lineRule="auto"/>
        <w:jc w:val="center"/>
        <w:rPr>
          <w:b/>
          <w:bCs/>
          <w:sz w:val="18"/>
          <w:szCs w:val="18"/>
        </w:rPr>
      </w:pPr>
    </w:p>
    <w:p w14:paraId="05815F36" w14:textId="77777777" w:rsidR="007A202B" w:rsidRDefault="007A202B" w:rsidP="007F3BE2">
      <w:pPr>
        <w:spacing w:line="240" w:lineRule="auto"/>
        <w:jc w:val="center"/>
        <w:rPr>
          <w:b/>
          <w:bCs/>
          <w:sz w:val="18"/>
          <w:szCs w:val="18"/>
        </w:rPr>
      </w:pPr>
    </w:p>
    <w:p w14:paraId="413FA051" w14:textId="77777777" w:rsidR="007A202B" w:rsidRDefault="007A202B" w:rsidP="007F3BE2">
      <w:pPr>
        <w:spacing w:line="240" w:lineRule="auto"/>
        <w:jc w:val="center"/>
        <w:rPr>
          <w:b/>
          <w:bCs/>
          <w:sz w:val="18"/>
          <w:szCs w:val="18"/>
        </w:rPr>
      </w:pPr>
    </w:p>
    <w:p w14:paraId="3ECD345B" w14:textId="77777777" w:rsidR="007A202B" w:rsidRDefault="007A202B" w:rsidP="007F3BE2">
      <w:pPr>
        <w:spacing w:line="240" w:lineRule="auto"/>
        <w:jc w:val="center"/>
        <w:rPr>
          <w:b/>
          <w:bCs/>
          <w:sz w:val="18"/>
          <w:szCs w:val="18"/>
        </w:rPr>
      </w:pPr>
    </w:p>
    <w:p w14:paraId="7BF4B204" w14:textId="77777777" w:rsidR="007A202B" w:rsidRDefault="007A202B" w:rsidP="007F3BE2">
      <w:pPr>
        <w:spacing w:line="240" w:lineRule="auto"/>
        <w:jc w:val="center"/>
        <w:rPr>
          <w:b/>
          <w:bCs/>
          <w:sz w:val="18"/>
          <w:szCs w:val="18"/>
        </w:rPr>
      </w:pPr>
    </w:p>
    <w:p w14:paraId="3E058261" w14:textId="77777777" w:rsidR="007A202B" w:rsidRDefault="007A202B" w:rsidP="007F3BE2">
      <w:pPr>
        <w:spacing w:line="240" w:lineRule="auto"/>
        <w:jc w:val="center"/>
        <w:rPr>
          <w:b/>
          <w:bCs/>
          <w:sz w:val="18"/>
          <w:szCs w:val="18"/>
        </w:rPr>
      </w:pPr>
    </w:p>
    <w:p w14:paraId="4658160F" w14:textId="77777777" w:rsidR="007A202B" w:rsidRDefault="007A202B" w:rsidP="007F3BE2">
      <w:pPr>
        <w:spacing w:line="240" w:lineRule="auto"/>
        <w:jc w:val="center"/>
        <w:rPr>
          <w:b/>
          <w:bCs/>
          <w:sz w:val="18"/>
          <w:szCs w:val="18"/>
        </w:rPr>
      </w:pPr>
    </w:p>
    <w:p w14:paraId="59585313" w14:textId="77777777" w:rsidR="007A202B" w:rsidRDefault="007A202B" w:rsidP="007F3BE2">
      <w:pPr>
        <w:spacing w:line="240" w:lineRule="auto"/>
        <w:jc w:val="center"/>
        <w:rPr>
          <w:b/>
          <w:bCs/>
          <w:sz w:val="18"/>
          <w:szCs w:val="18"/>
        </w:rPr>
      </w:pPr>
    </w:p>
    <w:p w14:paraId="0C36E7B8" w14:textId="77777777" w:rsidR="007A202B" w:rsidRDefault="007A202B" w:rsidP="007F3BE2">
      <w:pPr>
        <w:spacing w:line="240" w:lineRule="auto"/>
        <w:jc w:val="center"/>
        <w:rPr>
          <w:b/>
          <w:bCs/>
          <w:sz w:val="18"/>
          <w:szCs w:val="18"/>
        </w:rPr>
      </w:pPr>
    </w:p>
    <w:p w14:paraId="69BF7FBD" w14:textId="77777777" w:rsidR="007A202B" w:rsidRDefault="007A202B" w:rsidP="007F3BE2">
      <w:pPr>
        <w:spacing w:line="240" w:lineRule="auto"/>
        <w:jc w:val="center"/>
        <w:rPr>
          <w:b/>
          <w:bCs/>
          <w:sz w:val="18"/>
          <w:szCs w:val="18"/>
        </w:rPr>
      </w:pPr>
    </w:p>
    <w:p w14:paraId="768FAD70" w14:textId="0D137777" w:rsidR="00B55ABA" w:rsidRPr="007A202B" w:rsidRDefault="00002E8B" w:rsidP="007A202B">
      <w:pPr>
        <w:spacing w:line="240" w:lineRule="auto"/>
        <w:jc w:val="center"/>
        <w:rPr>
          <w:sz w:val="18"/>
          <w:szCs w:val="18"/>
        </w:rPr>
      </w:pPr>
      <w:r w:rsidRPr="00931172">
        <w:rPr>
          <w:b/>
          <w:bCs/>
          <w:sz w:val="18"/>
          <w:szCs w:val="18"/>
        </w:rPr>
        <w:t xml:space="preserve">Supplementary Fig. </w:t>
      </w:r>
      <w:r w:rsidR="00F23201" w:rsidRPr="00931172">
        <w:rPr>
          <w:b/>
          <w:bCs/>
          <w:sz w:val="18"/>
          <w:szCs w:val="18"/>
        </w:rPr>
        <w:t>5</w:t>
      </w:r>
      <w:r w:rsidRPr="00931172">
        <w:rPr>
          <w:b/>
          <w:bCs/>
          <w:sz w:val="18"/>
          <w:szCs w:val="18"/>
        </w:rPr>
        <w:t xml:space="preserve">. Breakdown of human health damage due to the deployment of Negative Emissions Technologies </w:t>
      </w:r>
      <w:r w:rsidR="005754B8" w:rsidRPr="00931172">
        <w:rPr>
          <w:b/>
          <w:bCs/>
          <w:sz w:val="18"/>
          <w:szCs w:val="18"/>
        </w:rPr>
        <w:t>or</w:t>
      </w:r>
      <w:r w:rsidRPr="00931172">
        <w:rPr>
          <w:b/>
          <w:bCs/>
          <w:sz w:val="18"/>
          <w:szCs w:val="18"/>
        </w:rPr>
        <w:t xml:space="preserve"> Practices (NETPs) in 2050. </w:t>
      </w:r>
      <w:r w:rsidRPr="00931172">
        <w:rPr>
          <w:sz w:val="18"/>
          <w:szCs w:val="18"/>
        </w:rPr>
        <w:t>Results expressed in million Disability-Adjusted Life Years (x10</w:t>
      </w:r>
      <w:r w:rsidRPr="00931172">
        <w:rPr>
          <w:sz w:val="18"/>
          <w:szCs w:val="18"/>
          <w:vertAlign w:val="superscript"/>
        </w:rPr>
        <w:t>6</w:t>
      </w:r>
      <w:r w:rsidRPr="00931172">
        <w:rPr>
          <w:sz w:val="18"/>
          <w:szCs w:val="18"/>
        </w:rPr>
        <w:t xml:space="preserve"> DALYs) and relative to a baseline without Carbon Dioxide Removal (CDR).</w:t>
      </w:r>
      <w:r w:rsidRPr="00931172">
        <w:rPr>
          <w:b/>
          <w:bCs/>
          <w:sz w:val="18"/>
          <w:szCs w:val="18"/>
        </w:rPr>
        <w:t xml:space="preserve"> </w:t>
      </w:r>
      <w:r w:rsidRPr="00931172">
        <w:rPr>
          <w:sz w:val="18"/>
          <w:szCs w:val="18"/>
        </w:rPr>
        <w:t xml:space="preserve">Error bars represent the uncertainty of the </w:t>
      </w:r>
      <w:r w:rsidR="00B01CD5" w:rsidRPr="00931172">
        <w:rPr>
          <w:sz w:val="18"/>
          <w:szCs w:val="18"/>
        </w:rPr>
        <w:t xml:space="preserve">results, considering best and worst </w:t>
      </w:r>
      <w:r w:rsidR="008E59FC" w:rsidRPr="00931172">
        <w:rPr>
          <w:sz w:val="18"/>
          <w:szCs w:val="18"/>
        </w:rPr>
        <w:t>foreground parameters</w:t>
      </w:r>
      <w:r w:rsidRPr="00931172">
        <w:rPr>
          <w:sz w:val="18"/>
          <w:szCs w:val="18"/>
        </w:rPr>
        <w:t>.</w:t>
      </w:r>
      <w:r w:rsidRPr="00931172">
        <w:rPr>
          <w:b/>
          <w:bCs/>
          <w:sz w:val="18"/>
          <w:szCs w:val="18"/>
        </w:rPr>
        <w:t xml:space="preserve"> </w:t>
      </w:r>
      <w:r w:rsidRPr="00931172">
        <w:rPr>
          <w:sz w:val="18"/>
          <w:szCs w:val="18"/>
        </w:rPr>
        <w:t>Contribution of midpoint impacts to the health damage caused by</w:t>
      </w:r>
      <w:r w:rsidRPr="00931172">
        <w:rPr>
          <w:b/>
          <w:bCs/>
          <w:sz w:val="18"/>
          <w:szCs w:val="18"/>
        </w:rPr>
        <w:t xml:space="preserve"> a</w:t>
      </w:r>
      <w:r w:rsidRPr="00931172">
        <w:rPr>
          <w:sz w:val="18"/>
          <w:szCs w:val="18"/>
        </w:rPr>
        <w:t xml:space="preserve"> Direct Air Carbon Capture and Storage (DACCS): High Temperature Liquid Sorbent (HTLS) and Low Temperature Solid Sorbent (LTSS). HTLS-1 is powered by natural gas (NG). NG supplies the heat of HTLS-2, while the electricity comes from the global average grid mix (GRID), solar photovoltaic (PV) or wind energy.  HTLS-3 is powered by the GRID, PV or wind. LTSS is powered by the GRID, PV, wind</w:t>
      </w:r>
      <w:r w:rsidR="00627EA0">
        <w:rPr>
          <w:sz w:val="18"/>
          <w:szCs w:val="18"/>
        </w:rPr>
        <w:t>,</w:t>
      </w:r>
      <w:r w:rsidRPr="00931172">
        <w:rPr>
          <w:sz w:val="18"/>
          <w:szCs w:val="18"/>
        </w:rPr>
        <w:t xml:space="preserve"> or geothermal electricity (GEO). The heating demand of LTSS is supplied by heat pumps (LTSS-1) or excess geothermal heat (LTSS-2) generated in the production of GEO.  </w:t>
      </w:r>
      <w:r w:rsidRPr="00931172">
        <w:rPr>
          <w:b/>
          <w:bCs/>
          <w:sz w:val="18"/>
          <w:szCs w:val="18"/>
        </w:rPr>
        <w:t>b</w:t>
      </w:r>
      <w:r w:rsidRPr="00931172">
        <w:rPr>
          <w:sz w:val="18"/>
          <w:szCs w:val="18"/>
        </w:rPr>
        <w:t xml:space="preserve"> Geochemical NETPs: Ocean liming (</w:t>
      </w:r>
      <w:proofErr w:type="spellStart"/>
      <w:r w:rsidRPr="00931172">
        <w:rPr>
          <w:sz w:val="18"/>
          <w:szCs w:val="18"/>
        </w:rPr>
        <w:t>OLiming</w:t>
      </w:r>
      <w:proofErr w:type="spellEnd"/>
      <w:r w:rsidRPr="00931172">
        <w:rPr>
          <w:sz w:val="18"/>
          <w:szCs w:val="18"/>
        </w:rPr>
        <w:t>) and Coastal Enhanced Weathering (CEW). The calciner of OLiming-1 uses NG, in OLiming-2, it is powered by the GRID, PV, or wind. The CEW scenarios remove 1</w:t>
      </w:r>
      <w:r w:rsidR="00721C7F" w:rsidRPr="00931172">
        <w:rPr>
          <w:sz w:val="18"/>
          <w:szCs w:val="18"/>
        </w:rPr>
        <w:t>0</w:t>
      </w:r>
      <w:r w:rsidRPr="00931172">
        <w:rPr>
          <w:sz w:val="18"/>
          <w:szCs w:val="18"/>
        </w:rPr>
        <w:t>% of the 2050 CDR</w:t>
      </w:r>
      <w:r w:rsidR="00070C84" w:rsidRPr="00931172">
        <w:rPr>
          <w:sz w:val="18"/>
          <w:szCs w:val="18"/>
        </w:rPr>
        <w:t xml:space="preserve"> target</w:t>
      </w:r>
      <w:r w:rsidRPr="00931172">
        <w:rPr>
          <w:sz w:val="18"/>
          <w:szCs w:val="18"/>
        </w:rPr>
        <w:t xml:space="preserve"> and consider 205</w:t>
      </w:r>
      <w:r w:rsidR="007F3BE2" w:rsidRPr="00931172">
        <w:rPr>
          <w:sz w:val="18"/>
          <w:szCs w:val="18"/>
        </w:rPr>
        <w:t>0 and a previous</w:t>
      </w:r>
      <w:r w:rsidR="00C1370A" w:rsidRPr="00931172">
        <w:rPr>
          <w:sz w:val="18"/>
          <w:szCs w:val="18"/>
        </w:rPr>
        <w:t xml:space="preserve"> year</w:t>
      </w:r>
      <w:r w:rsidRPr="00931172">
        <w:rPr>
          <w:sz w:val="18"/>
          <w:szCs w:val="18"/>
        </w:rPr>
        <w:t xml:space="preserve"> as the initial </w:t>
      </w:r>
      <w:r w:rsidR="00C1370A" w:rsidRPr="00931172">
        <w:rPr>
          <w:sz w:val="18"/>
          <w:szCs w:val="18"/>
        </w:rPr>
        <w:t>time</w:t>
      </w:r>
      <w:r w:rsidRPr="00931172">
        <w:rPr>
          <w:sz w:val="18"/>
          <w:szCs w:val="18"/>
        </w:rPr>
        <w:t xml:space="preserve"> </w:t>
      </w:r>
      <w:r w:rsidR="00CD388E" w:rsidRPr="00931172">
        <w:rPr>
          <w:sz w:val="18"/>
          <w:szCs w:val="18"/>
        </w:rPr>
        <w:t>for the</w:t>
      </w:r>
      <w:r w:rsidRPr="00931172">
        <w:rPr>
          <w:sz w:val="18"/>
          <w:szCs w:val="18"/>
        </w:rPr>
        <w:t xml:space="preserve"> rock application. </w:t>
      </w:r>
      <w:r w:rsidRPr="00931172">
        <w:rPr>
          <w:b/>
          <w:bCs/>
          <w:sz w:val="18"/>
          <w:szCs w:val="18"/>
        </w:rPr>
        <w:t xml:space="preserve">c </w:t>
      </w:r>
      <w:r w:rsidRPr="00931172">
        <w:rPr>
          <w:sz w:val="18"/>
          <w:szCs w:val="18"/>
        </w:rPr>
        <w:t>Bioenergy with Carbon Capture and Storage (BECCS): combustion w/ post-combustion capture, oxy-combustion and gasification</w:t>
      </w:r>
      <w:r w:rsidR="007E3A68" w:rsidRPr="00931172">
        <w:rPr>
          <w:sz w:val="18"/>
          <w:szCs w:val="18"/>
        </w:rPr>
        <w:t>.</w:t>
      </w:r>
      <w:r w:rsidRPr="00931172">
        <w:rPr>
          <w:sz w:val="18"/>
          <w:szCs w:val="18"/>
        </w:rPr>
        <w:t xml:space="preserve"> </w:t>
      </w:r>
      <w:r w:rsidRPr="00931172">
        <w:rPr>
          <w:b/>
          <w:bCs/>
          <w:sz w:val="18"/>
          <w:szCs w:val="18"/>
        </w:rPr>
        <w:t>d</w:t>
      </w:r>
      <w:r w:rsidRPr="00931172">
        <w:rPr>
          <w:sz w:val="18"/>
          <w:szCs w:val="18"/>
        </w:rPr>
        <w:t xml:space="preserve"> Terrestrial NETPs: forestation (forest) and biochar. Forestation occurs on grasslands or pasturelands. Biochar is applied to the soil (Biochar1) or used as sand substitute (Biochar2). Pyrolysis modeled with and without Carbon Capture and Storage (CCS). Contribution of unit processes to the health damage caused by </w:t>
      </w:r>
      <w:r w:rsidRPr="00931172">
        <w:rPr>
          <w:b/>
          <w:bCs/>
          <w:sz w:val="18"/>
          <w:szCs w:val="18"/>
        </w:rPr>
        <w:t>e</w:t>
      </w:r>
      <w:r w:rsidRPr="00931172">
        <w:rPr>
          <w:sz w:val="18"/>
          <w:szCs w:val="18"/>
        </w:rPr>
        <w:t xml:space="preserve"> DACCS. </w:t>
      </w:r>
      <w:r w:rsidRPr="00931172">
        <w:rPr>
          <w:b/>
          <w:bCs/>
          <w:sz w:val="18"/>
          <w:szCs w:val="18"/>
        </w:rPr>
        <w:t>f</w:t>
      </w:r>
      <w:r w:rsidRPr="00931172">
        <w:rPr>
          <w:sz w:val="18"/>
          <w:szCs w:val="18"/>
        </w:rPr>
        <w:t xml:space="preserve"> Geochemical NETPs. </w:t>
      </w:r>
      <w:r w:rsidRPr="00931172">
        <w:rPr>
          <w:b/>
          <w:bCs/>
          <w:sz w:val="18"/>
          <w:szCs w:val="18"/>
        </w:rPr>
        <w:t>g</w:t>
      </w:r>
      <w:r w:rsidRPr="00931172">
        <w:rPr>
          <w:sz w:val="18"/>
          <w:szCs w:val="18"/>
        </w:rPr>
        <w:t xml:space="preserve"> BECCS. </w:t>
      </w:r>
      <w:r w:rsidRPr="00931172">
        <w:rPr>
          <w:b/>
          <w:bCs/>
          <w:sz w:val="18"/>
          <w:szCs w:val="18"/>
        </w:rPr>
        <w:t>h</w:t>
      </w:r>
      <w:r w:rsidRPr="00931172">
        <w:rPr>
          <w:sz w:val="18"/>
          <w:szCs w:val="18"/>
        </w:rPr>
        <w:t xml:space="preserve"> Terrestrial NETPs.</w:t>
      </w:r>
    </w:p>
    <w:p w14:paraId="530A7713" w14:textId="2E8A1DDA" w:rsidR="00B55ABA" w:rsidRPr="000E4E00" w:rsidRDefault="00627EA0" w:rsidP="00002E8B">
      <w:pPr>
        <w:spacing w:line="240" w:lineRule="auto"/>
        <w:jc w:val="center"/>
        <w:rPr>
          <w:b/>
          <w:bCs/>
          <w:sz w:val="18"/>
          <w:szCs w:val="18"/>
          <w:highlight w:val="yellow"/>
        </w:rPr>
      </w:pPr>
      <w:r>
        <w:rPr>
          <w:noProof/>
        </w:rPr>
        <w:lastRenderedPageBreak/>
        <w:drawing>
          <wp:anchor distT="0" distB="0" distL="114300" distR="114300" simplePos="0" relativeHeight="251675649" behindDoc="1" locked="0" layoutInCell="1" allowOverlap="1" wp14:anchorId="24CCB91A" wp14:editId="671C0A9B">
            <wp:simplePos x="0" y="0"/>
            <wp:positionH relativeFrom="margin">
              <wp:align>center</wp:align>
            </wp:positionH>
            <wp:positionV relativeFrom="paragraph">
              <wp:posOffset>-712215</wp:posOffset>
            </wp:positionV>
            <wp:extent cx="7923600" cy="4575600"/>
            <wp:effectExtent l="0" t="0" r="1270" b="0"/>
            <wp:wrapNone/>
            <wp:docPr id="1502140537" name="Imagen 4" descr="Calendari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140537" name="Imagen 4" descr="Calendario&#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923600" cy="457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4FE436" w14:textId="77777777" w:rsidR="00B55ABA" w:rsidRPr="000E4E00" w:rsidRDefault="00B55ABA" w:rsidP="00002E8B">
      <w:pPr>
        <w:spacing w:line="240" w:lineRule="auto"/>
        <w:jc w:val="center"/>
        <w:rPr>
          <w:b/>
          <w:bCs/>
          <w:sz w:val="18"/>
          <w:szCs w:val="18"/>
          <w:highlight w:val="yellow"/>
        </w:rPr>
      </w:pPr>
    </w:p>
    <w:p w14:paraId="2FF50F94" w14:textId="4EDA6BE8" w:rsidR="00B55ABA" w:rsidRPr="000E4E00" w:rsidRDefault="00B55ABA" w:rsidP="00002E8B">
      <w:pPr>
        <w:spacing w:line="240" w:lineRule="auto"/>
        <w:jc w:val="center"/>
        <w:rPr>
          <w:b/>
          <w:bCs/>
          <w:sz w:val="18"/>
          <w:szCs w:val="18"/>
          <w:highlight w:val="yellow"/>
        </w:rPr>
      </w:pPr>
    </w:p>
    <w:p w14:paraId="69AEF42A" w14:textId="38AFFAF9" w:rsidR="00B55ABA" w:rsidRPr="000E4E00" w:rsidRDefault="00B55ABA" w:rsidP="00002E8B">
      <w:pPr>
        <w:spacing w:line="240" w:lineRule="auto"/>
        <w:jc w:val="center"/>
        <w:rPr>
          <w:b/>
          <w:bCs/>
          <w:sz w:val="18"/>
          <w:szCs w:val="18"/>
          <w:highlight w:val="yellow"/>
        </w:rPr>
      </w:pPr>
    </w:p>
    <w:p w14:paraId="17DA6A50" w14:textId="77777777" w:rsidR="007A202B" w:rsidRPr="000E4E00" w:rsidRDefault="007A202B" w:rsidP="00002E8B">
      <w:pPr>
        <w:spacing w:line="240" w:lineRule="auto"/>
        <w:jc w:val="center"/>
        <w:rPr>
          <w:b/>
          <w:bCs/>
          <w:sz w:val="18"/>
          <w:szCs w:val="18"/>
        </w:rPr>
      </w:pPr>
    </w:p>
    <w:p w14:paraId="2F62D983" w14:textId="77777777" w:rsidR="007A202B" w:rsidRPr="000E4E00" w:rsidRDefault="007A202B" w:rsidP="00002E8B">
      <w:pPr>
        <w:spacing w:line="240" w:lineRule="auto"/>
        <w:jc w:val="center"/>
        <w:rPr>
          <w:b/>
          <w:bCs/>
          <w:sz w:val="18"/>
          <w:szCs w:val="18"/>
        </w:rPr>
      </w:pPr>
    </w:p>
    <w:p w14:paraId="5AD881D8" w14:textId="77777777" w:rsidR="007A202B" w:rsidRPr="000E4E00" w:rsidRDefault="007A202B" w:rsidP="00002E8B">
      <w:pPr>
        <w:spacing w:line="240" w:lineRule="auto"/>
        <w:jc w:val="center"/>
        <w:rPr>
          <w:b/>
          <w:bCs/>
          <w:sz w:val="18"/>
          <w:szCs w:val="18"/>
        </w:rPr>
      </w:pPr>
    </w:p>
    <w:p w14:paraId="1B77C4B8" w14:textId="77777777" w:rsidR="007A202B" w:rsidRPr="000E4E00" w:rsidRDefault="007A202B" w:rsidP="00002E8B">
      <w:pPr>
        <w:spacing w:line="240" w:lineRule="auto"/>
        <w:jc w:val="center"/>
        <w:rPr>
          <w:b/>
          <w:bCs/>
          <w:sz w:val="18"/>
          <w:szCs w:val="18"/>
        </w:rPr>
      </w:pPr>
    </w:p>
    <w:p w14:paraId="2C8DA572" w14:textId="77777777" w:rsidR="007A202B" w:rsidRPr="000E4E00" w:rsidRDefault="007A202B" w:rsidP="00002E8B">
      <w:pPr>
        <w:spacing w:line="240" w:lineRule="auto"/>
        <w:jc w:val="center"/>
        <w:rPr>
          <w:b/>
          <w:bCs/>
          <w:sz w:val="18"/>
          <w:szCs w:val="18"/>
        </w:rPr>
      </w:pPr>
    </w:p>
    <w:p w14:paraId="0B9B1BC7" w14:textId="77777777" w:rsidR="007A202B" w:rsidRPr="000E4E00" w:rsidRDefault="007A202B" w:rsidP="00002E8B">
      <w:pPr>
        <w:spacing w:line="240" w:lineRule="auto"/>
        <w:jc w:val="center"/>
        <w:rPr>
          <w:b/>
          <w:bCs/>
          <w:sz w:val="18"/>
          <w:szCs w:val="18"/>
        </w:rPr>
      </w:pPr>
    </w:p>
    <w:p w14:paraId="0DBB9F1F" w14:textId="77777777" w:rsidR="007A202B" w:rsidRPr="000E4E00" w:rsidRDefault="007A202B" w:rsidP="00002E8B">
      <w:pPr>
        <w:spacing w:line="240" w:lineRule="auto"/>
        <w:jc w:val="center"/>
        <w:rPr>
          <w:b/>
          <w:bCs/>
          <w:sz w:val="18"/>
          <w:szCs w:val="18"/>
        </w:rPr>
      </w:pPr>
    </w:p>
    <w:p w14:paraId="726F655D" w14:textId="77777777" w:rsidR="007A202B" w:rsidRPr="000E4E00" w:rsidRDefault="007A202B" w:rsidP="00002E8B">
      <w:pPr>
        <w:spacing w:line="240" w:lineRule="auto"/>
        <w:jc w:val="center"/>
        <w:rPr>
          <w:b/>
          <w:bCs/>
          <w:sz w:val="18"/>
          <w:szCs w:val="18"/>
        </w:rPr>
      </w:pPr>
    </w:p>
    <w:p w14:paraId="61FC0401" w14:textId="77777777" w:rsidR="007A202B" w:rsidRPr="000E4E00" w:rsidRDefault="007A202B" w:rsidP="00002E8B">
      <w:pPr>
        <w:spacing w:line="240" w:lineRule="auto"/>
        <w:jc w:val="center"/>
        <w:rPr>
          <w:b/>
          <w:bCs/>
          <w:sz w:val="18"/>
          <w:szCs w:val="18"/>
        </w:rPr>
      </w:pPr>
    </w:p>
    <w:p w14:paraId="5A91B32B" w14:textId="77777777" w:rsidR="007A202B" w:rsidRPr="000E4E00" w:rsidRDefault="007A202B" w:rsidP="00002E8B">
      <w:pPr>
        <w:spacing w:line="240" w:lineRule="auto"/>
        <w:jc w:val="center"/>
        <w:rPr>
          <w:b/>
          <w:bCs/>
          <w:sz w:val="18"/>
          <w:szCs w:val="18"/>
        </w:rPr>
      </w:pPr>
    </w:p>
    <w:p w14:paraId="0A7017CA" w14:textId="77777777" w:rsidR="007A202B" w:rsidRPr="000E4E00" w:rsidRDefault="007A202B" w:rsidP="00002E8B">
      <w:pPr>
        <w:spacing w:line="240" w:lineRule="auto"/>
        <w:jc w:val="center"/>
        <w:rPr>
          <w:b/>
          <w:bCs/>
          <w:sz w:val="18"/>
          <w:szCs w:val="18"/>
        </w:rPr>
      </w:pPr>
    </w:p>
    <w:p w14:paraId="4B5C2CCE" w14:textId="77777777" w:rsidR="007A202B" w:rsidRPr="000E4E00" w:rsidRDefault="007A202B" w:rsidP="007A202B">
      <w:pPr>
        <w:spacing w:line="240" w:lineRule="auto"/>
        <w:rPr>
          <w:b/>
          <w:bCs/>
          <w:sz w:val="18"/>
          <w:szCs w:val="18"/>
        </w:rPr>
      </w:pPr>
    </w:p>
    <w:p w14:paraId="55AF3887" w14:textId="622BF5D9" w:rsidR="009B4271" w:rsidRPr="00627EA0" w:rsidRDefault="00002E8B" w:rsidP="00002E8B">
      <w:pPr>
        <w:spacing w:line="240" w:lineRule="auto"/>
        <w:jc w:val="center"/>
        <w:rPr>
          <w:sz w:val="18"/>
          <w:szCs w:val="18"/>
        </w:rPr>
        <w:sectPr w:rsidR="009B4271" w:rsidRPr="00627EA0" w:rsidSect="00002E8B">
          <w:pgSz w:w="16838" w:h="11906" w:orient="landscape"/>
          <w:pgMar w:top="1701" w:right="1418" w:bottom="1701" w:left="1418" w:header="709" w:footer="709" w:gutter="0"/>
          <w:cols w:space="708"/>
          <w:docGrid w:linePitch="360"/>
        </w:sectPr>
      </w:pPr>
      <w:r w:rsidRPr="00627EA0">
        <w:rPr>
          <w:b/>
          <w:bCs/>
          <w:sz w:val="18"/>
          <w:szCs w:val="18"/>
        </w:rPr>
        <w:t xml:space="preserve">Supplementary Fig. </w:t>
      </w:r>
      <w:r w:rsidR="00F23201" w:rsidRPr="00627EA0">
        <w:rPr>
          <w:b/>
          <w:bCs/>
          <w:sz w:val="18"/>
          <w:szCs w:val="18"/>
        </w:rPr>
        <w:t>6</w:t>
      </w:r>
      <w:r w:rsidRPr="00627EA0">
        <w:rPr>
          <w:b/>
          <w:bCs/>
          <w:sz w:val="18"/>
          <w:szCs w:val="18"/>
        </w:rPr>
        <w:t xml:space="preserve">. Breakdown of ecosystem damage due to the deployment of Negative Emissions Technologies </w:t>
      </w:r>
      <w:r w:rsidR="005754B8" w:rsidRPr="00627EA0">
        <w:rPr>
          <w:b/>
          <w:bCs/>
          <w:sz w:val="18"/>
          <w:szCs w:val="18"/>
        </w:rPr>
        <w:t>or</w:t>
      </w:r>
      <w:r w:rsidRPr="00627EA0">
        <w:rPr>
          <w:b/>
          <w:bCs/>
          <w:sz w:val="18"/>
          <w:szCs w:val="18"/>
        </w:rPr>
        <w:t xml:space="preserve"> Practices (NETPs) in 2050. </w:t>
      </w:r>
      <w:r w:rsidRPr="00627EA0">
        <w:rPr>
          <w:sz w:val="18"/>
          <w:szCs w:val="18"/>
        </w:rPr>
        <w:t>Results expressed as the local species loss aggregated over space and time (x10</w:t>
      </w:r>
      <w:r w:rsidRPr="00627EA0">
        <w:rPr>
          <w:sz w:val="18"/>
          <w:szCs w:val="18"/>
          <w:vertAlign w:val="superscript"/>
        </w:rPr>
        <w:t>3</w:t>
      </w:r>
      <w:r w:rsidRPr="00627EA0">
        <w:rPr>
          <w:sz w:val="18"/>
          <w:szCs w:val="18"/>
        </w:rPr>
        <w:t xml:space="preserve"> </w:t>
      </w:r>
      <w:proofErr w:type="spellStart"/>
      <w:r w:rsidRPr="00627EA0">
        <w:rPr>
          <w:sz w:val="18"/>
          <w:szCs w:val="18"/>
        </w:rPr>
        <w:t>species·year</w:t>
      </w:r>
      <w:proofErr w:type="spellEnd"/>
      <w:r w:rsidRPr="00627EA0">
        <w:rPr>
          <w:sz w:val="18"/>
          <w:szCs w:val="18"/>
        </w:rPr>
        <w:t>) and relative to a baseline without Carbon Dioxide Removal (CDR).</w:t>
      </w:r>
      <w:r w:rsidRPr="00627EA0">
        <w:rPr>
          <w:b/>
          <w:bCs/>
          <w:sz w:val="18"/>
          <w:szCs w:val="18"/>
        </w:rPr>
        <w:t xml:space="preserve"> </w:t>
      </w:r>
      <w:r w:rsidRPr="00627EA0">
        <w:rPr>
          <w:sz w:val="18"/>
          <w:szCs w:val="18"/>
        </w:rPr>
        <w:t xml:space="preserve">Error bars represent the uncertainty of the </w:t>
      </w:r>
      <w:r w:rsidR="008005BE" w:rsidRPr="00627EA0">
        <w:rPr>
          <w:sz w:val="18"/>
          <w:szCs w:val="18"/>
        </w:rPr>
        <w:t>results, considering best and worst</w:t>
      </w:r>
      <w:r w:rsidR="00632A4F" w:rsidRPr="00627EA0">
        <w:rPr>
          <w:rFonts w:cstheme="minorHAnsi"/>
          <w:sz w:val="18"/>
          <w:szCs w:val="18"/>
        </w:rPr>
        <w:t xml:space="preserve"> foreground parameters</w:t>
      </w:r>
      <w:r w:rsidR="00632A4F" w:rsidRPr="00627EA0">
        <w:rPr>
          <w:sz w:val="18"/>
          <w:szCs w:val="18"/>
        </w:rPr>
        <w:t>.</w:t>
      </w:r>
      <w:r w:rsidR="00632A4F" w:rsidRPr="00627EA0">
        <w:rPr>
          <w:b/>
          <w:bCs/>
          <w:sz w:val="18"/>
          <w:szCs w:val="18"/>
        </w:rPr>
        <w:t xml:space="preserve"> </w:t>
      </w:r>
      <w:r w:rsidRPr="00627EA0">
        <w:rPr>
          <w:sz w:val="18"/>
          <w:szCs w:val="18"/>
        </w:rPr>
        <w:t>Contribution of midpoint impacts to the ecosystem damage caused by</w:t>
      </w:r>
      <w:r w:rsidRPr="00627EA0">
        <w:rPr>
          <w:b/>
          <w:bCs/>
          <w:sz w:val="18"/>
          <w:szCs w:val="18"/>
        </w:rPr>
        <w:t xml:space="preserve"> a</w:t>
      </w:r>
      <w:r w:rsidRPr="00627EA0">
        <w:rPr>
          <w:sz w:val="18"/>
          <w:szCs w:val="18"/>
        </w:rPr>
        <w:t xml:space="preserve"> Direct Air Carbon Capture and Storage (DACCS): High Temperature Liquid Sorbent (HTLS) and Low Temperature Solid Sorbent (LTSS). HTLS-1 is powered by natural gas (NG). NG supplies the heat of HTLS-2, while the electricity comes from the global average grid mix (GRID), solar photovoltaic (PV) or wind energy.  HTLS-3 is powered by the GRID, PV or wind. LTSS is powered by the GRID, PV, wind</w:t>
      </w:r>
      <w:r w:rsidR="00627EA0" w:rsidRPr="00627EA0">
        <w:rPr>
          <w:sz w:val="18"/>
          <w:szCs w:val="18"/>
        </w:rPr>
        <w:t>,</w:t>
      </w:r>
      <w:r w:rsidRPr="00627EA0">
        <w:rPr>
          <w:sz w:val="18"/>
          <w:szCs w:val="18"/>
        </w:rPr>
        <w:t xml:space="preserve"> or geothermal electricity (GEO). The heating demand of LTSS is supplied by heat pumps (LTSS-1) or excess geothermal heat (LTSS-2) generated in the production of GEO.  </w:t>
      </w:r>
      <w:r w:rsidRPr="00627EA0">
        <w:rPr>
          <w:b/>
          <w:bCs/>
          <w:sz w:val="18"/>
          <w:szCs w:val="18"/>
        </w:rPr>
        <w:t>b</w:t>
      </w:r>
      <w:r w:rsidRPr="00627EA0">
        <w:rPr>
          <w:sz w:val="18"/>
          <w:szCs w:val="18"/>
        </w:rPr>
        <w:t xml:space="preserve"> Geochemical NETPs: Ocean liming (</w:t>
      </w:r>
      <w:proofErr w:type="spellStart"/>
      <w:r w:rsidRPr="00627EA0">
        <w:rPr>
          <w:sz w:val="18"/>
          <w:szCs w:val="18"/>
        </w:rPr>
        <w:t>OLiming</w:t>
      </w:r>
      <w:proofErr w:type="spellEnd"/>
      <w:r w:rsidRPr="00627EA0">
        <w:rPr>
          <w:sz w:val="18"/>
          <w:szCs w:val="18"/>
        </w:rPr>
        <w:t>) and Coastal Enhanced Weathering (CEW). The calciner of OLiming-1 uses NG, in OLiming-2, it is powered by the GRID, PV, or wind. The CEW scenarios remove 1</w:t>
      </w:r>
      <w:r w:rsidR="00070C84" w:rsidRPr="00627EA0">
        <w:rPr>
          <w:sz w:val="18"/>
          <w:szCs w:val="18"/>
        </w:rPr>
        <w:t>0</w:t>
      </w:r>
      <w:r w:rsidRPr="00627EA0">
        <w:rPr>
          <w:sz w:val="18"/>
          <w:szCs w:val="18"/>
        </w:rPr>
        <w:t>% of the 2050 CDR</w:t>
      </w:r>
      <w:r w:rsidR="00070C84" w:rsidRPr="00627EA0">
        <w:rPr>
          <w:sz w:val="18"/>
          <w:szCs w:val="18"/>
        </w:rPr>
        <w:t xml:space="preserve"> </w:t>
      </w:r>
      <w:r w:rsidR="00724AF1" w:rsidRPr="00627EA0">
        <w:rPr>
          <w:sz w:val="18"/>
          <w:szCs w:val="18"/>
        </w:rPr>
        <w:t>target and consider 2050 and a previous year as the initial time for the rock application</w:t>
      </w:r>
      <w:r w:rsidRPr="00627EA0">
        <w:rPr>
          <w:sz w:val="18"/>
          <w:szCs w:val="18"/>
        </w:rPr>
        <w:t xml:space="preserve">. </w:t>
      </w:r>
      <w:r w:rsidRPr="00627EA0">
        <w:rPr>
          <w:b/>
          <w:bCs/>
          <w:sz w:val="18"/>
          <w:szCs w:val="18"/>
        </w:rPr>
        <w:t xml:space="preserve">c </w:t>
      </w:r>
      <w:r w:rsidRPr="00627EA0">
        <w:rPr>
          <w:sz w:val="18"/>
          <w:szCs w:val="18"/>
        </w:rPr>
        <w:t xml:space="preserve">Bioenergy with Carbon Capture and Storage (BECCS): combustion w/ post-combustion capture, oxy-combustion and gasification. </w:t>
      </w:r>
      <w:r w:rsidRPr="00627EA0">
        <w:rPr>
          <w:b/>
          <w:bCs/>
          <w:sz w:val="18"/>
          <w:szCs w:val="18"/>
        </w:rPr>
        <w:t>d</w:t>
      </w:r>
      <w:r w:rsidRPr="00627EA0">
        <w:rPr>
          <w:sz w:val="18"/>
          <w:szCs w:val="18"/>
        </w:rPr>
        <w:t xml:space="preserve"> Terrestrial NETPs: forestation (forest) and biochar. Forestation occurs on grasslands or pasturelands. Biochar is applied to the soil (Biochar1) or used as sand substitute (Biochar2). Pyrolysis modeled with and without Carbon Capture and Storage (CCS). Contribution of unit processes to the ecosystem damage caused by </w:t>
      </w:r>
      <w:r w:rsidRPr="00627EA0">
        <w:rPr>
          <w:b/>
          <w:bCs/>
          <w:sz w:val="18"/>
          <w:szCs w:val="18"/>
        </w:rPr>
        <w:t>e</w:t>
      </w:r>
      <w:r w:rsidRPr="00627EA0">
        <w:rPr>
          <w:sz w:val="18"/>
          <w:szCs w:val="18"/>
        </w:rPr>
        <w:t xml:space="preserve"> DACCS. </w:t>
      </w:r>
      <w:r w:rsidRPr="00627EA0">
        <w:rPr>
          <w:b/>
          <w:bCs/>
          <w:sz w:val="18"/>
          <w:szCs w:val="18"/>
        </w:rPr>
        <w:t>f</w:t>
      </w:r>
      <w:r w:rsidRPr="00627EA0">
        <w:rPr>
          <w:sz w:val="18"/>
          <w:szCs w:val="18"/>
        </w:rPr>
        <w:t xml:space="preserve"> Geochemical NETPs. </w:t>
      </w:r>
      <w:r w:rsidRPr="00627EA0">
        <w:rPr>
          <w:b/>
          <w:bCs/>
          <w:sz w:val="18"/>
          <w:szCs w:val="18"/>
        </w:rPr>
        <w:t>g</w:t>
      </w:r>
      <w:r w:rsidRPr="00627EA0">
        <w:rPr>
          <w:sz w:val="18"/>
          <w:szCs w:val="18"/>
        </w:rPr>
        <w:t xml:space="preserve"> BECCS. </w:t>
      </w:r>
      <w:r w:rsidRPr="00627EA0">
        <w:rPr>
          <w:b/>
          <w:bCs/>
          <w:sz w:val="18"/>
          <w:szCs w:val="18"/>
        </w:rPr>
        <w:t>h</w:t>
      </w:r>
      <w:r w:rsidRPr="00627EA0">
        <w:rPr>
          <w:sz w:val="18"/>
          <w:szCs w:val="18"/>
        </w:rPr>
        <w:t xml:space="preserve"> Terrestrial NETPs</w:t>
      </w:r>
      <w:r w:rsidR="00554B3E" w:rsidRPr="00627EA0">
        <w:rPr>
          <w:sz w:val="18"/>
          <w:szCs w:val="18"/>
        </w:rPr>
        <w:t>.</w:t>
      </w:r>
    </w:p>
    <w:p w14:paraId="30E22A89" w14:textId="02128AA7" w:rsidR="00B44AF5" w:rsidRDefault="007140CF" w:rsidP="003B216F">
      <w:pPr>
        <w:spacing w:after="0"/>
        <w:jc w:val="center"/>
        <w:rPr>
          <w:b/>
          <w:bCs/>
          <w:sz w:val="24"/>
          <w:szCs w:val="24"/>
        </w:rPr>
      </w:pPr>
      <w:r>
        <w:rPr>
          <w:noProof/>
        </w:rPr>
        <w:lastRenderedPageBreak/>
        <w:drawing>
          <wp:inline distT="0" distB="0" distL="0" distR="0" wp14:anchorId="121F6904" wp14:editId="55E81F65">
            <wp:extent cx="5137200" cy="4870800"/>
            <wp:effectExtent l="0" t="0" r="6350" b="6350"/>
            <wp:docPr id="1574481406" name="Imagen 1"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481406" name="Imagen 1" descr="Tabla&#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37200" cy="4870800"/>
                    </a:xfrm>
                    <a:prstGeom prst="rect">
                      <a:avLst/>
                    </a:prstGeom>
                    <a:noFill/>
                    <a:ln>
                      <a:noFill/>
                    </a:ln>
                  </pic:spPr>
                </pic:pic>
              </a:graphicData>
            </a:graphic>
          </wp:inline>
        </w:drawing>
      </w:r>
    </w:p>
    <w:p w14:paraId="75254757" w14:textId="17EA6462" w:rsidR="00D26269" w:rsidRPr="007140CF" w:rsidRDefault="00002E8B" w:rsidP="00D51E2B">
      <w:pPr>
        <w:jc w:val="center"/>
        <w:rPr>
          <w:sz w:val="18"/>
          <w:szCs w:val="18"/>
        </w:rPr>
      </w:pPr>
      <w:r w:rsidRPr="007140CF">
        <w:rPr>
          <w:b/>
          <w:bCs/>
          <w:sz w:val="18"/>
          <w:szCs w:val="18"/>
        </w:rPr>
        <w:t xml:space="preserve">Supplementary Fig. </w:t>
      </w:r>
      <w:r w:rsidR="00F23201" w:rsidRPr="007140CF">
        <w:rPr>
          <w:b/>
          <w:bCs/>
          <w:sz w:val="18"/>
          <w:szCs w:val="18"/>
        </w:rPr>
        <w:t>7.</w:t>
      </w:r>
      <w:r w:rsidRPr="007140CF">
        <w:rPr>
          <w:b/>
          <w:bCs/>
          <w:sz w:val="18"/>
          <w:szCs w:val="18"/>
        </w:rPr>
        <w:t xml:space="preserve"> Impacts of deploying Negative Emissions Technologies </w:t>
      </w:r>
      <w:r w:rsidR="00D16785" w:rsidRPr="007140CF">
        <w:rPr>
          <w:b/>
          <w:bCs/>
          <w:sz w:val="18"/>
          <w:szCs w:val="18"/>
        </w:rPr>
        <w:t>or</w:t>
      </w:r>
      <w:r w:rsidRPr="007140CF">
        <w:rPr>
          <w:b/>
          <w:bCs/>
          <w:sz w:val="18"/>
          <w:szCs w:val="18"/>
        </w:rPr>
        <w:t xml:space="preserve"> Practices </w:t>
      </w:r>
      <w:r w:rsidR="00E97C40" w:rsidRPr="007140CF">
        <w:rPr>
          <w:b/>
          <w:bCs/>
          <w:sz w:val="18"/>
          <w:szCs w:val="18"/>
        </w:rPr>
        <w:t xml:space="preserve">(NETPs) </w:t>
      </w:r>
      <w:r w:rsidRPr="007140CF">
        <w:rPr>
          <w:b/>
          <w:bCs/>
          <w:sz w:val="18"/>
          <w:szCs w:val="18"/>
        </w:rPr>
        <w:t xml:space="preserve">in 2050 on the Earth system. </w:t>
      </w:r>
      <w:r w:rsidRPr="007140CF">
        <w:rPr>
          <w:sz w:val="18"/>
          <w:szCs w:val="18"/>
        </w:rPr>
        <w:t xml:space="preserve">The impacts on the following Earth-system processes </w:t>
      </w:r>
      <w:r w:rsidR="00D861A7" w:rsidRPr="007140CF">
        <w:rPr>
          <w:sz w:val="18"/>
          <w:szCs w:val="18"/>
        </w:rPr>
        <w:t>(expressed as a share of their safe operating space)</w:t>
      </w:r>
      <w:r w:rsidRPr="007140CF">
        <w:rPr>
          <w:sz w:val="18"/>
          <w:szCs w:val="18"/>
        </w:rPr>
        <w:t xml:space="preserve">were assessed: climate change (CC), functional component of the terrestrial biosphere integrity (FTBI), biogeochemical flows–considering the industrial and intentional fixation of nitrogen (N) and phosphorus flows from freshwater into the ocean (P) as control variables–, land system change (LSC), global freshwater use (FWU), stratospheric ozone depletion (SOD). The </w:t>
      </w:r>
      <w:r w:rsidR="00D53D86" w:rsidRPr="007140CF">
        <w:rPr>
          <w:sz w:val="18"/>
          <w:szCs w:val="18"/>
        </w:rPr>
        <w:t>scenarios considered</w:t>
      </w:r>
      <w:r w:rsidRPr="007140CF">
        <w:rPr>
          <w:sz w:val="18"/>
          <w:szCs w:val="18"/>
        </w:rPr>
        <w:t xml:space="preserve"> include: 1) a baseline without Carbon Dioxide Removal (CDR), 2) Direct Air Carbon Capture and Storage (DACCS, in purple): High Temperature Liquid Sorbent (HTLS) and Low Temperature Solid Sorbent (LTSS). HTLS-1 is powered by natural gas (NG). NG supplies the heat of HTLS-2, while the electricity comes from the global average grid mix (GRID), solar photovoltaic (PV) or wind energy.  HTLS-3 is powered by the GRID, PV or wind. LTSS is powered by the GRID, PV, </w:t>
      </w:r>
      <w:r w:rsidR="009247FE" w:rsidRPr="007140CF">
        <w:rPr>
          <w:sz w:val="18"/>
          <w:szCs w:val="18"/>
        </w:rPr>
        <w:t>wind,</w:t>
      </w:r>
      <w:r w:rsidRPr="007140CF">
        <w:rPr>
          <w:sz w:val="18"/>
          <w:szCs w:val="18"/>
        </w:rPr>
        <w:t xml:space="preserve"> or geothermal electricity (GEO). The heating demand of LTSS is supplied by heat pumps (LTSS-1) or excess geothermal heat (LTSS-2) generated in the production of GEO.  3) Ocean liming (</w:t>
      </w:r>
      <w:proofErr w:type="spellStart"/>
      <w:r w:rsidRPr="007140CF">
        <w:rPr>
          <w:sz w:val="18"/>
          <w:szCs w:val="18"/>
        </w:rPr>
        <w:t>OLiming</w:t>
      </w:r>
      <w:proofErr w:type="spellEnd"/>
      <w:r w:rsidRPr="007140CF">
        <w:rPr>
          <w:sz w:val="18"/>
          <w:szCs w:val="18"/>
        </w:rPr>
        <w:t>, in blue). The calciner of OLiming-1 uses NG, in OLiming-2, it is powered by the GRID, PV, or wind. 4) Bioenergy with Carbon Capture and Storage (BECCS, in green): combustion w/ post-combustion capture</w:t>
      </w:r>
      <w:r w:rsidR="00992AE1" w:rsidRPr="007140CF">
        <w:rPr>
          <w:sz w:val="18"/>
          <w:szCs w:val="18"/>
        </w:rPr>
        <w:t>,</w:t>
      </w:r>
      <w:r w:rsidRPr="007140CF">
        <w:rPr>
          <w:sz w:val="18"/>
          <w:szCs w:val="18"/>
        </w:rPr>
        <w:t xml:space="preserve"> oxy-combustion</w:t>
      </w:r>
      <w:r w:rsidR="00992AE1" w:rsidRPr="007140CF">
        <w:rPr>
          <w:sz w:val="18"/>
          <w:szCs w:val="18"/>
        </w:rPr>
        <w:t>,</w:t>
      </w:r>
      <w:r w:rsidRPr="007140CF">
        <w:rPr>
          <w:sz w:val="18"/>
          <w:szCs w:val="18"/>
        </w:rPr>
        <w:t xml:space="preserve"> and gasification</w:t>
      </w:r>
      <w:r w:rsidR="00992AE1" w:rsidRPr="007140CF">
        <w:rPr>
          <w:sz w:val="18"/>
          <w:szCs w:val="18"/>
        </w:rPr>
        <w:t xml:space="preserve">. </w:t>
      </w:r>
      <w:r w:rsidRPr="007140CF">
        <w:rPr>
          <w:sz w:val="18"/>
          <w:szCs w:val="18"/>
        </w:rPr>
        <w:t>5) Terrestrial NETPs</w:t>
      </w:r>
      <w:r w:rsidR="00F15788" w:rsidRPr="007140CF">
        <w:rPr>
          <w:sz w:val="18"/>
          <w:szCs w:val="18"/>
        </w:rPr>
        <w:t>:</w:t>
      </w:r>
      <w:r w:rsidRPr="007140CF">
        <w:rPr>
          <w:sz w:val="18"/>
          <w:szCs w:val="18"/>
        </w:rPr>
        <w:t xml:space="preserve"> forestation (forest</w:t>
      </w:r>
      <w:r w:rsidR="00F15788" w:rsidRPr="007140CF">
        <w:rPr>
          <w:sz w:val="18"/>
          <w:szCs w:val="18"/>
        </w:rPr>
        <w:t>, in brown</w:t>
      </w:r>
      <w:r w:rsidRPr="007140CF">
        <w:rPr>
          <w:sz w:val="18"/>
          <w:szCs w:val="18"/>
        </w:rPr>
        <w:t>) and biochar</w:t>
      </w:r>
      <w:r w:rsidR="00F15788" w:rsidRPr="007140CF">
        <w:rPr>
          <w:sz w:val="18"/>
          <w:szCs w:val="18"/>
        </w:rPr>
        <w:t xml:space="preserve"> (in black)</w:t>
      </w:r>
      <w:r w:rsidRPr="007140CF">
        <w:rPr>
          <w:sz w:val="18"/>
          <w:szCs w:val="18"/>
        </w:rPr>
        <w:t>. Forestation occurs on grasslands or pasturelands. Biochar is applied to the soil (Biochar1) or used as sand substitute (Biochar2). Pyrolysis modeled with and without Carbon Capture and Storage (CCS).</w:t>
      </w:r>
    </w:p>
    <w:p w14:paraId="5A62A9B4" w14:textId="77777777" w:rsidR="00D26269" w:rsidRDefault="00D26269" w:rsidP="00D26269">
      <w:pPr>
        <w:rPr>
          <w:b/>
          <w:bCs/>
          <w:sz w:val="18"/>
          <w:szCs w:val="18"/>
        </w:rPr>
        <w:sectPr w:rsidR="00D26269" w:rsidSect="00EE5BC3">
          <w:footerReference w:type="default" r:id="rId16"/>
          <w:pgSz w:w="11906" w:h="16838"/>
          <w:pgMar w:top="1417" w:right="1701" w:bottom="1417" w:left="1701" w:header="708" w:footer="708" w:gutter="0"/>
          <w:cols w:space="708"/>
          <w:docGrid w:linePitch="360"/>
        </w:sectPr>
      </w:pPr>
    </w:p>
    <w:p w14:paraId="58516B26" w14:textId="48178940" w:rsidR="00E97F3C" w:rsidRDefault="00D36AC3" w:rsidP="00D15E37">
      <w:pPr>
        <w:spacing w:after="0" w:line="240" w:lineRule="auto"/>
        <w:jc w:val="center"/>
        <w:rPr>
          <w:sz w:val="18"/>
          <w:szCs w:val="18"/>
        </w:rPr>
      </w:pPr>
      <w:r>
        <w:rPr>
          <w:noProof/>
        </w:rPr>
        <w:lastRenderedPageBreak/>
        <w:drawing>
          <wp:inline distT="0" distB="0" distL="0" distR="0" wp14:anchorId="28F4FB36" wp14:editId="52CABD3B">
            <wp:extent cx="7624800" cy="2818800"/>
            <wp:effectExtent l="0" t="0" r="0" b="635"/>
            <wp:docPr id="986297162" name="Imagen 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297162" name="Imagen 2" descr="Gráfic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4800" cy="2818800"/>
                    </a:xfrm>
                    <a:prstGeom prst="rect">
                      <a:avLst/>
                    </a:prstGeom>
                    <a:noFill/>
                    <a:ln>
                      <a:noFill/>
                    </a:ln>
                  </pic:spPr>
                </pic:pic>
              </a:graphicData>
            </a:graphic>
          </wp:inline>
        </w:drawing>
      </w:r>
    </w:p>
    <w:p w14:paraId="4688713D" w14:textId="0392A25B" w:rsidR="00E97F3C" w:rsidRPr="00F421C8" w:rsidRDefault="00E97F3C" w:rsidP="00E97F3C">
      <w:pPr>
        <w:spacing w:line="240" w:lineRule="auto"/>
        <w:jc w:val="center"/>
        <w:rPr>
          <w:sz w:val="18"/>
          <w:szCs w:val="18"/>
        </w:rPr>
      </w:pPr>
      <w:r w:rsidRPr="00F421C8">
        <w:rPr>
          <w:b/>
          <w:bCs/>
          <w:sz w:val="18"/>
          <w:szCs w:val="18"/>
        </w:rPr>
        <w:t xml:space="preserve">Supplementary Fig. </w:t>
      </w:r>
      <w:r w:rsidR="00F23201" w:rsidRPr="00F421C8">
        <w:rPr>
          <w:b/>
          <w:bCs/>
          <w:sz w:val="18"/>
          <w:szCs w:val="18"/>
        </w:rPr>
        <w:t>8</w:t>
      </w:r>
      <w:r w:rsidRPr="00F421C8">
        <w:rPr>
          <w:sz w:val="18"/>
          <w:szCs w:val="18"/>
        </w:rPr>
        <w:t xml:space="preserve">. </w:t>
      </w:r>
      <w:r w:rsidRPr="00F421C8">
        <w:rPr>
          <w:b/>
          <w:bCs/>
          <w:sz w:val="18"/>
          <w:szCs w:val="18"/>
        </w:rPr>
        <w:t xml:space="preserve">Impacts of Negative Emissions Technologies </w:t>
      </w:r>
      <w:r w:rsidR="009A06DE" w:rsidRPr="00F421C8">
        <w:rPr>
          <w:b/>
          <w:bCs/>
          <w:sz w:val="18"/>
          <w:szCs w:val="18"/>
        </w:rPr>
        <w:t>or</w:t>
      </w:r>
      <w:r w:rsidRPr="00F421C8">
        <w:rPr>
          <w:b/>
          <w:bCs/>
          <w:sz w:val="18"/>
          <w:szCs w:val="18"/>
        </w:rPr>
        <w:t xml:space="preserve"> Practices (NETPs) on</w:t>
      </w:r>
      <w:r w:rsidR="00C70B61" w:rsidRPr="00F421C8">
        <w:rPr>
          <w:b/>
          <w:bCs/>
          <w:sz w:val="18"/>
          <w:szCs w:val="18"/>
        </w:rPr>
        <w:t xml:space="preserve"> three </w:t>
      </w:r>
      <w:r w:rsidRPr="00F421C8">
        <w:rPr>
          <w:b/>
          <w:bCs/>
          <w:sz w:val="18"/>
          <w:szCs w:val="18"/>
        </w:rPr>
        <w:t>Earth-system processes between 2030 and 2050</w:t>
      </w:r>
      <w:r w:rsidRPr="00F421C8">
        <w:rPr>
          <w:sz w:val="18"/>
          <w:szCs w:val="18"/>
        </w:rPr>
        <w:t>,</w:t>
      </w:r>
      <w:r w:rsidRPr="00F421C8">
        <w:rPr>
          <w:b/>
          <w:bCs/>
          <w:sz w:val="18"/>
          <w:szCs w:val="18"/>
        </w:rPr>
        <w:t xml:space="preserve"> </w:t>
      </w:r>
      <w:r w:rsidRPr="00F421C8">
        <w:rPr>
          <w:sz w:val="18"/>
          <w:szCs w:val="18"/>
        </w:rPr>
        <w:t>consistent with the Planetary Boundaries (PBs) framework.</w:t>
      </w:r>
      <w:r w:rsidRPr="00F421C8">
        <w:rPr>
          <w:b/>
          <w:bCs/>
          <w:sz w:val="18"/>
          <w:szCs w:val="18"/>
        </w:rPr>
        <w:t xml:space="preserve"> </w:t>
      </w:r>
      <w:r w:rsidRPr="00F421C8">
        <w:rPr>
          <w:sz w:val="18"/>
          <w:szCs w:val="18"/>
        </w:rPr>
        <w:t>The results represent the median impacts, expressed as a percentage of the safe operating space and relative to a baseline without Carbon Dioxide Removal (CDR), across the studied NETPs scenarios within each of these subgroups: Direct Air Carbon Capture and Storage (DACCS), Ocean liming (</w:t>
      </w:r>
      <w:proofErr w:type="spellStart"/>
      <w:r w:rsidRPr="00F421C8">
        <w:rPr>
          <w:sz w:val="18"/>
          <w:szCs w:val="18"/>
        </w:rPr>
        <w:t>OLiming</w:t>
      </w:r>
      <w:proofErr w:type="spellEnd"/>
      <w:r w:rsidRPr="00F421C8">
        <w:rPr>
          <w:sz w:val="18"/>
          <w:szCs w:val="18"/>
        </w:rPr>
        <w:t xml:space="preserve">), Bioenergy with Carbon Capture and Storage (BECCS), forestation (Forest) and biochar. Error bars indicate maximum (max) and minimum (min) impacts within each subgroup. Grey-shaded areas represent the uncertainty of the results </w:t>
      </w:r>
      <w:r w:rsidRPr="00F421C8">
        <w:rPr>
          <w:rFonts w:cstheme="minorHAnsi"/>
          <w:sz w:val="18"/>
          <w:szCs w:val="18"/>
        </w:rPr>
        <w:t>(lowest values correspond to the scenarios generating the least impact with the most favorable foreground parameters and highest values derived from the worst-performing scenarios considering the most pessimistic foreground parameters)</w:t>
      </w:r>
      <w:r w:rsidRPr="00F421C8">
        <w:rPr>
          <w:sz w:val="18"/>
          <w:szCs w:val="18"/>
        </w:rPr>
        <w:t>. The impacts on these Earth-system processes are assessed:</w:t>
      </w:r>
      <w:r w:rsidRPr="00F421C8">
        <w:rPr>
          <w:b/>
          <w:bCs/>
          <w:sz w:val="18"/>
          <w:szCs w:val="18"/>
        </w:rPr>
        <w:t xml:space="preserve"> a </w:t>
      </w:r>
      <w:r w:rsidRPr="00F421C8">
        <w:rPr>
          <w:sz w:val="18"/>
          <w:szCs w:val="18"/>
        </w:rPr>
        <w:t>Phosphorus biogeochemical flows,</w:t>
      </w:r>
      <w:r w:rsidRPr="00F421C8">
        <w:rPr>
          <w:b/>
          <w:bCs/>
          <w:sz w:val="18"/>
          <w:szCs w:val="18"/>
        </w:rPr>
        <w:t xml:space="preserve"> b </w:t>
      </w:r>
      <w:r w:rsidR="00D36AC3" w:rsidRPr="00F421C8">
        <w:rPr>
          <w:sz w:val="18"/>
          <w:szCs w:val="18"/>
        </w:rPr>
        <w:t>Stratospheric ozone depletion</w:t>
      </w:r>
      <w:r w:rsidRPr="00F421C8">
        <w:rPr>
          <w:sz w:val="18"/>
          <w:szCs w:val="18"/>
        </w:rPr>
        <w:t>,</w:t>
      </w:r>
      <w:r w:rsidRPr="00F421C8">
        <w:rPr>
          <w:b/>
          <w:bCs/>
          <w:sz w:val="18"/>
          <w:szCs w:val="18"/>
        </w:rPr>
        <w:t xml:space="preserve"> </w:t>
      </w:r>
      <w:r w:rsidR="004D0ED2" w:rsidRPr="00F421C8">
        <w:rPr>
          <w:b/>
          <w:bCs/>
          <w:sz w:val="18"/>
          <w:szCs w:val="18"/>
        </w:rPr>
        <w:t xml:space="preserve">and </w:t>
      </w:r>
      <w:r w:rsidRPr="00F421C8">
        <w:rPr>
          <w:b/>
          <w:bCs/>
          <w:sz w:val="18"/>
          <w:szCs w:val="18"/>
        </w:rPr>
        <w:t>c</w:t>
      </w:r>
      <w:r w:rsidR="00D36AC3" w:rsidRPr="00F421C8">
        <w:rPr>
          <w:b/>
          <w:bCs/>
          <w:sz w:val="18"/>
          <w:szCs w:val="18"/>
        </w:rPr>
        <w:t xml:space="preserve"> </w:t>
      </w:r>
      <w:r w:rsidR="00D36AC3" w:rsidRPr="00F421C8">
        <w:rPr>
          <w:sz w:val="18"/>
          <w:szCs w:val="18"/>
        </w:rPr>
        <w:t>Land-system change</w:t>
      </w:r>
      <w:r w:rsidRPr="00F421C8">
        <w:rPr>
          <w:b/>
          <w:bCs/>
          <w:sz w:val="18"/>
          <w:szCs w:val="18"/>
        </w:rPr>
        <w:t>.</w:t>
      </w:r>
    </w:p>
    <w:p w14:paraId="599C3A32" w14:textId="343093B7" w:rsidR="00D26269" w:rsidRDefault="00D26269" w:rsidP="00D94049">
      <w:pPr>
        <w:rPr>
          <w:b/>
          <w:bCs/>
          <w:sz w:val="18"/>
          <w:szCs w:val="18"/>
        </w:rPr>
      </w:pPr>
    </w:p>
    <w:p w14:paraId="48A5092F" w14:textId="77777777" w:rsidR="00D94049" w:rsidRDefault="00D94049" w:rsidP="00D94049">
      <w:pPr>
        <w:rPr>
          <w:b/>
          <w:bCs/>
          <w:sz w:val="18"/>
          <w:szCs w:val="18"/>
        </w:rPr>
        <w:sectPr w:rsidR="00D94049" w:rsidSect="00D26269">
          <w:pgSz w:w="16838" w:h="11906" w:orient="landscape"/>
          <w:pgMar w:top="1701" w:right="1418" w:bottom="1701" w:left="1418" w:header="709" w:footer="709" w:gutter="0"/>
          <w:cols w:space="708"/>
          <w:docGrid w:linePitch="360"/>
        </w:sectPr>
      </w:pPr>
    </w:p>
    <w:p w14:paraId="4597A998" w14:textId="4B08C42B" w:rsidR="004A280C" w:rsidRDefault="00815FB9" w:rsidP="004A280C">
      <w:pPr>
        <w:spacing w:after="0"/>
        <w:jc w:val="center"/>
        <w:rPr>
          <w:b/>
          <w:bCs/>
          <w:color w:val="FF0000"/>
          <w:sz w:val="18"/>
          <w:szCs w:val="18"/>
          <w:highlight w:val="yellow"/>
        </w:rPr>
      </w:pPr>
      <w:r>
        <w:rPr>
          <w:noProof/>
        </w:rPr>
        <w:lastRenderedPageBreak/>
        <w:drawing>
          <wp:inline distT="0" distB="0" distL="0" distR="0" wp14:anchorId="08523020" wp14:editId="30D212C4">
            <wp:extent cx="7243200" cy="3621600"/>
            <wp:effectExtent l="0" t="0" r="0" b="0"/>
            <wp:docPr id="1086112781" name="Imagen 7"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112781" name="Imagen 7" descr="Imagen que contiene Gráfic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43200" cy="3621600"/>
                    </a:xfrm>
                    <a:prstGeom prst="rect">
                      <a:avLst/>
                    </a:prstGeom>
                    <a:noFill/>
                    <a:ln>
                      <a:noFill/>
                    </a:ln>
                  </pic:spPr>
                </pic:pic>
              </a:graphicData>
            </a:graphic>
          </wp:inline>
        </w:drawing>
      </w:r>
    </w:p>
    <w:p w14:paraId="7ADBDED6" w14:textId="77003363" w:rsidR="00D94049" w:rsidRPr="00E97F3C" w:rsidRDefault="00F951C5" w:rsidP="004A280C">
      <w:pPr>
        <w:spacing w:after="0"/>
        <w:jc w:val="center"/>
        <w:rPr>
          <w:color w:val="FF0000"/>
          <w:sz w:val="18"/>
          <w:szCs w:val="18"/>
        </w:rPr>
        <w:sectPr w:rsidR="00D94049" w:rsidRPr="00E97F3C" w:rsidSect="00222188">
          <w:pgSz w:w="16838" w:h="11906" w:orient="landscape"/>
          <w:pgMar w:top="1701" w:right="1418" w:bottom="1701" w:left="1418" w:header="709" w:footer="709" w:gutter="0"/>
          <w:cols w:space="708"/>
          <w:docGrid w:linePitch="360"/>
        </w:sectPr>
      </w:pPr>
      <w:r w:rsidRPr="00815FB9">
        <w:rPr>
          <w:b/>
          <w:bCs/>
          <w:sz w:val="18"/>
          <w:szCs w:val="18"/>
        </w:rPr>
        <w:t>S</w:t>
      </w:r>
      <w:r w:rsidR="00222188" w:rsidRPr="00815FB9">
        <w:rPr>
          <w:b/>
          <w:bCs/>
          <w:sz w:val="18"/>
          <w:szCs w:val="18"/>
        </w:rPr>
        <w:t xml:space="preserve">upplementary </w:t>
      </w:r>
      <w:r w:rsidR="003E6E8C" w:rsidRPr="00815FB9">
        <w:rPr>
          <w:b/>
          <w:bCs/>
          <w:sz w:val="18"/>
          <w:szCs w:val="18"/>
        </w:rPr>
        <w:t xml:space="preserve">Fig. </w:t>
      </w:r>
      <w:r w:rsidR="006C0ECE" w:rsidRPr="00815FB9">
        <w:rPr>
          <w:b/>
          <w:bCs/>
          <w:sz w:val="18"/>
          <w:szCs w:val="18"/>
        </w:rPr>
        <w:t>9</w:t>
      </w:r>
      <w:r w:rsidR="003E6E8C" w:rsidRPr="00815FB9">
        <w:rPr>
          <w:b/>
          <w:bCs/>
          <w:sz w:val="18"/>
          <w:szCs w:val="18"/>
        </w:rPr>
        <w:t>. Mineral resource extraction associated with the deployment of Negative Emissions Technologies and Practices</w:t>
      </w:r>
      <w:r w:rsidR="00874D70" w:rsidRPr="00815FB9">
        <w:rPr>
          <w:b/>
          <w:bCs/>
          <w:sz w:val="18"/>
          <w:szCs w:val="18"/>
        </w:rPr>
        <w:t xml:space="preserve"> in 2050</w:t>
      </w:r>
      <w:r w:rsidR="003E6E8C" w:rsidRPr="00815FB9">
        <w:rPr>
          <w:sz w:val="18"/>
          <w:szCs w:val="18"/>
        </w:rPr>
        <w:t>,</w:t>
      </w:r>
      <w:r w:rsidR="003E6E8C" w:rsidRPr="0065306E">
        <w:rPr>
          <w:b/>
          <w:bCs/>
          <w:sz w:val="18"/>
          <w:szCs w:val="18"/>
        </w:rPr>
        <w:t xml:space="preserve"> </w:t>
      </w:r>
      <w:r w:rsidR="003E6E8C" w:rsidRPr="0065306E">
        <w:rPr>
          <w:sz w:val="18"/>
          <w:szCs w:val="18"/>
        </w:rPr>
        <w:t>relative to a baseline without Carbon Dioxide Removal (CDR).</w:t>
      </w:r>
      <w:r w:rsidR="002774A5" w:rsidRPr="0065306E">
        <w:rPr>
          <w:sz w:val="18"/>
          <w:szCs w:val="18"/>
        </w:rPr>
        <w:t xml:space="preserve"> Breakdown of unit processes (left bars) and materials (right bars) contributing to resource extraction.</w:t>
      </w:r>
      <w:r w:rsidR="00853C60" w:rsidRPr="0065306E">
        <w:rPr>
          <w:sz w:val="18"/>
          <w:szCs w:val="18"/>
        </w:rPr>
        <w:t xml:space="preserve"> Error bars </w:t>
      </w:r>
      <w:r w:rsidR="008C341E" w:rsidRPr="0065306E">
        <w:rPr>
          <w:sz w:val="18"/>
          <w:szCs w:val="18"/>
        </w:rPr>
        <w:t>represent</w:t>
      </w:r>
      <w:r w:rsidR="00FF21FB" w:rsidRPr="0065306E">
        <w:rPr>
          <w:sz w:val="18"/>
          <w:szCs w:val="18"/>
        </w:rPr>
        <w:t xml:space="preserve"> </w:t>
      </w:r>
      <w:r w:rsidR="00E25EC5" w:rsidRPr="0065306E">
        <w:rPr>
          <w:sz w:val="18"/>
          <w:szCs w:val="18"/>
        </w:rPr>
        <w:t>the uncertainty</w:t>
      </w:r>
      <w:r w:rsidR="00E25EC5" w:rsidRPr="00315186">
        <w:rPr>
          <w:sz w:val="18"/>
          <w:szCs w:val="18"/>
        </w:rPr>
        <w:t xml:space="preserve"> of the result</w:t>
      </w:r>
      <w:r w:rsidR="00FF21FB">
        <w:rPr>
          <w:sz w:val="18"/>
          <w:szCs w:val="18"/>
        </w:rPr>
        <w:t xml:space="preserve">s, considering best and worst foreground parameters. </w:t>
      </w:r>
      <w:r w:rsidR="00E85B30">
        <w:rPr>
          <w:b/>
          <w:bCs/>
          <w:sz w:val="18"/>
          <w:szCs w:val="18"/>
        </w:rPr>
        <w:t>a</w:t>
      </w:r>
      <w:r w:rsidR="003E6E8C" w:rsidRPr="003E6E8C">
        <w:rPr>
          <w:b/>
          <w:bCs/>
          <w:sz w:val="18"/>
          <w:szCs w:val="18"/>
        </w:rPr>
        <w:t xml:space="preserve"> </w:t>
      </w:r>
      <w:r w:rsidR="003E6E8C" w:rsidRPr="003E6E8C">
        <w:rPr>
          <w:sz w:val="18"/>
          <w:szCs w:val="18"/>
        </w:rPr>
        <w:t xml:space="preserve">Nickel extraction </w:t>
      </w:r>
      <w:r w:rsidR="00E85B30">
        <w:rPr>
          <w:sz w:val="18"/>
          <w:szCs w:val="18"/>
        </w:rPr>
        <w:t>in</w:t>
      </w:r>
      <w:r w:rsidR="003E6E8C" w:rsidRPr="003E6E8C">
        <w:rPr>
          <w:sz w:val="18"/>
          <w:szCs w:val="18"/>
        </w:rPr>
        <w:t xml:space="preserve"> 2050 due to the deployment of DACCS: High Temperature Liquid Sorbent (HTLS) and Low Temperature Solid Sorbent (LTSS). </w:t>
      </w:r>
      <w:r w:rsidR="00D667FD" w:rsidRPr="003E6E8C">
        <w:rPr>
          <w:sz w:val="18"/>
          <w:szCs w:val="18"/>
        </w:rPr>
        <w:t>HTLS-1 is powered by natural gas (NG). NG supplies the heat of HTLS-2, while the electricity comes from the global average grid mix (GRID), solar photovoltaic (PV) or wind energy. HTLS-3 is powered by the GRID, PV or wind. The heating demand of LTSS is supplied by heat pumps (LTSS-1) or excess geothermal heat (LTSS-2) generated in the production of geothermal (GEO) electricity</w:t>
      </w:r>
      <w:r w:rsidR="00A2323C">
        <w:rPr>
          <w:sz w:val="18"/>
          <w:szCs w:val="18"/>
        </w:rPr>
        <w:t>.</w:t>
      </w:r>
      <w:r w:rsidR="004B1C28">
        <w:rPr>
          <w:sz w:val="18"/>
          <w:szCs w:val="18"/>
        </w:rPr>
        <w:t xml:space="preserve"> </w:t>
      </w:r>
      <w:r w:rsidR="00901A1D">
        <w:rPr>
          <w:b/>
          <w:bCs/>
          <w:sz w:val="18"/>
          <w:szCs w:val="18"/>
        </w:rPr>
        <w:t>b</w:t>
      </w:r>
      <w:r w:rsidR="00AD0170">
        <w:rPr>
          <w:b/>
          <w:bCs/>
          <w:sz w:val="18"/>
          <w:szCs w:val="18"/>
        </w:rPr>
        <w:t xml:space="preserve"> </w:t>
      </w:r>
      <w:r w:rsidR="00AD0170" w:rsidRPr="00901A1D">
        <w:rPr>
          <w:sz w:val="18"/>
          <w:szCs w:val="18"/>
        </w:rPr>
        <w:t>Minimum (</w:t>
      </w:r>
      <w:r w:rsidR="00AD0170" w:rsidRPr="006E4134">
        <w:rPr>
          <w:sz w:val="18"/>
          <w:szCs w:val="18"/>
        </w:rPr>
        <w:t>min) and maximum (max)</w:t>
      </w:r>
      <w:r w:rsidR="003E6E8C" w:rsidRPr="006E4134">
        <w:rPr>
          <w:b/>
          <w:bCs/>
          <w:sz w:val="18"/>
          <w:szCs w:val="18"/>
        </w:rPr>
        <w:t xml:space="preserve"> </w:t>
      </w:r>
      <w:r w:rsidR="003E6E8C" w:rsidRPr="006E4134">
        <w:rPr>
          <w:sz w:val="18"/>
          <w:szCs w:val="18"/>
        </w:rPr>
        <w:t xml:space="preserve">barium extraction </w:t>
      </w:r>
      <w:r w:rsidR="00AD0170" w:rsidRPr="006E4134">
        <w:rPr>
          <w:sz w:val="18"/>
          <w:szCs w:val="18"/>
        </w:rPr>
        <w:t>in</w:t>
      </w:r>
      <w:r w:rsidR="003E6E8C" w:rsidRPr="006E4134">
        <w:rPr>
          <w:sz w:val="18"/>
          <w:szCs w:val="18"/>
        </w:rPr>
        <w:t xml:space="preserve"> 2050 </w:t>
      </w:r>
      <w:r w:rsidR="004A3057" w:rsidRPr="006E4134">
        <w:rPr>
          <w:sz w:val="18"/>
          <w:szCs w:val="18"/>
        </w:rPr>
        <w:t>across the</w:t>
      </w:r>
      <w:r w:rsidR="00723E1A" w:rsidRPr="006E4134">
        <w:rPr>
          <w:sz w:val="18"/>
          <w:szCs w:val="18"/>
        </w:rPr>
        <w:t xml:space="preserve"> HTLS- and LTSS-</w:t>
      </w:r>
      <w:r w:rsidR="003E6E8C" w:rsidRPr="006E4134">
        <w:rPr>
          <w:sz w:val="18"/>
          <w:szCs w:val="18"/>
        </w:rPr>
        <w:t>DACCS, O</w:t>
      </w:r>
      <w:r w:rsidR="00CB5FAE" w:rsidRPr="006E4134">
        <w:rPr>
          <w:sz w:val="18"/>
          <w:szCs w:val="18"/>
        </w:rPr>
        <w:t>cean l</w:t>
      </w:r>
      <w:r w:rsidR="003E6E8C" w:rsidRPr="006E4134">
        <w:rPr>
          <w:sz w:val="18"/>
          <w:szCs w:val="18"/>
        </w:rPr>
        <w:t>iming</w:t>
      </w:r>
      <w:r w:rsidR="00CB5FAE" w:rsidRPr="006E4134">
        <w:rPr>
          <w:sz w:val="18"/>
          <w:szCs w:val="18"/>
        </w:rPr>
        <w:t xml:space="preserve"> (</w:t>
      </w:r>
      <w:proofErr w:type="spellStart"/>
      <w:r w:rsidR="00CB5FAE" w:rsidRPr="006E4134">
        <w:rPr>
          <w:sz w:val="18"/>
          <w:szCs w:val="18"/>
        </w:rPr>
        <w:t>OLiming</w:t>
      </w:r>
      <w:proofErr w:type="spellEnd"/>
      <w:r w:rsidR="00CB5FAE" w:rsidRPr="006E4134">
        <w:rPr>
          <w:sz w:val="18"/>
          <w:szCs w:val="18"/>
        </w:rPr>
        <w:t>)</w:t>
      </w:r>
      <w:r w:rsidR="003E6E8C" w:rsidRPr="006E4134">
        <w:rPr>
          <w:sz w:val="18"/>
          <w:szCs w:val="18"/>
        </w:rPr>
        <w:t xml:space="preserve"> and </w:t>
      </w:r>
      <w:r w:rsidR="00CB5FAE" w:rsidRPr="006E4134">
        <w:rPr>
          <w:sz w:val="18"/>
          <w:szCs w:val="18"/>
        </w:rPr>
        <w:t>Bioenergy with Carbon Capture and Storage (</w:t>
      </w:r>
      <w:r w:rsidR="003E6E8C" w:rsidRPr="006E4134">
        <w:rPr>
          <w:sz w:val="18"/>
          <w:szCs w:val="18"/>
        </w:rPr>
        <w:t>BECCS</w:t>
      </w:r>
      <w:r w:rsidR="00CB5FAE" w:rsidRPr="006E4134">
        <w:rPr>
          <w:sz w:val="18"/>
          <w:szCs w:val="18"/>
        </w:rPr>
        <w:t>)</w:t>
      </w:r>
      <w:r w:rsidR="003E6E8C" w:rsidRPr="006E4134">
        <w:rPr>
          <w:sz w:val="18"/>
          <w:szCs w:val="18"/>
        </w:rPr>
        <w:t xml:space="preserve"> </w:t>
      </w:r>
      <w:r w:rsidR="004A3057" w:rsidRPr="006E4134">
        <w:rPr>
          <w:sz w:val="18"/>
          <w:szCs w:val="18"/>
        </w:rPr>
        <w:t>scenario</w:t>
      </w:r>
      <w:r w:rsidR="00B472AB" w:rsidRPr="006E4134">
        <w:rPr>
          <w:sz w:val="18"/>
          <w:szCs w:val="18"/>
        </w:rPr>
        <w:t>s</w:t>
      </w:r>
      <w:r w:rsidR="0077221E" w:rsidRPr="006E4134">
        <w:rPr>
          <w:sz w:val="18"/>
          <w:szCs w:val="18"/>
        </w:rPr>
        <w:t>, t</w:t>
      </w:r>
      <w:r w:rsidR="00723E1A" w:rsidRPr="006E4134">
        <w:rPr>
          <w:sz w:val="18"/>
          <w:szCs w:val="18"/>
        </w:rPr>
        <w:t xml:space="preserve">he latter </w:t>
      </w:r>
      <w:r w:rsidR="003E6E8C" w:rsidRPr="006E4134">
        <w:rPr>
          <w:sz w:val="18"/>
          <w:szCs w:val="18"/>
        </w:rPr>
        <w:t xml:space="preserve">based on </w:t>
      </w:r>
      <w:r w:rsidR="00723E1A" w:rsidRPr="006E4134">
        <w:rPr>
          <w:sz w:val="18"/>
          <w:szCs w:val="18"/>
        </w:rPr>
        <w:t>post-</w:t>
      </w:r>
      <w:r w:rsidR="003E6E8C" w:rsidRPr="006E4134">
        <w:rPr>
          <w:sz w:val="18"/>
          <w:szCs w:val="18"/>
        </w:rPr>
        <w:t>combustion</w:t>
      </w:r>
      <w:r w:rsidR="00723E1A" w:rsidRPr="006E4134">
        <w:rPr>
          <w:sz w:val="18"/>
          <w:szCs w:val="18"/>
        </w:rPr>
        <w:t>, oxy-</w:t>
      </w:r>
      <w:r w:rsidR="009D24D1" w:rsidRPr="006E4134">
        <w:rPr>
          <w:sz w:val="18"/>
          <w:szCs w:val="18"/>
        </w:rPr>
        <w:t>combustion,</w:t>
      </w:r>
      <w:r w:rsidR="003E6E8C" w:rsidRPr="006E4134">
        <w:rPr>
          <w:sz w:val="18"/>
          <w:szCs w:val="18"/>
        </w:rPr>
        <w:t xml:space="preserve"> and gasification. </w:t>
      </w:r>
      <w:r w:rsidR="00237F56" w:rsidRPr="006E4134">
        <w:rPr>
          <w:b/>
          <w:bCs/>
          <w:sz w:val="18"/>
          <w:szCs w:val="18"/>
        </w:rPr>
        <w:t>c</w:t>
      </w:r>
      <w:r w:rsidR="003E6E8C" w:rsidRPr="006E4134">
        <w:rPr>
          <w:sz w:val="18"/>
          <w:szCs w:val="18"/>
        </w:rPr>
        <w:t xml:space="preserve"> Maximum and minimum extraction of potassium (K), phosphorus (P) and magnesium (Mg) </w:t>
      </w:r>
      <w:r w:rsidR="00663F9F" w:rsidRPr="006E4134">
        <w:rPr>
          <w:sz w:val="18"/>
          <w:szCs w:val="18"/>
        </w:rPr>
        <w:t>in</w:t>
      </w:r>
      <w:r w:rsidR="003E6E8C" w:rsidRPr="006E4134">
        <w:rPr>
          <w:sz w:val="18"/>
          <w:szCs w:val="18"/>
        </w:rPr>
        <w:t xml:space="preserve"> 2050</w:t>
      </w:r>
      <w:r w:rsidR="003E6E8C" w:rsidRPr="006E4134">
        <w:rPr>
          <w:b/>
          <w:bCs/>
          <w:sz w:val="18"/>
          <w:szCs w:val="18"/>
        </w:rPr>
        <w:t xml:space="preserve"> </w:t>
      </w:r>
      <w:r w:rsidR="003E6E8C" w:rsidRPr="006E4134">
        <w:rPr>
          <w:sz w:val="18"/>
          <w:szCs w:val="18"/>
        </w:rPr>
        <w:t xml:space="preserve">across </w:t>
      </w:r>
      <w:r w:rsidR="00663F9F" w:rsidRPr="006E4134">
        <w:rPr>
          <w:sz w:val="18"/>
          <w:szCs w:val="18"/>
        </w:rPr>
        <w:t>the</w:t>
      </w:r>
      <w:r w:rsidR="00A2323C" w:rsidRPr="006E4134">
        <w:rPr>
          <w:sz w:val="18"/>
          <w:szCs w:val="18"/>
        </w:rPr>
        <w:t xml:space="preserve"> BECCS </w:t>
      </w:r>
      <w:r w:rsidR="009A27E3" w:rsidRPr="006E4134">
        <w:rPr>
          <w:sz w:val="18"/>
          <w:szCs w:val="18"/>
        </w:rPr>
        <w:t xml:space="preserve">and biochar </w:t>
      </w:r>
      <w:r w:rsidR="00A2323C" w:rsidRPr="006E4134">
        <w:rPr>
          <w:sz w:val="18"/>
          <w:szCs w:val="18"/>
        </w:rPr>
        <w:t>scenarios</w:t>
      </w:r>
      <w:r w:rsidR="00B472AB" w:rsidRPr="006E4134">
        <w:rPr>
          <w:sz w:val="18"/>
          <w:szCs w:val="18"/>
        </w:rPr>
        <w:t xml:space="preserve">, the latter </w:t>
      </w:r>
      <w:r w:rsidR="003F18EB" w:rsidRPr="006E4134">
        <w:rPr>
          <w:sz w:val="18"/>
          <w:szCs w:val="18"/>
        </w:rPr>
        <w:t xml:space="preserve">considering systems </w:t>
      </w:r>
      <w:r w:rsidR="00D37925" w:rsidRPr="006E4134">
        <w:rPr>
          <w:sz w:val="18"/>
          <w:szCs w:val="18"/>
        </w:rPr>
        <w:t>with and</w:t>
      </w:r>
      <w:r w:rsidR="00D37925">
        <w:rPr>
          <w:sz w:val="18"/>
          <w:szCs w:val="18"/>
        </w:rPr>
        <w:t xml:space="preserve"> without Carbon Capture and Storage (CCS)</w:t>
      </w:r>
      <w:r w:rsidR="00733C16">
        <w:rPr>
          <w:sz w:val="18"/>
          <w:szCs w:val="18"/>
        </w:rPr>
        <w:t xml:space="preserve"> and biochar applied to the soil or used as sand substitute</w:t>
      </w:r>
      <w:r w:rsidR="003E6E8C" w:rsidRPr="003E6E8C">
        <w:rPr>
          <w:sz w:val="18"/>
          <w:szCs w:val="18"/>
        </w:rPr>
        <w:t xml:space="preserve">. </w:t>
      </w:r>
    </w:p>
    <w:p w14:paraId="63757FC2" w14:textId="77777777" w:rsidR="00812889" w:rsidRDefault="00201174" w:rsidP="00A77FDB">
      <w:pPr>
        <w:pStyle w:val="Ttulo1"/>
        <w:spacing w:after="240"/>
        <w:rPr>
          <w:rFonts w:asciiTheme="minorHAnsi" w:hAnsiTheme="minorHAnsi" w:cstheme="minorBidi"/>
          <w:b/>
          <w:bCs/>
          <w:color w:val="auto"/>
          <w:sz w:val="24"/>
          <w:szCs w:val="24"/>
        </w:rPr>
      </w:pPr>
      <w:bookmarkStart w:id="17" w:name="_Toc194330862"/>
      <w:r>
        <w:rPr>
          <w:rFonts w:asciiTheme="minorHAnsi" w:hAnsiTheme="minorHAnsi" w:cstheme="minorBidi"/>
          <w:b/>
          <w:bCs/>
          <w:color w:val="auto"/>
          <w:sz w:val="24"/>
          <w:szCs w:val="24"/>
        </w:rPr>
        <w:lastRenderedPageBreak/>
        <w:t>6</w:t>
      </w:r>
      <w:r w:rsidR="00C73903" w:rsidRPr="00904D43">
        <w:rPr>
          <w:rFonts w:asciiTheme="minorHAnsi" w:hAnsiTheme="minorHAnsi" w:cstheme="minorBidi"/>
          <w:b/>
          <w:bCs/>
          <w:color w:val="auto"/>
          <w:sz w:val="24"/>
          <w:szCs w:val="24"/>
        </w:rPr>
        <w:t>. References</w:t>
      </w:r>
      <w:bookmarkEnd w:id="17"/>
    </w:p>
    <w:p w14:paraId="23A7C299" w14:textId="77777777" w:rsidR="00E46582" w:rsidRDefault="00826B84" w:rsidP="00E46582">
      <w:pPr>
        <w:pStyle w:val="Bibliografa"/>
      </w:pPr>
      <w:r w:rsidRPr="000E4E00">
        <w:rPr>
          <w:rFonts w:eastAsia="Calibri" w:cstheme="minorHAnsi"/>
        </w:rPr>
        <w:fldChar w:fldCharType="begin" w:fldLock="1"/>
      </w:r>
      <w:r w:rsidR="00E46582">
        <w:rPr>
          <w:rFonts w:eastAsia="Calibri" w:cstheme="minorHAnsi"/>
        </w:rPr>
        <w:instrText xml:space="preserve"> ADDIN ZOTERO_BIBL {"uncited":[],"omitted":[],"custom":[]} CSL_BIBLIOGRAPHY </w:instrText>
      </w:r>
      <w:r w:rsidRPr="000E4E00">
        <w:rPr>
          <w:rFonts w:eastAsia="Calibri" w:cstheme="minorHAnsi"/>
        </w:rPr>
        <w:fldChar w:fldCharType="separate"/>
      </w:r>
      <w:r w:rsidR="00E46582">
        <w:t>1</w:t>
      </w:r>
      <w:r w:rsidR="00E46582">
        <w:tab/>
        <w:t xml:space="preserve">A. Levasseur, P. Lesage, M. </w:t>
      </w:r>
      <w:proofErr w:type="spellStart"/>
      <w:r w:rsidR="00E46582">
        <w:t>Margni</w:t>
      </w:r>
      <w:proofErr w:type="spellEnd"/>
      <w:r w:rsidR="00E46582">
        <w:t xml:space="preserve">, L. </w:t>
      </w:r>
      <w:proofErr w:type="spellStart"/>
      <w:r w:rsidR="00E46582">
        <w:t>Deschěnes</w:t>
      </w:r>
      <w:proofErr w:type="spellEnd"/>
      <w:r w:rsidR="00E46582">
        <w:t xml:space="preserve"> and R. Samson, </w:t>
      </w:r>
      <w:r w:rsidR="00E46582">
        <w:rPr>
          <w:i/>
          <w:iCs/>
        </w:rPr>
        <w:t>Environ. Sci. Technol.</w:t>
      </w:r>
      <w:r w:rsidR="00E46582">
        <w:t xml:space="preserve">, 2010, </w:t>
      </w:r>
      <w:r w:rsidR="00E46582">
        <w:rPr>
          <w:b/>
          <w:bCs/>
        </w:rPr>
        <w:t>44</w:t>
      </w:r>
      <w:r w:rsidR="00E46582">
        <w:t>, 3169–3174.</w:t>
      </w:r>
    </w:p>
    <w:p w14:paraId="75E11D27" w14:textId="77777777" w:rsidR="00E46582" w:rsidRDefault="00E46582" w:rsidP="00E46582">
      <w:pPr>
        <w:pStyle w:val="Bibliografa"/>
      </w:pPr>
      <w:r>
        <w:t>2</w:t>
      </w:r>
      <w:r>
        <w:tab/>
        <w:t xml:space="preserve">C. Smith, Z. R. J. Nicholls, K. </w:t>
      </w:r>
      <w:proofErr w:type="spellStart"/>
      <w:r>
        <w:t>Armour</w:t>
      </w:r>
      <w:proofErr w:type="spellEnd"/>
      <w:r>
        <w:t xml:space="preserve">, W. Collins, P. Forster, M. </w:t>
      </w:r>
      <w:proofErr w:type="spellStart"/>
      <w:r>
        <w:t>Meinshausen</w:t>
      </w:r>
      <w:proofErr w:type="spellEnd"/>
      <w:r>
        <w:t xml:space="preserve">, M. D. Palmer and M. Watanabe, in </w:t>
      </w:r>
      <w:r>
        <w:rPr>
          <w:i/>
          <w:iCs/>
        </w:rPr>
        <w:t>Climate Change 2021: The Physical Science Basis. Contribution of Working Group I to the Sixth Assessment Report of the Intergovernmental Panel on Climate Change</w:t>
      </w:r>
      <w:r>
        <w:t>, 2021.</w:t>
      </w:r>
    </w:p>
    <w:p w14:paraId="58285C80" w14:textId="77777777" w:rsidR="00E46582" w:rsidRDefault="00E46582" w:rsidP="00E46582">
      <w:pPr>
        <w:pStyle w:val="Bibliografa"/>
      </w:pPr>
      <w:r>
        <w:t>3</w:t>
      </w:r>
      <w:r>
        <w:tab/>
        <w:t xml:space="preserve">J. R. Millar, Z. R. Nicholls, P. </w:t>
      </w:r>
      <w:proofErr w:type="spellStart"/>
      <w:r>
        <w:t>Friedlingstein</w:t>
      </w:r>
      <w:proofErr w:type="spellEnd"/>
      <w:r>
        <w:t xml:space="preserve"> and M. R. Allen, </w:t>
      </w:r>
      <w:r>
        <w:rPr>
          <w:i/>
          <w:iCs/>
        </w:rPr>
        <w:t>Atmospheric Chem. Phys.</w:t>
      </w:r>
      <w:r>
        <w:t xml:space="preserve">, 2017, </w:t>
      </w:r>
      <w:r>
        <w:rPr>
          <w:b/>
          <w:bCs/>
        </w:rPr>
        <w:t>17</w:t>
      </w:r>
      <w:r>
        <w:t>, 7213–7228.</w:t>
      </w:r>
    </w:p>
    <w:p w14:paraId="1F7173BE" w14:textId="77777777" w:rsidR="00E46582" w:rsidRDefault="00E46582" w:rsidP="00E46582">
      <w:pPr>
        <w:pStyle w:val="Bibliografa"/>
      </w:pPr>
      <w:r>
        <w:t>4</w:t>
      </w:r>
      <w:r>
        <w:tab/>
        <w:t xml:space="preserve">M. A. J. </w:t>
      </w:r>
      <w:proofErr w:type="spellStart"/>
      <w:r>
        <w:t>Huijbregts</w:t>
      </w:r>
      <w:proofErr w:type="spellEnd"/>
      <w:r>
        <w:t xml:space="preserve">, Z. J. N. Steinmann, P. M. F. </w:t>
      </w:r>
      <w:proofErr w:type="spellStart"/>
      <w:r>
        <w:t>Elshout</w:t>
      </w:r>
      <w:proofErr w:type="spellEnd"/>
      <w:r>
        <w:t xml:space="preserve">, G. Stam, F. </w:t>
      </w:r>
      <w:proofErr w:type="spellStart"/>
      <w:r>
        <w:t>Verones</w:t>
      </w:r>
      <w:proofErr w:type="spellEnd"/>
      <w:r>
        <w:t xml:space="preserve">, M. D. M. Vieira, A. Hollander, M. Zijp and R. van Zelm, </w:t>
      </w:r>
      <w:proofErr w:type="spellStart"/>
      <w:r>
        <w:rPr>
          <w:i/>
          <w:iCs/>
        </w:rPr>
        <w:t>ReCiPe</w:t>
      </w:r>
      <w:proofErr w:type="spellEnd"/>
      <w:r>
        <w:rPr>
          <w:i/>
          <w:iCs/>
        </w:rPr>
        <w:t xml:space="preserve"> 2016 v1.1. A harmonized life cycle impact assessment method at midpoint and endpoint level. Report I: Characterization.</w:t>
      </w:r>
      <w:r>
        <w:t>, National Institute for Public Health and the Environment, 2017.</w:t>
      </w:r>
    </w:p>
    <w:p w14:paraId="5E72004F" w14:textId="77777777" w:rsidR="00E46582" w:rsidRDefault="00E46582" w:rsidP="00E46582">
      <w:pPr>
        <w:pStyle w:val="Bibliografa"/>
      </w:pPr>
      <w:r>
        <w:t>5</w:t>
      </w:r>
      <w:r>
        <w:tab/>
        <w:t xml:space="preserve">W. Steffen, K. Richardson, J. </w:t>
      </w:r>
      <w:proofErr w:type="spellStart"/>
      <w:r>
        <w:t>Rockström</w:t>
      </w:r>
      <w:proofErr w:type="spellEnd"/>
      <w:r>
        <w:t xml:space="preserve">, S. E. Cornell, I. Fetzer, E. M. Bennett, R. Biggs, S. R. Carpenter, W. De Vries, C. A. De Wit, C. Folke, D. Gerten, J. Heinke, G. M. Mace, L. M. Persson, V. Ramanathan, B. Reyers and S. </w:t>
      </w:r>
      <w:proofErr w:type="spellStart"/>
      <w:r>
        <w:t>Sörlin</w:t>
      </w:r>
      <w:proofErr w:type="spellEnd"/>
      <w:r>
        <w:t xml:space="preserve">, </w:t>
      </w:r>
      <w:r>
        <w:rPr>
          <w:i/>
          <w:iCs/>
        </w:rPr>
        <w:t>Science</w:t>
      </w:r>
      <w:r>
        <w:t xml:space="preserve">, 2015, </w:t>
      </w:r>
      <w:r>
        <w:rPr>
          <w:b/>
          <w:bCs/>
        </w:rPr>
        <w:t>347</w:t>
      </w:r>
      <w:r>
        <w:t>, 1259855.</w:t>
      </w:r>
    </w:p>
    <w:p w14:paraId="5682D10E" w14:textId="77777777" w:rsidR="00E46582" w:rsidRDefault="00E46582" w:rsidP="00E46582">
      <w:pPr>
        <w:pStyle w:val="Bibliografa"/>
      </w:pPr>
      <w:r>
        <w:t>6</w:t>
      </w:r>
      <w:r>
        <w:tab/>
        <w:t xml:space="preserve">K. Richardson, W. Steffen, W. Lucht, J. Bendtsen, S. E. Cornell, J. F. Donges, M. </w:t>
      </w:r>
      <w:proofErr w:type="spellStart"/>
      <w:r>
        <w:t>Drüke</w:t>
      </w:r>
      <w:proofErr w:type="spellEnd"/>
      <w:r>
        <w:t xml:space="preserve">, I. Fetzer, G. Bala, W. von Bloh, G. Feulner, S. Fiedler, D. Gerten, T. Gleeson, M. Hofmann, W. </w:t>
      </w:r>
      <w:proofErr w:type="spellStart"/>
      <w:r>
        <w:t>Huiskamp</w:t>
      </w:r>
      <w:proofErr w:type="spellEnd"/>
      <w:r>
        <w:t xml:space="preserve">, M. </w:t>
      </w:r>
      <w:proofErr w:type="spellStart"/>
      <w:r>
        <w:t>Kummu</w:t>
      </w:r>
      <w:proofErr w:type="spellEnd"/>
      <w:r>
        <w:t xml:space="preserve">, C. Mohan, D. </w:t>
      </w:r>
      <w:proofErr w:type="spellStart"/>
      <w:r>
        <w:t>Nogués</w:t>
      </w:r>
      <w:proofErr w:type="spellEnd"/>
      <w:r>
        <w:t xml:space="preserve">-Bravo, S. Petri, M. Porkka, S. </w:t>
      </w:r>
      <w:proofErr w:type="spellStart"/>
      <w:r>
        <w:t>Rahmstorf</w:t>
      </w:r>
      <w:proofErr w:type="spellEnd"/>
      <w:r>
        <w:t xml:space="preserve">, S. </w:t>
      </w:r>
      <w:proofErr w:type="spellStart"/>
      <w:r>
        <w:t>Schaphoff</w:t>
      </w:r>
      <w:proofErr w:type="spellEnd"/>
      <w:r>
        <w:t xml:space="preserve">, K. </w:t>
      </w:r>
      <w:proofErr w:type="spellStart"/>
      <w:r>
        <w:t>Thonicke</w:t>
      </w:r>
      <w:proofErr w:type="spellEnd"/>
      <w:r>
        <w:t xml:space="preserve">, A. Tobian, V. Virkki, L. Wang-Erlandsson, L. Weber and J. </w:t>
      </w:r>
      <w:proofErr w:type="spellStart"/>
      <w:r>
        <w:t>Rockström</w:t>
      </w:r>
      <w:proofErr w:type="spellEnd"/>
      <w:r>
        <w:t xml:space="preserve">, </w:t>
      </w:r>
      <w:r>
        <w:rPr>
          <w:i/>
          <w:iCs/>
        </w:rPr>
        <w:t>Sci. Adv.</w:t>
      </w:r>
      <w:r>
        <w:t xml:space="preserve">, 2023, </w:t>
      </w:r>
      <w:r>
        <w:rPr>
          <w:b/>
          <w:bCs/>
        </w:rPr>
        <w:t>9</w:t>
      </w:r>
      <w:r>
        <w:t>, eadh2458.</w:t>
      </w:r>
    </w:p>
    <w:p w14:paraId="739AF7AD" w14:textId="77777777" w:rsidR="00E46582" w:rsidRDefault="00E46582" w:rsidP="00E46582">
      <w:pPr>
        <w:pStyle w:val="Bibliografa"/>
      </w:pPr>
      <w:r>
        <w:t>7</w:t>
      </w:r>
      <w:r>
        <w:tab/>
        <w:t xml:space="preserve">S. Mathesius, M. Hofmann, K. Caldeira and H. J. </w:t>
      </w:r>
      <w:proofErr w:type="spellStart"/>
      <w:r>
        <w:t>Schellnhuber</w:t>
      </w:r>
      <w:proofErr w:type="spellEnd"/>
      <w:r>
        <w:t xml:space="preserve">, </w:t>
      </w:r>
      <w:r>
        <w:rPr>
          <w:i/>
          <w:iCs/>
        </w:rPr>
        <w:t>Nat. Clim. Change</w:t>
      </w:r>
      <w:r>
        <w:t xml:space="preserve">, 2015, </w:t>
      </w:r>
      <w:r>
        <w:rPr>
          <w:b/>
          <w:bCs/>
        </w:rPr>
        <w:t>5</w:t>
      </w:r>
      <w:r>
        <w:t>, 1107–1113.</w:t>
      </w:r>
    </w:p>
    <w:p w14:paraId="1B1C8FC7" w14:textId="77777777" w:rsidR="00E46582" w:rsidRDefault="00E46582" w:rsidP="00E46582">
      <w:pPr>
        <w:pStyle w:val="Bibliografa"/>
      </w:pPr>
      <w:r>
        <w:t>8</w:t>
      </w:r>
      <w:r>
        <w:tab/>
        <w:t xml:space="preserve">A. Lenton, R. J. Matear, D. P. Keller, V. Scott and N. E. Vaughan, </w:t>
      </w:r>
      <w:r>
        <w:rPr>
          <w:i/>
          <w:iCs/>
        </w:rPr>
        <w:t>Earth Syst. Dyn.</w:t>
      </w:r>
      <w:r>
        <w:t xml:space="preserve">, 2018, </w:t>
      </w:r>
      <w:r>
        <w:rPr>
          <w:b/>
          <w:bCs/>
        </w:rPr>
        <w:t>9</w:t>
      </w:r>
      <w:r>
        <w:t>, 339–357.</w:t>
      </w:r>
    </w:p>
    <w:p w14:paraId="31C4765F" w14:textId="77777777" w:rsidR="00E46582" w:rsidRDefault="00E46582" w:rsidP="00E46582">
      <w:pPr>
        <w:pStyle w:val="Bibliografa"/>
      </w:pPr>
      <w:r>
        <w:t>9</w:t>
      </w:r>
      <w:r>
        <w:tab/>
        <w:t xml:space="preserve">S. Gore, P. Renforth and R. Perkins, </w:t>
      </w:r>
      <w:r>
        <w:rPr>
          <w:i/>
          <w:iCs/>
        </w:rPr>
        <w:t xml:space="preserve">Mitig. Adapt. </w:t>
      </w:r>
      <w:proofErr w:type="spellStart"/>
      <w:r>
        <w:rPr>
          <w:i/>
          <w:iCs/>
        </w:rPr>
        <w:t>Strateg</w:t>
      </w:r>
      <w:proofErr w:type="spellEnd"/>
      <w:r>
        <w:rPr>
          <w:i/>
          <w:iCs/>
        </w:rPr>
        <w:t>. Glob. Change</w:t>
      </w:r>
      <w:r>
        <w:t xml:space="preserve">, 2019, </w:t>
      </w:r>
      <w:r>
        <w:rPr>
          <w:b/>
          <w:bCs/>
        </w:rPr>
        <w:t>24</w:t>
      </w:r>
      <w:r>
        <w:t>, 1191–1211.</w:t>
      </w:r>
    </w:p>
    <w:p w14:paraId="58FDF360" w14:textId="77777777" w:rsidR="00E46582" w:rsidRDefault="00E46582" w:rsidP="00E46582">
      <w:pPr>
        <w:pStyle w:val="Bibliografa"/>
      </w:pPr>
      <w:r>
        <w:t>10</w:t>
      </w:r>
      <w:r>
        <w:tab/>
        <w:t xml:space="preserve">C. A. Clausen, A. Bjørn, E. </w:t>
      </w:r>
      <w:proofErr w:type="spellStart"/>
      <w:r>
        <w:t>Sanyé-Mengual</w:t>
      </w:r>
      <w:proofErr w:type="spellEnd"/>
      <w:r>
        <w:t xml:space="preserve"> and M. Ryberg, </w:t>
      </w:r>
      <w:r>
        <w:rPr>
          <w:i/>
          <w:iCs/>
        </w:rPr>
        <w:t>J. Ind. Ecol.</w:t>
      </w:r>
      <w:r>
        <w:t>, 2024, 1–14.</w:t>
      </w:r>
    </w:p>
    <w:p w14:paraId="216E940D" w14:textId="77777777" w:rsidR="00E46582" w:rsidRDefault="00E46582" w:rsidP="00E46582">
      <w:pPr>
        <w:pStyle w:val="Bibliografa"/>
      </w:pPr>
      <w:r>
        <w:t>11</w:t>
      </w:r>
      <w:r>
        <w:tab/>
        <w:t xml:space="preserve">L. Baumstark, N. Bauer, F. Benke, C. Bertram, S. Bi, C. C. Gong, J. P. Dietrich, A. </w:t>
      </w:r>
      <w:proofErr w:type="spellStart"/>
      <w:r>
        <w:t>Dirnaichner</w:t>
      </w:r>
      <w:proofErr w:type="spellEnd"/>
      <w:r>
        <w:t xml:space="preserve">, A. </w:t>
      </w:r>
      <w:proofErr w:type="spellStart"/>
      <w:r>
        <w:t>Giannousakis</w:t>
      </w:r>
      <w:proofErr w:type="spellEnd"/>
      <w:r>
        <w:t xml:space="preserve">, J. Hilaire, D. Klein, J. Koch, M. Leimbach, A. Levesque, S. </w:t>
      </w:r>
      <w:proofErr w:type="spellStart"/>
      <w:r>
        <w:t>Madeddu</w:t>
      </w:r>
      <w:proofErr w:type="spellEnd"/>
      <w:r>
        <w:t xml:space="preserve">, A. Malik, A. </w:t>
      </w:r>
      <w:proofErr w:type="spellStart"/>
      <w:r>
        <w:t>Merfort</w:t>
      </w:r>
      <w:proofErr w:type="spellEnd"/>
      <w:r>
        <w:t xml:space="preserve">, L. </w:t>
      </w:r>
      <w:proofErr w:type="spellStart"/>
      <w:r>
        <w:t>Merfort</w:t>
      </w:r>
      <w:proofErr w:type="spellEnd"/>
      <w:r>
        <w:t xml:space="preserve">, A. Odenweller, M. Pehl, R. C. </w:t>
      </w:r>
      <w:proofErr w:type="spellStart"/>
      <w:r>
        <w:t>Pietzcker</w:t>
      </w:r>
      <w:proofErr w:type="spellEnd"/>
      <w:r>
        <w:t xml:space="preserve">, F. Piontek, S. Rauner, R. Rodrigues, M. </w:t>
      </w:r>
      <w:proofErr w:type="spellStart"/>
      <w:r>
        <w:t>Rottoli</w:t>
      </w:r>
      <w:proofErr w:type="spellEnd"/>
      <w:r>
        <w:t xml:space="preserve">, F. Schreyer, A. Schultes, B. Soergel, D. Soergel, J. </w:t>
      </w:r>
      <w:proofErr w:type="spellStart"/>
      <w:r>
        <w:t>Strefler</w:t>
      </w:r>
      <w:proofErr w:type="spellEnd"/>
      <w:r>
        <w:t xml:space="preserve">, F. </w:t>
      </w:r>
      <w:proofErr w:type="spellStart"/>
      <w:r>
        <w:t>Ueckerdt</w:t>
      </w:r>
      <w:proofErr w:type="spellEnd"/>
      <w:r>
        <w:t xml:space="preserve">, E. Kriegler and G. </w:t>
      </w:r>
      <w:proofErr w:type="spellStart"/>
      <w:r>
        <w:t>Luderer</w:t>
      </w:r>
      <w:proofErr w:type="spellEnd"/>
      <w:r>
        <w:t xml:space="preserve">, </w:t>
      </w:r>
      <w:proofErr w:type="spellStart"/>
      <w:r>
        <w:rPr>
          <w:i/>
          <w:iCs/>
        </w:rPr>
        <w:t>Geosci</w:t>
      </w:r>
      <w:proofErr w:type="spellEnd"/>
      <w:r>
        <w:rPr>
          <w:i/>
          <w:iCs/>
        </w:rPr>
        <w:t>. Model Dev.</w:t>
      </w:r>
      <w:r>
        <w:t xml:space="preserve">, 2021, </w:t>
      </w:r>
      <w:r>
        <w:rPr>
          <w:b/>
          <w:bCs/>
        </w:rPr>
        <w:t>14</w:t>
      </w:r>
      <w:r>
        <w:t>, 6571–6603.</w:t>
      </w:r>
    </w:p>
    <w:p w14:paraId="2A3278F6" w14:textId="77777777" w:rsidR="00E46582" w:rsidRDefault="00E46582" w:rsidP="00E46582">
      <w:pPr>
        <w:pStyle w:val="Bibliografa"/>
      </w:pPr>
      <w:r>
        <w:t>12</w:t>
      </w:r>
      <w:r>
        <w:tab/>
        <w:t xml:space="preserve">K. Riahi, D. P. van Vuuren, E. Kriegler, J. Edmonds, B. C. O’Neill, S. Fujimori, N. Bauer, K. Calvin, R. </w:t>
      </w:r>
      <w:proofErr w:type="spellStart"/>
      <w:r>
        <w:t>Dellink</w:t>
      </w:r>
      <w:proofErr w:type="spellEnd"/>
      <w:r>
        <w:t xml:space="preserve">, O. </w:t>
      </w:r>
      <w:proofErr w:type="spellStart"/>
      <w:r>
        <w:t>Fricko</w:t>
      </w:r>
      <w:proofErr w:type="spellEnd"/>
      <w:r>
        <w:t xml:space="preserve">, W. Lutz, A. Popp, J. C. Cuaresma, S. KC, M. Leimbach, L. Jiang, T. Kram, S. Rao, J. Emmerling, K. </w:t>
      </w:r>
      <w:proofErr w:type="spellStart"/>
      <w:r>
        <w:t>Ebi</w:t>
      </w:r>
      <w:proofErr w:type="spellEnd"/>
      <w:r>
        <w:t xml:space="preserve">, T. Hasegawa, P. Havlik, F. </w:t>
      </w:r>
      <w:proofErr w:type="spellStart"/>
      <w:r>
        <w:t>Humpenöder</w:t>
      </w:r>
      <w:proofErr w:type="spellEnd"/>
      <w:r>
        <w:t xml:space="preserve">, L. A. Da Silva, S. Smith, E. </w:t>
      </w:r>
      <w:proofErr w:type="spellStart"/>
      <w:r>
        <w:t>Stehfest</w:t>
      </w:r>
      <w:proofErr w:type="spellEnd"/>
      <w:r>
        <w:t xml:space="preserve">, V. Bosetti, J. </w:t>
      </w:r>
      <w:proofErr w:type="spellStart"/>
      <w:r>
        <w:t>Eom</w:t>
      </w:r>
      <w:proofErr w:type="spellEnd"/>
      <w:r>
        <w:t xml:space="preserve">, D. Gernaat, T. Masui, J. Rogelj, J. </w:t>
      </w:r>
      <w:proofErr w:type="spellStart"/>
      <w:r>
        <w:t>Strefler</w:t>
      </w:r>
      <w:proofErr w:type="spellEnd"/>
      <w:r>
        <w:t xml:space="preserve">, L. Drouet, V. Krey, G. </w:t>
      </w:r>
      <w:proofErr w:type="spellStart"/>
      <w:r>
        <w:t>Luderer</w:t>
      </w:r>
      <w:proofErr w:type="spellEnd"/>
      <w:r>
        <w:t xml:space="preserve">, M. Harmsen, K. Takahashi, L. Baumstark, J. C. </w:t>
      </w:r>
      <w:proofErr w:type="spellStart"/>
      <w:r>
        <w:t>Doelman</w:t>
      </w:r>
      <w:proofErr w:type="spellEnd"/>
      <w:r>
        <w:t xml:space="preserve">, M. </w:t>
      </w:r>
      <w:proofErr w:type="spellStart"/>
      <w:r>
        <w:t>Kainuma</w:t>
      </w:r>
      <w:proofErr w:type="spellEnd"/>
      <w:r>
        <w:t xml:space="preserve">, Z. </w:t>
      </w:r>
      <w:proofErr w:type="spellStart"/>
      <w:r>
        <w:t>Klimont</w:t>
      </w:r>
      <w:proofErr w:type="spellEnd"/>
      <w:r>
        <w:t xml:space="preserve">, G. Marangoni, H. Lotze-Campen, M. </w:t>
      </w:r>
      <w:proofErr w:type="spellStart"/>
      <w:r>
        <w:t>Obersteiner</w:t>
      </w:r>
      <w:proofErr w:type="spellEnd"/>
      <w:r>
        <w:t xml:space="preserve">, A. </w:t>
      </w:r>
      <w:proofErr w:type="spellStart"/>
      <w:r>
        <w:t>Tabeau</w:t>
      </w:r>
      <w:proofErr w:type="spellEnd"/>
      <w:r>
        <w:t xml:space="preserve"> and M. </w:t>
      </w:r>
      <w:proofErr w:type="spellStart"/>
      <w:r>
        <w:t>Tavoni</w:t>
      </w:r>
      <w:proofErr w:type="spellEnd"/>
      <w:r>
        <w:t xml:space="preserve">, </w:t>
      </w:r>
      <w:r>
        <w:rPr>
          <w:i/>
          <w:iCs/>
        </w:rPr>
        <w:t>Glob. Environ. Change</w:t>
      </w:r>
      <w:r>
        <w:t xml:space="preserve">, 2017, </w:t>
      </w:r>
      <w:r>
        <w:rPr>
          <w:b/>
          <w:bCs/>
        </w:rPr>
        <w:t>42</w:t>
      </w:r>
      <w:r>
        <w:t>, 153–168.</w:t>
      </w:r>
    </w:p>
    <w:p w14:paraId="6D573EB8" w14:textId="77777777" w:rsidR="00E46582" w:rsidRDefault="00E46582" w:rsidP="00E46582">
      <w:pPr>
        <w:pStyle w:val="Bibliografa"/>
      </w:pPr>
      <w:r>
        <w:t>13</w:t>
      </w:r>
      <w:r>
        <w:tab/>
        <w:t xml:space="preserve">D. P. van Vuuren, E. </w:t>
      </w:r>
      <w:proofErr w:type="spellStart"/>
      <w:r>
        <w:t>Stehfest</w:t>
      </w:r>
      <w:proofErr w:type="spellEnd"/>
      <w:r>
        <w:t xml:space="preserve">, M. G. J. den </w:t>
      </w:r>
      <w:proofErr w:type="spellStart"/>
      <w:r>
        <w:t>Elzen</w:t>
      </w:r>
      <w:proofErr w:type="spellEnd"/>
      <w:r>
        <w:t xml:space="preserve">, T. Kram, J. van Vliet, S. </w:t>
      </w:r>
      <w:proofErr w:type="spellStart"/>
      <w:r>
        <w:t>Deetman</w:t>
      </w:r>
      <w:proofErr w:type="spellEnd"/>
      <w:r>
        <w:t xml:space="preserve">, M. Isaac, K. K. </w:t>
      </w:r>
      <w:proofErr w:type="spellStart"/>
      <w:r>
        <w:t>Goldewijk</w:t>
      </w:r>
      <w:proofErr w:type="spellEnd"/>
      <w:r>
        <w:t xml:space="preserve">, A. Hof, A. M. Beltran, R. </w:t>
      </w:r>
      <w:proofErr w:type="spellStart"/>
      <w:r>
        <w:t>Oostenrijk</w:t>
      </w:r>
      <w:proofErr w:type="spellEnd"/>
      <w:r>
        <w:t xml:space="preserve"> and B. van </w:t>
      </w:r>
      <w:proofErr w:type="spellStart"/>
      <w:r>
        <w:t>Ruijven</w:t>
      </w:r>
      <w:proofErr w:type="spellEnd"/>
      <w:r>
        <w:t xml:space="preserve">, </w:t>
      </w:r>
      <w:r>
        <w:rPr>
          <w:i/>
          <w:iCs/>
        </w:rPr>
        <w:t>Clim. Change</w:t>
      </w:r>
      <w:r>
        <w:t xml:space="preserve">, 2011, </w:t>
      </w:r>
      <w:r>
        <w:rPr>
          <w:b/>
          <w:bCs/>
        </w:rPr>
        <w:t>109</w:t>
      </w:r>
      <w:r>
        <w:t>, 95–116.</w:t>
      </w:r>
    </w:p>
    <w:p w14:paraId="470E1261" w14:textId="77777777" w:rsidR="00E46582" w:rsidRDefault="00E46582" w:rsidP="00E46582">
      <w:pPr>
        <w:pStyle w:val="Bibliografa"/>
      </w:pPr>
      <w:r>
        <w:t>14</w:t>
      </w:r>
      <w:r>
        <w:tab/>
        <w:t xml:space="preserve">M. W. Ryberg, M. </w:t>
      </w:r>
      <w:proofErr w:type="spellStart"/>
      <w:r>
        <w:t>Owsianiak</w:t>
      </w:r>
      <w:proofErr w:type="spellEnd"/>
      <w:r>
        <w:t xml:space="preserve">, K. Richardson and M. Z. Hauschild, </w:t>
      </w:r>
      <w:r>
        <w:rPr>
          <w:i/>
          <w:iCs/>
        </w:rPr>
        <w:t>Ecol. Indic.</w:t>
      </w:r>
      <w:r>
        <w:t xml:space="preserve">, 2018, </w:t>
      </w:r>
      <w:r>
        <w:rPr>
          <w:b/>
          <w:bCs/>
        </w:rPr>
        <w:t>88</w:t>
      </w:r>
      <w:r>
        <w:t>, 250–262.</w:t>
      </w:r>
    </w:p>
    <w:p w14:paraId="01E3DEB2" w14:textId="77777777" w:rsidR="00E46582" w:rsidRDefault="00E46582" w:rsidP="00E46582">
      <w:pPr>
        <w:pStyle w:val="Bibliografa"/>
      </w:pPr>
      <w:r>
        <w:t>15</w:t>
      </w:r>
      <w:r>
        <w:tab/>
        <w:t>S. Cobo, Method to quantify metal extraction in life cycle models, showing supply risk levels for the EU. https://zenodo.org/records/15173715.</w:t>
      </w:r>
    </w:p>
    <w:p w14:paraId="1DE302C5" w14:textId="77777777" w:rsidR="00E46582" w:rsidRDefault="00E46582" w:rsidP="00E46582">
      <w:pPr>
        <w:pStyle w:val="Bibliografa"/>
      </w:pPr>
      <w:r>
        <w:t>16</w:t>
      </w:r>
      <w:r>
        <w:tab/>
        <w:t xml:space="preserve">G. Wernet, C. Bauer, B. Steubing, J. Reinhard, E. Moreno-Ruiz and B. Weidema, </w:t>
      </w:r>
      <w:r>
        <w:rPr>
          <w:i/>
          <w:iCs/>
        </w:rPr>
        <w:t>Int. J. Life Cycle Assess.</w:t>
      </w:r>
      <w:r>
        <w:t xml:space="preserve">, 2016, </w:t>
      </w:r>
      <w:r>
        <w:rPr>
          <w:b/>
          <w:bCs/>
        </w:rPr>
        <w:t>21</w:t>
      </w:r>
      <w:r>
        <w:t>, 1218–1230.</w:t>
      </w:r>
    </w:p>
    <w:p w14:paraId="28EE0A93" w14:textId="77777777" w:rsidR="00E46582" w:rsidRDefault="00E46582" w:rsidP="00E46582">
      <w:pPr>
        <w:pStyle w:val="Bibliografa"/>
      </w:pPr>
      <w:r>
        <w:t>17</w:t>
      </w:r>
      <w:r>
        <w:tab/>
        <w:t xml:space="preserve">U.S. Geological Survey, </w:t>
      </w:r>
      <w:r>
        <w:rPr>
          <w:i/>
          <w:iCs/>
        </w:rPr>
        <w:t>Mineral commodity summaries 2023</w:t>
      </w:r>
      <w:r>
        <w:t>, 2023.</w:t>
      </w:r>
    </w:p>
    <w:p w14:paraId="4F186D10" w14:textId="77777777" w:rsidR="00E46582" w:rsidRDefault="00E46582" w:rsidP="00E46582">
      <w:pPr>
        <w:pStyle w:val="Bibliografa"/>
      </w:pPr>
      <w:r>
        <w:lastRenderedPageBreak/>
        <w:t>18</w:t>
      </w:r>
      <w:r>
        <w:tab/>
        <w:t>S. Cobo, V. Negri, A. Valente, D. M. Reiner, L. Hamelin, N. M. Dowell and G. Guillén-</w:t>
      </w:r>
      <w:proofErr w:type="spellStart"/>
      <w:r>
        <w:t>Gosálbez</w:t>
      </w:r>
      <w:proofErr w:type="spellEnd"/>
      <w:r>
        <w:t xml:space="preserve">, </w:t>
      </w:r>
      <w:r>
        <w:rPr>
          <w:i/>
          <w:iCs/>
        </w:rPr>
        <w:t>Environ. Res. Lett.</w:t>
      </w:r>
      <w:r>
        <w:t xml:space="preserve">, 2023, </w:t>
      </w:r>
      <w:r>
        <w:rPr>
          <w:b/>
          <w:bCs/>
        </w:rPr>
        <w:t>18</w:t>
      </w:r>
      <w:r>
        <w:t>, 023001.</w:t>
      </w:r>
    </w:p>
    <w:p w14:paraId="771CD979" w14:textId="77777777" w:rsidR="00E46582" w:rsidRDefault="00E46582" w:rsidP="00E46582">
      <w:pPr>
        <w:pStyle w:val="Bibliografa"/>
      </w:pPr>
      <w:r>
        <w:t>19</w:t>
      </w:r>
      <w:r>
        <w:tab/>
        <w:t xml:space="preserve">D. W. Keith, G. Holmes, D. St. Angelo and K. Heidel, </w:t>
      </w:r>
      <w:r>
        <w:rPr>
          <w:i/>
          <w:iCs/>
        </w:rPr>
        <w:t>Joule</w:t>
      </w:r>
      <w:r>
        <w:t xml:space="preserve">, 2018, </w:t>
      </w:r>
      <w:r>
        <w:rPr>
          <w:b/>
          <w:bCs/>
        </w:rPr>
        <w:t>2</w:t>
      </w:r>
      <w:r>
        <w:t>, 1573–1594.</w:t>
      </w:r>
    </w:p>
    <w:p w14:paraId="28CFEEEB" w14:textId="77777777" w:rsidR="00E46582" w:rsidRDefault="00E46582" w:rsidP="00E46582">
      <w:pPr>
        <w:pStyle w:val="Bibliografa"/>
      </w:pPr>
      <w:r>
        <w:t>20</w:t>
      </w:r>
      <w:r>
        <w:tab/>
        <w:t xml:space="preserve">D. R. Gómez et al., in </w:t>
      </w:r>
      <w:r>
        <w:rPr>
          <w:i/>
          <w:iCs/>
        </w:rPr>
        <w:t>IPCC guidelines for national greenhouse gas inventories</w:t>
      </w:r>
      <w:r>
        <w:t>, Hayama, 2006.</w:t>
      </w:r>
    </w:p>
    <w:p w14:paraId="4C0D7FDE" w14:textId="77777777" w:rsidR="00E46582" w:rsidRDefault="00E46582" w:rsidP="00E46582">
      <w:pPr>
        <w:pStyle w:val="Bibliografa"/>
      </w:pPr>
      <w:r>
        <w:t>21</w:t>
      </w:r>
      <w:r>
        <w:tab/>
        <w:t xml:space="preserve">European Environment Agency, in </w:t>
      </w:r>
      <w:r>
        <w:rPr>
          <w:i/>
          <w:iCs/>
        </w:rPr>
        <w:t>EMEP/EEA air pollutant emission inventory guidebook 2019</w:t>
      </w:r>
      <w:r>
        <w:t>, Luxembourg, 2019.</w:t>
      </w:r>
    </w:p>
    <w:p w14:paraId="3CEF40F7" w14:textId="77777777" w:rsidR="00E46582" w:rsidRDefault="00E46582" w:rsidP="00E46582">
      <w:pPr>
        <w:pStyle w:val="Bibliografa"/>
      </w:pPr>
      <w:r>
        <w:t>22</w:t>
      </w:r>
      <w:r>
        <w:tab/>
        <w:t xml:space="preserve">C. M. Liu, N. K. Sandhu, S. T. McCoy and J. A. Bergerson, </w:t>
      </w:r>
      <w:r>
        <w:rPr>
          <w:i/>
          <w:iCs/>
        </w:rPr>
        <w:t>Sustain. Energy Fuels</w:t>
      </w:r>
      <w:r>
        <w:t xml:space="preserve">, 2020, </w:t>
      </w:r>
      <w:r>
        <w:rPr>
          <w:b/>
          <w:bCs/>
        </w:rPr>
        <w:t>4</w:t>
      </w:r>
      <w:r>
        <w:t>, 3129–3142.</w:t>
      </w:r>
    </w:p>
    <w:p w14:paraId="419C0AFD" w14:textId="77777777" w:rsidR="00E46582" w:rsidRDefault="00E46582" w:rsidP="00E46582">
      <w:pPr>
        <w:pStyle w:val="Bibliografa"/>
      </w:pPr>
      <w:r>
        <w:t>23</w:t>
      </w:r>
      <w:r>
        <w:tab/>
        <w:t xml:space="preserve">National Academies of Sciences Engineering and Medicine, </w:t>
      </w:r>
      <w:r>
        <w:rPr>
          <w:i/>
          <w:iCs/>
        </w:rPr>
        <w:t>Negative Emissions Technologies and Reliable Sequestration: A Research Agenda</w:t>
      </w:r>
      <w:r>
        <w:t>, The National Academies Press, Washinton, DC, 2019.</w:t>
      </w:r>
    </w:p>
    <w:p w14:paraId="1A5E5BC9" w14:textId="77777777" w:rsidR="00E46582" w:rsidRDefault="00E46582" w:rsidP="00E46582">
      <w:pPr>
        <w:pStyle w:val="Bibliografa"/>
      </w:pPr>
      <w:r>
        <w:t>24</w:t>
      </w:r>
      <w:r>
        <w:tab/>
        <w:t xml:space="preserve">C. </w:t>
      </w:r>
      <w:proofErr w:type="spellStart"/>
      <w:r>
        <w:t>Beuttler</w:t>
      </w:r>
      <w:proofErr w:type="spellEnd"/>
      <w:r>
        <w:t xml:space="preserve">, L. Charles and J. Wurzbacher, </w:t>
      </w:r>
      <w:r>
        <w:rPr>
          <w:i/>
          <w:iCs/>
        </w:rPr>
        <w:t>Front. Clim.</w:t>
      </w:r>
      <w:r>
        <w:t xml:space="preserve">, 2019, </w:t>
      </w:r>
      <w:r>
        <w:rPr>
          <w:b/>
          <w:bCs/>
        </w:rPr>
        <w:t>1</w:t>
      </w:r>
      <w:r>
        <w:t>, 10.</w:t>
      </w:r>
    </w:p>
    <w:p w14:paraId="30F3F9A0" w14:textId="77777777" w:rsidR="00E46582" w:rsidRDefault="00E46582" w:rsidP="00E46582">
      <w:pPr>
        <w:pStyle w:val="Bibliografa"/>
      </w:pPr>
      <w:r>
        <w:t>25</w:t>
      </w:r>
      <w:r>
        <w:tab/>
        <w:t xml:space="preserve">S. Deutz and A. </w:t>
      </w:r>
      <w:proofErr w:type="spellStart"/>
      <w:r>
        <w:t>Bardow</w:t>
      </w:r>
      <w:proofErr w:type="spellEnd"/>
      <w:r>
        <w:t xml:space="preserve">, </w:t>
      </w:r>
      <w:r>
        <w:rPr>
          <w:i/>
          <w:iCs/>
        </w:rPr>
        <w:t>Nat. Energy</w:t>
      </w:r>
      <w:r>
        <w:t xml:space="preserve">, 2021, </w:t>
      </w:r>
      <w:r>
        <w:rPr>
          <w:b/>
          <w:bCs/>
        </w:rPr>
        <w:t>6</w:t>
      </w:r>
      <w:r>
        <w:t>, 203–213.</w:t>
      </w:r>
    </w:p>
    <w:p w14:paraId="1ABC2D2B" w14:textId="77777777" w:rsidR="00E46582" w:rsidRDefault="00E46582" w:rsidP="00E46582">
      <w:pPr>
        <w:pStyle w:val="Bibliografa"/>
      </w:pPr>
      <w:r>
        <w:t>26</w:t>
      </w:r>
      <w:r>
        <w:tab/>
        <w:t>World Intellectual Property Organization, WO 2010/091831 Al, 2010.</w:t>
      </w:r>
    </w:p>
    <w:p w14:paraId="401D8D62" w14:textId="77777777" w:rsidR="00E46582" w:rsidRDefault="00E46582" w:rsidP="00E46582">
      <w:pPr>
        <w:pStyle w:val="Bibliografa"/>
      </w:pPr>
      <w:r>
        <w:t>27</w:t>
      </w:r>
      <w:r>
        <w:tab/>
        <w:t xml:space="preserve">K. Lebling, H. Leslie-Bole, P. Psarras, E. Bridgwater, Z. Byrum and H. </w:t>
      </w:r>
      <w:proofErr w:type="spellStart"/>
      <w:r>
        <w:t>Pilorgé</w:t>
      </w:r>
      <w:proofErr w:type="spellEnd"/>
      <w:r>
        <w:t xml:space="preserve">, </w:t>
      </w:r>
      <w:r>
        <w:rPr>
          <w:i/>
          <w:iCs/>
        </w:rPr>
        <w:t>Direct Air Capture: Assessing Impacts to Enable Responsible Scaling</w:t>
      </w:r>
      <w:r>
        <w:t>, 2022.</w:t>
      </w:r>
    </w:p>
    <w:p w14:paraId="48C5BC5F" w14:textId="77777777" w:rsidR="00E46582" w:rsidRDefault="00E46582" w:rsidP="00E46582">
      <w:pPr>
        <w:pStyle w:val="Bibliografa"/>
      </w:pPr>
      <w:r>
        <w:t>28</w:t>
      </w:r>
      <w:r>
        <w:tab/>
        <w:t xml:space="preserve">J. </w:t>
      </w:r>
      <w:proofErr w:type="spellStart"/>
      <w:r>
        <w:t>Koornneef</w:t>
      </w:r>
      <w:proofErr w:type="spellEnd"/>
      <w:r>
        <w:t xml:space="preserve">, T. van Keulen, A. Faaij and W. </w:t>
      </w:r>
      <w:proofErr w:type="spellStart"/>
      <w:r>
        <w:t>Turkenburg</w:t>
      </w:r>
      <w:proofErr w:type="spellEnd"/>
      <w:r>
        <w:t xml:space="preserve">, </w:t>
      </w:r>
      <w:r>
        <w:rPr>
          <w:i/>
          <w:iCs/>
        </w:rPr>
        <w:t xml:space="preserve">Int. J. </w:t>
      </w:r>
      <w:proofErr w:type="spellStart"/>
      <w:r>
        <w:rPr>
          <w:i/>
          <w:iCs/>
        </w:rPr>
        <w:t>Greenh</w:t>
      </w:r>
      <w:proofErr w:type="spellEnd"/>
      <w:r>
        <w:rPr>
          <w:i/>
          <w:iCs/>
        </w:rPr>
        <w:t>. Gas Control</w:t>
      </w:r>
      <w:r>
        <w:t xml:space="preserve">, 2008, </w:t>
      </w:r>
      <w:r>
        <w:rPr>
          <w:b/>
          <w:bCs/>
        </w:rPr>
        <w:t>2</w:t>
      </w:r>
      <w:r>
        <w:t>, 448–467.</w:t>
      </w:r>
    </w:p>
    <w:p w14:paraId="64D86532" w14:textId="77777777" w:rsidR="00E46582" w:rsidRDefault="00E46582" w:rsidP="00E46582">
      <w:pPr>
        <w:pStyle w:val="Bibliografa"/>
      </w:pPr>
      <w:r>
        <w:t>29</w:t>
      </w:r>
      <w:r>
        <w:tab/>
        <w:t xml:space="preserve">P. Renforth, B. G. Jenkins and T. Kruger, </w:t>
      </w:r>
      <w:r>
        <w:rPr>
          <w:i/>
          <w:iCs/>
        </w:rPr>
        <w:t>Energy</w:t>
      </w:r>
      <w:r>
        <w:t xml:space="preserve">, 2013, </w:t>
      </w:r>
      <w:r>
        <w:rPr>
          <w:b/>
          <w:bCs/>
        </w:rPr>
        <w:t>60</w:t>
      </w:r>
      <w:r>
        <w:t>, 442–452.</w:t>
      </w:r>
    </w:p>
    <w:p w14:paraId="5CAF2374" w14:textId="77777777" w:rsidR="00E46582" w:rsidRDefault="00E46582" w:rsidP="00E46582">
      <w:pPr>
        <w:pStyle w:val="Bibliografa"/>
      </w:pPr>
      <w:r>
        <w:t>30</w:t>
      </w:r>
      <w:r>
        <w:tab/>
        <w:t xml:space="preserve">P. Renforth and G. Henderson, </w:t>
      </w:r>
      <w:r>
        <w:rPr>
          <w:i/>
          <w:iCs/>
        </w:rPr>
        <w:t xml:space="preserve">Rev. </w:t>
      </w:r>
      <w:proofErr w:type="spellStart"/>
      <w:r>
        <w:rPr>
          <w:i/>
          <w:iCs/>
        </w:rPr>
        <w:t>Geophys</w:t>
      </w:r>
      <w:proofErr w:type="spellEnd"/>
      <w:r>
        <w:rPr>
          <w:i/>
          <w:iCs/>
        </w:rPr>
        <w:t>.</w:t>
      </w:r>
      <w:r>
        <w:t xml:space="preserve">, 2017, </w:t>
      </w:r>
      <w:r>
        <w:rPr>
          <w:b/>
          <w:bCs/>
        </w:rPr>
        <w:t>55</w:t>
      </w:r>
      <w:r>
        <w:t>, 636–674.</w:t>
      </w:r>
    </w:p>
    <w:p w14:paraId="45EFEF62" w14:textId="77777777" w:rsidR="00E46582" w:rsidRDefault="00E46582" w:rsidP="00E46582">
      <w:pPr>
        <w:pStyle w:val="Bibliografa"/>
      </w:pPr>
      <w:r>
        <w:t>31</w:t>
      </w:r>
      <w:r>
        <w:tab/>
        <w:t xml:space="preserve">National Academies of Sciences Engineering and Medicine, </w:t>
      </w:r>
      <w:r>
        <w:rPr>
          <w:i/>
          <w:iCs/>
        </w:rPr>
        <w:t>A Research Strategy for Ocean-based Carbon Dioxide Removal and Sequestration</w:t>
      </w:r>
      <w:r>
        <w:t>, The National Academies Press, Washinton, DC, 2021.</w:t>
      </w:r>
    </w:p>
    <w:p w14:paraId="20BF5F11" w14:textId="77777777" w:rsidR="00E46582" w:rsidRDefault="00E46582" w:rsidP="00E46582">
      <w:pPr>
        <w:pStyle w:val="Bibliografa"/>
      </w:pPr>
      <w:r>
        <w:t>32</w:t>
      </w:r>
      <w:r>
        <w:tab/>
        <w:t>J. Hartmann, A. J. West, P. Renforth, P. Köhler, C. L. De La Rocha, D. A. Wolf-</w:t>
      </w:r>
      <w:proofErr w:type="spellStart"/>
      <w:r>
        <w:t>Gladrow</w:t>
      </w:r>
      <w:proofErr w:type="spellEnd"/>
      <w:r>
        <w:t xml:space="preserve">, H. H. Dürr and J. </w:t>
      </w:r>
      <w:proofErr w:type="spellStart"/>
      <w:r>
        <w:t>Scheffran</w:t>
      </w:r>
      <w:proofErr w:type="spellEnd"/>
      <w:r>
        <w:t xml:space="preserve">, </w:t>
      </w:r>
      <w:r>
        <w:rPr>
          <w:i/>
          <w:iCs/>
        </w:rPr>
        <w:t xml:space="preserve">Rev. </w:t>
      </w:r>
      <w:proofErr w:type="spellStart"/>
      <w:r>
        <w:rPr>
          <w:i/>
          <w:iCs/>
        </w:rPr>
        <w:t>Geophys</w:t>
      </w:r>
      <w:proofErr w:type="spellEnd"/>
      <w:r>
        <w:rPr>
          <w:i/>
          <w:iCs/>
        </w:rPr>
        <w:t>.</w:t>
      </w:r>
      <w:r>
        <w:t xml:space="preserve">, 2013, </w:t>
      </w:r>
      <w:r>
        <w:rPr>
          <w:b/>
          <w:bCs/>
        </w:rPr>
        <w:t>51</w:t>
      </w:r>
      <w:r>
        <w:t>, 113–149.</w:t>
      </w:r>
    </w:p>
    <w:p w14:paraId="68AEC832" w14:textId="77777777" w:rsidR="00E46582" w:rsidRDefault="00E46582" w:rsidP="00E46582">
      <w:pPr>
        <w:pStyle w:val="Bibliografa"/>
      </w:pPr>
      <w:r>
        <w:t>33</w:t>
      </w:r>
      <w:r>
        <w:tab/>
        <w:t xml:space="preserve">P. Renforth, </w:t>
      </w:r>
      <w:r>
        <w:rPr>
          <w:i/>
          <w:iCs/>
        </w:rPr>
        <w:t xml:space="preserve">Nat. </w:t>
      </w:r>
      <w:proofErr w:type="spellStart"/>
      <w:r>
        <w:rPr>
          <w:i/>
          <w:iCs/>
        </w:rPr>
        <w:t>Commun</w:t>
      </w:r>
      <w:proofErr w:type="spellEnd"/>
      <w:r>
        <w:rPr>
          <w:i/>
          <w:iCs/>
        </w:rPr>
        <w:t>.</w:t>
      </w:r>
      <w:r>
        <w:t xml:space="preserve">, 2019, </w:t>
      </w:r>
      <w:r>
        <w:rPr>
          <w:b/>
          <w:bCs/>
        </w:rPr>
        <w:t>10</w:t>
      </w:r>
      <w:r>
        <w:t>, 1401.</w:t>
      </w:r>
    </w:p>
    <w:p w14:paraId="144308C6" w14:textId="77777777" w:rsidR="00E46582" w:rsidRDefault="00E46582" w:rsidP="00E46582">
      <w:pPr>
        <w:pStyle w:val="Bibliografa"/>
      </w:pPr>
      <w:r>
        <w:t>34</w:t>
      </w:r>
      <w:r>
        <w:tab/>
        <w:t xml:space="preserve">N. </w:t>
      </w:r>
      <w:proofErr w:type="spellStart"/>
      <w:r>
        <w:t>Vakilifard</w:t>
      </w:r>
      <w:proofErr w:type="spellEnd"/>
      <w:r>
        <w:t xml:space="preserve">, E. P. </w:t>
      </w:r>
      <w:proofErr w:type="spellStart"/>
      <w:r>
        <w:t>Kantzas</w:t>
      </w:r>
      <w:proofErr w:type="spellEnd"/>
      <w:r>
        <w:t xml:space="preserve">, N. R. Edwards, P. B. Holden and D. J. Beerling, </w:t>
      </w:r>
      <w:r>
        <w:rPr>
          <w:i/>
          <w:iCs/>
        </w:rPr>
        <w:t>Environ. Res. Lett.</w:t>
      </w:r>
      <w:r>
        <w:t xml:space="preserve">, 2021, </w:t>
      </w:r>
      <w:r>
        <w:rPr>
          <w:b/>
          <w:bCs/>
        </w:rPr>
        <w:t>16</w:t>
      </w:r>
      <w:r>
        <w:t>, 094005.</w:t>
      </w:r>
    </w:p>
    <w:p w14:paraId="6AB448E7" w14:textId="77777777" w:rsidR="00E46582" w:rsidRDefault="00E46582" w:rsidP="00E46582">
      <w:pPr>
        <w:pStyle w:val="Bibliografa"/>
      </w:pPr>
      <w:r>
        <w:t>35</w:t>
      </w:r>
      <w:r>
        <w:tab/>
        <w:t xml:space="preserve">S. J. T. </w:t>
      </w:r>
      <w:proofErr w:type="spellStart"/>
      <w:r>
        <w:t>Hangx</w:t>
      </w:r>
      <w:proofErr w:type="spellEnd"/>
      <w:r>
        <w:t xml:space="preserve"> and C. J. Spiers, </w:t>
      </w:r>
      <w:r>
        <w:rPr>
          <w:i/>
          <w:iCs/>
        </w:rPr>
        <w:t xml:space="preserve">Int. J. </w:t>
      </w:r>
      <w:proofErr w:type="spellStart"/>
      <w:r>
        <w:rPr>
          <w:i/>
          <w:iCs/>
        </w:rPr>
        <w:t>Greenh</w:t>
      </w:r>
      <w:proofErr w:type="spellEnd"/>
      <w:r>
        <w:rPr>
          <w:i/>
          <w:iCs/>
        </w:rPr>
        <w:t>. Gas Control</w:t>
      </w:r>
      <w:r>
        <w:t xml:space="preserve">, 2009, </w:t>
      </w:r>
      <w:r>
        <w:rPr>
          <w:b/>
          <w:bCs/>
        </w:rPr>
        <w:t>3</w:t>
      </w:r>
      <w:r>
        <w:t>, 757–767.</w:t>
      </w:r>
    </w:p>
    <w:p w14:paraId="215DAFDE" w14:textId="77777777" w:rsidR="00E46582" w:rsidRDefault="00E46582" w:rsidP="00E46582">
      <w:pPr>
        <w:pStyle w:val="Bibliografa"/>
      </w:pPr>
      <w:r>
        <w:t>36</w:t>
      </w:r>
      <w:r>
        <w:tab/>
        <w:t xml:space="preserve">T. Amann, J. Hartmann, E. </w:t>
      </w:r>
      <w:proofErr w:type="spellStart"/>
      <w:r>
        <w:t>Struyf</w:t>
      </w:r>
      <w:proofErr w:type="spellEnd"/>
      <w:r>
        <w:t xml:space="preserve">, W. De Oliveira Garcia, E. K. Fischer, I. Janssens, P. Meire and J. </w:t>
      </w:r>
      <w:proofErr w:type="spellStart"/>
      <w:r>
        <w:t>Schoelynck</w:t>
      </w:r>
      <w:proofErr w:type="spellEnd"/>
      <w:r>
        <w:t xml:space="preserve">, </w:t>
      </w:r>
      <w:proofErr w:type="spellStart"/>
      <w:r>
        <w:rPr>
          <w:i/>
          <w:iCs/>
        </w:rPr>
        <w:t>Biogeosciences</w:t>
      </w:r>
      <w:proofErr w:type="spellEnd"/>
      <w:r>
        <w:t xml:space="preserve">, 2020, </w:t>
      </w:r>
      <w:r>
        <w:rPr>
          <w:b/>
          <w:bCs/>
        </w:rPr>
        <w:t>17</w:t>
      </w:r>
      <w:r>
        <w:t>, 103–119.</w:t>
      </w:r>
    </w:p>
    <w:p w14:paraId="2230AB58" w14:textId="77777777" w:rsidR="00E46582" w:rsidRDefault="00E46582" w:rsidP="00E46582">
      <w:pPr>
        <w:pStyle w:val="Bibliografa"/>
      </w:pPr>
      <w:r>
        <w:t>37</w:t>
      </w:r>
      <w:r>
        <w:tab/>
        <w:t xml:space="preserve">F. Buckingham, G. M. Henderson, P. </w:t>
      </w:r>
      <w:proofErr w:type="spellStart"/>
      <w:r>
        <w:t>Holdship</w:t>
      </w:r>
      <w:proofErr w:type="spellEnd"/>
      <w:r>
        <w:t xml:space="preserve"> and P. Renforth, </w:t>
      </w:r>
      <w:r>
        <w:rPr>
          <w:i/>
          <w:iCs/>
        </w:rPr>
        <w:t>Appl. Geochem.</w:t>
      </w:r>
      <w:r>
        <w:t xml:space="preserve">, 2022, </w:t>
      </w:r>
      <w:r>
        <w:rPr>
          <w:b/>
          <w:bCs/>
        </w:rPr>
        <w:t>147</w:t>
      </w:r>
      <w:r>
        <w:t>, 105482.</w:t>
      </w:r>
    </w:p>
    <w:p w14:paraId="402A24B0" w14:textId="77777777" w:rsidR="00E46582" w:rsidRDefault="00E46582" w:rsidP="00E46582">
      <w:pPr>
        <w:pStyle w:val="Bibliografa"/>
      </w:pPr>
      <w:r>
        <w:t>38</w:t>
      </w:r>
      <w:r>
        <w:tab/>
        <w:t xml:space="preserve">J. </w:t>
      </w:r>
      <w:proofErr w:type="spellStart"/>
      <w:r>
        <w:t>Strefler</w:t>
      </w:r>
      <w:proofErr w:type="spellEnd"/>
      <w:r>
        <w:t xml:space="preserve">, T. Amann, N. Bauer, E. Kriegler and J. Hartmann, </w:t>
      </w:r>
      <w:r>
        <w:rPr>
          <w:i/>
          <w:iCs/>
        </w:rPr>
        <w:t>Environ. Res. Lett.</w:t>
      </w:r>
      <w:r>
        <w:t xml:space="preserve">, 2018, </w:t>
      </w:r>
      <w:r>
        <w:rPr>
          <w:b/>
          <w:bCs/>
        </w:rPr>
        <w:t>13</w:t>
      </w:r>
      <w:r>
        <w:t>, 034010.</w:t>
      </w:r>
    </w:p>
    <w:p w14:paraId="2BCE45FC" w14:textId="77777777" w:rsidR="00E46582" w:rsidRDefault="00E46582" w:rsidP="00E46582">
      <w:pPr>
        <w:pStyle w:val="Bibliografa"/>
      </w:pPr>
      <w:r>
        <w:t>39</w:t>
      </w:r>
      <w:r>
        <w:tab/>
        <w:t xml:space="preserve">F. Montserrat, P. Renforth, J. Hartmann, M. </w:t>
      </w:r>
      <w:proofErr w:type="spellStart"/>
      <w:r>
        <w:t>Leermakers</w:t>
      </w:r>
      <w:proofErr w:type="spellEnd"/>
      <w:r>
        <w:t xml:space="preserve">, P. Knops and F. J. R. </w:t>
      </w:r>
      <w:proofErr w:type="spellStart"/>
      <w:r>
        <w:t>Meysman</w:t>
      </w:r>
      <w:proofErr w:type="spellEnd"/>
      <w:r>
        <w:t xml:space="preserve">, </w:t>
      </w:r>
      <w:r>
        <w:rPr>
          <w:i/>
          <w:iCs/>
        </w:rPr>
        <w:t>Environ. Sci. Technol.</w:t>
      </w:r>
      <w:r>
        <w:t xml:space="preserve">, 2017, </w:t>
      </w:r>
      <w:r>
        <w:rPr>
          <w:b/>
          <w:bCs/>
        </w:rPr>
        <w:t>51</w:t>
      </w:r>
      <w:r>
        <w:t>, 3960–3972.</w:t>
      </w:r>
    </w:p>
    <w:p w14:paraId="235FAA6B" w14:textId="77777777" w:rsidR="00E46582" w:rsidRDefault="00E46582" w:rsidP="00E46582">
      <w:pPr>
        <w:pStyle w:val="Bibliografa"/>
      </w:pPr>
      <w:r>
        <w:t>40</w:t>
      </w:r>
      <w:r>
        <w:tab/>
        <w:t xml:space="preserve">M. Anda, </w:t>
      </w:r>
      <w:proofErr w:type="spellStart"/>
      <w:r>
        <w:rPr>
          <w:i/>
          <w:iCs/>
        </w:rPr>
        <w:t>Geoderma</w:t>
      </w:r>
      <w:proofErr w:type="spellEnd"/>
      <w:r>
        <w:t xml:space="preserve">, 2012, </w:t>
      </w:r>
      <w:r>
        <w:rPr>
          <w:b/>
          <w:bCs/>
        </w:rPr>
        <w:t>189–190</w:t>
      </w:r>
      <w:r>
        <w:t>, 388–396.</w:t>
      </w:r>
    </w:p>
    <w:p w14:paraId="2819847E" w14:textId="77777777" w:rsidR="00E46582" w:rsidRDefault="00E46582" w:rsidP="00E46582">
      <w:pPr>
        <w:pStyle w:val="Bibliografa"/>
      </w:pPr>
      <w:r>
        <w:t>41</w:t>
      </w:r>
      <w:r>
        <w:tab/>
        <w:t xml:space="preserve">B. J. Alloway, </w:t>
      </w:r>
      <w:r>
        <w:rPr>
          <w:i/>
          <w:iCs/>
        </w:rPr>
        <w:t>Heavy metals in soils. Trace metals in metalloids and soils and their bioavailability.</w:t>
      </w:r>
      <w:r>
        <w:t>, Springer, 2013, vol. 22.</w:t>
      </w:r>
    </w:p>
    <w:p w14:paraId="75FCA365" w14:textId="77777777" w:rsidR="00E46582" w:rsidRDefault="00E46582" w:rsidP="00E46582">
      <w:pPr>
        <w:pStyle w:val="Bibliografa"/>
      </w:pPr>
      <w:r>
        <w:t>42</w:t>
      </w:r>
      <w:r>
        <w:tab/>
        <w:t xml:space="preserve">H. Wang, X. Li, Y. Chen, Z. Li, D. W. Hedding, W. Nel, J. Ji and J. Chen, </w:t>
      </w:r>
      <w:r>
        <w:rPr>
          <w:i/>
          <w:iCs/>
        </w:rPr>
        <w:t>Sci. Total Environ.</w:t>
      </w:r>
      <w:r>
        <w:t xml:space="preserve">, 2020, </w:t>
      </w:r>
      <w:r>
        <w:rPr>
          <w:b/>
          <w:bCs/>
        </w:rPr>
        <w:t>729</w:t>
      </w:r>
      <w:r>
        <w:t>, 139058.</w:t>
      </w:r>
    </w:p>
    <w:p w14:paraId="781560C9" w14:textId="77777777" w:rsidR="00E46582" w:rsidRDefault="00E46582" w:rsidP="00E46582">
      <w:pPr>
        <w:pStyle w:val="Bibliografa"/>
      </w:pPr>
      <w:r>
        <w:t>43</w:t>
      </w:r>
      <w:r>
        <w:tab/>
        <w:t xml:space="preserve">M. E. Kelland, P. W. Wade, A. L. Lewis, L. L. Taylor, B. Sarkar, M. G. Andrews, M. R. Lomas, T. E. A. Cotton, S. J. Kemp, R. H. James, C. R. Pearce, S. E. Hartley, M. E. Hodson, J. R. Leake, S. A. Banwart and D. J. Beerling, </w:t>
      </w:r>
      <w:r>
        <w:rPr>
          <w:i/>
          <w:iCs/>
        </w:rPr>
        <w:t>Glob. Change Biol.</w:t>
      </w:r>
      <w:r>
        <w:t xml:space="preserve">, 2020, </w:t>
      </w:r>
      <w:r>
        <w:rPr>
          <w:b/>
          <w:bCs/>
        </w:rPr>
        <w:t>26</w:t>
      </w:r>
      <w:r>
        <w:t>, 3658–3676.</w:t>
      </w:r>
    </w:p>
    <w:p w14:paraId="672EEC0A" w14:textId="77777777" w:rsidR="00E46582" w:rsidRDefault="00E46582" w:rsidP="00E46582">
      <w:pPr>
        <w:pStyle w:val="Bibliografa"/>
      </w:pPr>
      <w:r>
        <w:t>44</w:t>
      </w:r>
      <w:r>
        <w:tab/>
        <w:t xml:space="preserve">A. C. M. Bourg and J. P. G. Loch, in </w:t>
      </w:r>
      <w:proofErr w:type="spellStart"/>
      <w:r>
        <w:rPr>
          <w:i/>
          <w:iCs/>
        </w:rPr>
        <w:t>Biogeodynamics</w:t>
      </w:r>
      <w:proofErr w:type="spellEnd"/>
      <w:r>
        <w:rPr>
          <w:i/>
          <w:iCs/>
        </w:rPr>
        <w:t xml:space="preserve"> of Pollutants in Soils and Sediments</w:t>
      </w:r>
      <w:r>
        <w:t>, 1995, pp. 87–102.</w:t>
      </w:r>
    </w:p>
    <w:p w14:paraId="0E222091" w14:textId="77777777" w:rsidR="00E46582" w:rsidRDefault="00E46582" w:rsidP="00E46582">
      <w:pPr>
        <w:pStyle w:val="Bibliografa"/>
      </w:pPr>
      <w:r>
        <w:t>45</w:t>
      </w:r>
      <w:r>
        <w:tab/>
        <w:t xml:space="preserve">C. N. McClain and K. Maher, </w:t>
      </w:r>
      <w:r>
        <w:rPr>
          <w:i/>
          <w:iCs/>
        </w:rPr>
        <w:t>Chem. Geol.</w:t>
      </w:r>
      <w:r>
        <w:t xml:space="preserve">, 2016, </w:t>
      </w:r>
      <w:r>
        <w:rPr>
          <w:b/>
          <w:bCs/>
        </w:rPr>
        <w:t>426</w:t>
      </w:r>
      <w:r>
        <w:t>, 135–157.</w:t>
      </w:r>
    </w:p>
    <w:p w14:paraId="4E48017D" w14:textId="77777777" w:rsidR="00E46582" w:rsidRDefault="00E46582" w:rsidP="00E46582">
      <w:pPr>
        <w:pStyle w:val="Bibliografa"/>
      </w:pPr>
      <w:r>
        <w:t>46</w:t>
      </w:r>
      <w:r>
        <w:tab/>
        <w:t>J. Hartmann, A. J. West, P. Renforth, P. Köhler, C. L. De La Rocha, D. A. Wolf-</w:t>
      </w:r>
      <w:proofErr w:type="spellStart"/>
      <w:r>
        <w:t>Gladrow</w:t>
      </w:r>
      <w:proofErr w:type="spellEnd"/>
      <w:r>
        <w:t xml:space="preserve">, H. H. Dürr and J. </w:t>
      </w:r>
      <w:proofErr w:type="spellStart"/>
      <w:r>
        <w:t>Scheffran</w:t>
      </w:r>
      <w:proofErr w:type="spellEnd"/>
      <w:r>
        <w:t xml:space="preserve">, </w:t>
      </w:r>
      <w:r>
        <w:rPr>
          <w:i/>
          <w:iCs/>
        </w:rPr>
        <w:t xml:space="preserve">Rev. </w:t>
      </w:r>
      <w:proofErr w:type="spellStart"/>
      <w:r>
        <w:rPr>
          <w:i/>
          <w:iCs/>
        </w:rPr>
        <w:t>Geophys</w:t>
      </w:r>
      <w:proofErr w:type="spellEnd"/>
      <w:r>
        <w:rPr>
          <w:i/>
          <w:iCs/>
        </w:rPr>
        <w:t>.</w:t>
      </w:r>
      <w:r>
        <w:t xml:space="preserve">, 2013, </w:t>
      </w:r>
      <w:r>
        <w:rPr>
          <w:b/>
          <w:bCs/>
        </w:rPr>
        <w:t>51</w:t>
      </w:r>
      <w:r>
        <w:t>, 113–149.</w:t>
      </w:r>
    </w:p>
    <w:p w14:paraId="3B6DF5B2" w14:textId="77777777" w:rsidR="00E46582" w:rsidRDefault="00E46582" w:rsidP="00E46582">
      <w:pPr>
        <w:pStyle w:val="Bibliografa"/>
      </w:pPr>
      <w:r>
        <w:lastRenderedPageBreak/>
        <w:t>47</w:t>
      </w:r>
      <w:r>
        <w:tab/>
        <w:t xml:space="preserve">F. J. Holden, K. Davies, M. I. Bird, R. Hume, H. Green, D. J. Beerling and P. N. Nelson, </w:t>
      </w:r>
      <w:r>
        <w:rPr>
          <w:i/>
          <w:iCs/>
        </w:rPr>
        <w:t>Sci. Total Environ.</w:t>
      </w:r>
      <w:r>
        <w:t xml:space="preserve">, 2024, </w:t>
      </w:r>
      <w:r>
        <w:rPr>
          <w:b/>
          <w:bCs/>
        </w:rPr>
        <w:t>955</w:t>
      </w:r>
      <w:r>
        <w:t>, 176568.</w:t>
      </w:r>
    </w:p>
    <w:p w14:paraId="04778CFA" w14:textId="77777777" w:rsidR="00E46582" w:rsidRDefault="00E46582" w:rsidP="00E46582">
      <w:pPr>
        <w:pStyle w:val="Bibliografa"/>
      </w:pPr>
      <w:r>
        <w:t>48</w:t>
      </w:r>
      <w:r>
        <w:tab/>
        <w:t xml:space="preserve">T. Xu, Z. Yuan, S. Vicca, D. S. Goll, G. Li, L. Lin, H. Chen, B. Bi, Q. Chen, C. Li, X. Wang, C. Wang, Z. Hao, Y. Fang and D. J. Beerling, </w:t>
      </w:r>
      <w:r>
        <w:rPr>
          <w:i/>
          <w:iCs/>
        </w:rPr>
        <w:t>Glob. Change Biol.</w:t>
      </w:r>
      <w:r>
        <w:t xml:space="preserve">, 2024, </w:t>
      </w:r>
      <w:r>
        <w:rPr>
          <w:b/>
          <w:bCs/>
        </w:rPr>
        <w:t>30</w:t>
      </w:r>
      <w:r>
        <w:t>, 1–17.</w:t>
      </w:r>
    </w:p>
    <w:p w14:paraId="79680817" w14:textId="77777777" w:rsidR="00E46582" w:rsidRDefault="00E46582" w:rsidP="00E46582">
      <w:pPr>
        <w:pStyle w:val="Bibliografa"/>
      </w:pPr>
      <w:r>
        <w:t>49</w:t>
      </w:r>
      <w:r>
        <w:tab/>
        <w:t xml:space="preserve">B. J. Stanton, D. B. Neale and S. Li, in </w:t>
      </w:r>
      <w:r>
        <w:rPr>
          <w:i/>
          <w:iCs/>
        </w:rPr>
        <w:t>Genetics and Genomics of Populus</w:t>
      </w:r>
      <w:r>
        <w:t>, 2010.</w:t>
      </w:r>
    </w:p>
    <w:p w14:paraId="270B602E" w14:textId="77777777" w:rsidR="00E46582" w:rsidRDefault="00E46582" w:rsidP="00E46582">
      <w:pPr>
        <w:pStyle w:val="Bibliografa"/>
      </w:pPr>
      <w:r>
        <w:t>50</w:t>
      </w:r>
      <w:r>
        <w:tab/>
        <w:t xml:space="preserve">E. A. Heaton, F. G. </w:t>
      </w:r>
      <w:proofErr w:type="spellStart"/>
      <w:r>
        <w:t>Dohleman</w:t>
      </w:r>
      <w:proofErr w:type="spellEnd"/>
      <w:r>
        <w:t xml:space="preserve">, A. F. Miguez, J. A. Juvik, V. </w:t>
      </w:r>
      <w:proofErr w:type="spellStart"/>
      <w:r>
        <w:t>Lozovaya</w:t>
      </w:r>
      <w:proofErr w:type="spellEnd"/>
      <w:r>
        <w:t xml:space="preserve">, J. Widholm, O. A. </w:t>
      </w:r>
      <w:proofErr w:type="spellStart"/>
      <w:r>
        <w:t>Zabotina</w:t>
      </w:r>
      <w:proofErr w:type="spellEnd"/>
      <w:r>
        <w:t xml:space="preserve">, G. F. McIsaac, M. B. David, T. B. Voigt, N. N. Boersma and S. P. Long, in </w:t>
      </w:r>
      <w:r>
        <w:rPr>
          <w:i/>
          <w:iCs/>
        </w:rPr>
        <w:t>Advances in Botanical Research</w:t>
      </w:r>
      <w:r>
        <w:t>, Academic Press, 2010, vol. 56, pp. 75–137.</w:t>
      </w:r>
    </w:p>
    <w:p w14:paraId="7A758811" w14:textId="77777777" w:rsidR="00E46582" w:rsidRDefault="00E46582" w:rsidP="00E46582">
      <w:pPr>
        <w:pStyle w:val="Bibliografa"/>
      </w:pPr>
      <w:r>
        <w:t>51</w:t>
      </w:r>
      <w:r>
        <w:tab/>
        <w:t>J. H. Hansen, L. Hamelin, A. Taghizadeh‐</w:t>
      </w:r>
      <w:proofErr w:type="spellStart"/>
      <w:r>
        <w:t>Toosi</w:t>
      </w:r>
      <w:proofErr w:type="spellEnd"/>
      <w:r>
        <w:t xml:space="preserve">, J. E. Olesen and H. Wenzel, </w:t>
      </w:r>
      <w:r>
        <w:rPr>
          <w:i/>
          <w:iCs/>
        </w:rPr>
        <w:t>GCB Bioenergy</w:t>
      </w:r>
      <w:r>
        <w:t xml:space="preserve">, 2020, </w:t>
      </w:r>
      <w:r>
        <w:rPr>
          <w:b/>
          <w:bCs/>
        </w:rPr>
        <w:t>12</w:t>
      </w:r>
      <w:r>
        <w:t>, 1002–1013.</w:t>
      </w:r>
    </w:p>
    <w:p w14:paraId="09F1FFB2" w14:textId="77777777" w:rsidR="00E46582" w:rsidRDefault="00E46582" w:rsidP="00E46582">
      <w:pPr>
        <w:pStyle w:val="Bibliografa"/>
      </w:pPr>
      <w:r>
        <w:t>52</w:t>
      </w:r>
      <w:r>
        <w:tab/>
        <w:t xml:space="preserve">C. Andrade Díaz, H. </w:t>
      </w:r>
      <w:proofErr w:type="spellStart"/>
      <w:r>
        <w:t>Clivot</w:t>
      </w:r>
      <w:proofErr w:type="spellEnd"/>
      <w:r>
        <w:t xml:space="preserve">, A. Albers, E. Zamora-Ledezma and L. Hamelin, </w:t>
      </w:r>
      <w:r>
        <w:rPr>
          <w:i/>
          <w:iCs/>
        </w:rPr>
        <w:t>Appl. Energy</w:t>
      </w:r>
      <w:r>
        <w:t xml:space="preserve">, 2023, </w:t>
      </w:r>
      <w:r>
        <w:rPr>
          <w:b/>
          <w:bCs/>
        </w:rPr>
        <w:t>329</w:t>
      </w:r>
      <w:r>
        <w:t>, 120192.</w:t>
      </w:r>
    </w:p>
    <w:p w14:paraId="23EB0B89" w14:textId="77777777" w:rsidR="00E46582" w:rsidRDefault="00E46582" w:rsidP="00E46582">
      <w:pPr>
        <w:pStyle w:val="Bibliografa"/>
      </w:pPr>
      <w:r>
        <w:t>53</w:t>
      </w:r>
      <w:r>
        <w:tab/>
        <w:t xml:space="preserve">N. Scarlat, F. Fahl, E. </w:t>
      </w:r>
      <w:proofErr w:type="spellStart"/>
      <w:r>
        <w:t>Lugato</w:t>
      </w:r>
      <w:proofErr w:type="spellEnd"/>
      <w:r>
        <w:t xml:space="preserve">, F. </w:t>
      </w:r>
      <w:proofErr w:type="spellStart"/>
      <w:r>
        <w:t>Monforti</w:t>
      </w:r>
      <w:proofErr w:type="spellEnd"/>
      <w:r>
        <w:t xml:space="preserve">-Ferrario and J. F. </w:t>
      </w:r>
      <w:proofErr w:type="spellStart"/>
      <w:r>
        <w:t>Dallemand</w:t>
      </w:r>
      <w:proofErr w:type="spellEnd"/>
      <w:r>
        <w:t xml:space="preserve">, </w:t>
      </w:r>
      <w:r>
        <w:rPr>
          <w:i/>
          <w:iCs/>
        </w:rPr>
        <w:t>Biomass Bioenergy</w:t>
      </w:r>
      <w:r>
        <w:t xml:space="preserve">, 2019, </w:t>
      </w:r>
      <w:r>
        <w:rPr>
          <w:b/>
          <w:bCs/>
        </w:rPr>
        <w:t>122</w:t>
      </w:r>
      <w:r>
        <w:t>, 257–269.</w:t>
      </w:r>
    </w:p>
    <w:p w14:paraId="0B263F45" w14:textId="77777777" w:rsidR="00E46582" w:rsidRDefault="00E46582" w:rsidP="00E46582">
      <w:pPr>
        <w:pStyle w:val="Bibliografa"/>
      </w:pPr>
      <w:r>
        <w:t>54</w:t>
      </w:r>
      <w:r>
        <w:tab/>
        <w:t xml:space="preserve">S. Searle and C. Malins, </w:t>
      </w:r>
      <w:r>
        <w:rPr>
          <w:i/>
          <w:iCs/>
        </w:rPr>
        <w:t>GCB Bioenergy</w:t>
      </w:r>
      <w:r>
        <w:t xml:space="preserve">, 2015, </w:t>
      </w:r>
      <w:r>
        <w:rPr>
          <w:b/>
          <w:bCs/>
        </w:rPr>
        <w:t>7</w:t>
      </w:r>
      <w:r>
        <w:t>, 328–336.</w:t>
      </w:r>
    </w:p>
    <w:p w14:paraId="5555EBE5" w14:textId="77777777" w:rsidR="00E46582" w:rsidRDefault="00E46582" w:rsidP="00E46582">
      <w:pPr>
        <w:pStyle w:val="Bibliografa"/>
      </w:pPr>
      <w:r>
        <w:t>55</w:t>
      </w:r>
      <w:r>
        <w:tab/>
        <w:t xml:space="preserve">T. </w:t>
      </w:r>
      <w:proofErr w:type="spellStart"/>
      <w:r>
        <w:t>Nurek</w:t>
      </w:r>
      <w:proofErr w:type="spellEnd"/>
      <w:r>
        <w:t xml:space="preserve">, A. </w:t>
      </w:r>
      <w:proofErr w:type="spellStart"/>
      <w:r>
        <w:t>Gendek</w:t>
      </w:r>
      <w:proofErr w:type="spellEnd"/>
      <w:r>
        <w:t xml:space="preserve"> and K. Roman, </w:t>
      </w:r>
      <w:proofErr w:type="spellStart"/>
      <w:r>
        <w:rPr>
          <w:i/>
          <w:iCs/>
        </w:rPr>
        <w:t>BioResources</w:t>
      </w:r>
      <w:proofErr w:type="spellEnd"/>
      <w:r>
        <w:t xml:space="preserve">, 2018, </w:t>
      </w:r>
      <w:r>
        <w:rPr>
          <w:b/>
          <w:bCs/>
        </w:rPr>
        <w:t>14</w:t>
      </w:r>
      <w:r>
        <w:t>, 6–20.</w:t>
      </w:r>
    </w:p>
    <w:p w14:paraId="5C478203" w14:textId="77777777" w:rsidR="00E46582" w:rsidRDefault="00E46582" w:rsidP="00E46582">
      <w:pPr>
        <w:pStyle w:val="Bibliografa"/>
      </w:pPr>
      <w:r>
        <w:t>56</w:t>
      </w:r>
      <w:r>
        <w:tab/>
        <w:t xml:space="preserve">P. Smith, S. J. Davis, F. </w:t>
      </w:r>
      <w:proofErr w:type="spellStart"/>
      <w:r>
        <w:t>Creutzig</w:t>
      </w:r>
      <w:proofErr w:type="spellEnd"/>
      <w:r>
        <w:t xml:space="preserve">, S. Fuss, J. Minx, B. Gabrielle, E. Kato, R. B. Jackson, A. Cowie, E. Kriegler, D. P. Van Vuuren, J. Rogelj, P. </w:t>
      </w:r>
      <w:proofErr w:type="spellStart"/>
      <w:r>
        <w:t>Ciais</w:t>
      </w:r>
      <w:proofErr w:type="spellEnd"/>
      <w:r>
        <w:t xml:space="preserve">, J. Milne, J. G. </w:t>
      </w:r>
      <w:proofErr w:type="spellStart"/>
      <w:r>
        <w:t>Canadell</w:t>
      </w:r>
      <w:proofErr w:type="spellEnd"/>
      <w:r>
        <w:t xml:space="preserve">, D. McCollum, G. Peters, R. Andrew, V. Krey, G. Shrestha, P. </w:t>
      </w:r>
      <w:proofErr w:type="spellStart"/>
      <w:r>
        <w:t>Friedlingstein</w:t>
      </w:r>
      <w:proofErr w:type="spellEnd"/>
      <w:r>
        <w:t xml:space="preserve">, T. Gasser, A. </w:t>
      </w:r>
      <w:proofErr w:type="spellStart"/>
      <w:r>
        <w:t>Grübler</w:t>
      </w:r>
      <w:proofErr w:type="spellEnd"/>
      <w:r>
        <w:t xml:space="preserve">, W. K. </w:t>
      </w:r>
      <w:proofErr w:type="spellStart"/>
      <w:r>
        <w:t>Heidug</w:t>
      </w:r>
      <w:proofErr w:type="spellEnd"/>
      <w:r>
        <w:t xml:space="preserve">, M. Jonas, C. D. Jones, F. Kraxner, E. Littleton, J. Lowe, J. R. Moreira, N. </w:t>
      </w:r>
      <w:proofErr w:type="spellStart"/>
      <w:r>
        <w:t>Nakicenovic</w:t>
      </w:r>
      <w:proofErr w:type="spellEnd"/>
      <w:r>
        <w:t xml:space="preserve">, M. </w:t>
      </w:r>
      <w:proofErr w:type="spellStart"/>
      <w:r>
        <w:t>Obersteiner</w:t>
      </w:r>
      <w:proofErr w:type="spellEnd"/>
      <w:r>
        <w:t xml:space="preserve">, A. Patwardhan, M. Rogner, E. Rubin, A. Sharifi, A. </w:t>
      </w:r>
      <w:proofErr w:type="spellStart"/>
      <w:r>
        <w:t>Torvanger</w:t>
      </w:r>
      <w:proofErr w:type="spellEnd"/>
      <w:r>
        <w:t xml:space="preserve">, Y. Yamagata, J. Edmonds and C. </w:t>
      </w:r>
      <w:proofErr w:type="spellStart"/>
      <w:r>
        <w:t>Yongsung</w:t>
      </w:r>
      <w:proofErr w:type="spellEnd"/>
      <w:r>
        <w:t xml:space="preserve">, </w:t>
      </w:r>
      <w:r>
        <w:rPr>
          <w:i/>
          <w:iCs/>
        </w:rPr>
        <w:t>Nat. Clim. Change</w:t>
      </w:r>
      <w:r>
        <w:t xml:space="preserve">, 2016, </w:t>
      </w:r>
      <w:r>
        <w:rPr>
          <w:b/>
          <w:bCs/>
        </w:rPr>
        <w:t>6</w:t>
      </w:r>
      <w:r>
        <w:t>, 42–50.</w:t>
      </w:r>
    </w:p>
    <w:p w14:paraId="3E53946B" w14:textId="77777777" w:rsidR="00E46582" w:rsidRDefault="00E46582" w:rsidP="00E46582">
      <w:pPr>
        <w:pStyle w:val="Bibliografa"/>
      </w:pPr>
      <w:r>
        <w:t>57</w:t>
      </w:r>
      <w:r>
        <w:tab/>
        <w:t xml:space="preserve">N. E. Vaughan, C. Gough, S. Mander, E. W. Littleton, A. </w:t>
      </w:r>
      <w:proofErr w:type="spellStart"/>
      <w:r>
        <w:t>Welfle</w:t>
      </w:r>
      <w:proofErr w:type="spellEnd"/>
      <w:r>
        <w:t xml:space="preserve">, D. E. H. J. Gernaat and D. P. Van Vuuren, </w:t>
      </w:r>
      <w:r>
        <w:rPr>
          <w:i/>
          <w:iCs/>
        </w:rPr>
        <w:t>Environ. Res. Lett.</w:t>
      </w:r>
      <w:r>
        <w:t xml:space="preserve">, 2018, </w:t>
      </w:r>
      <w:r>
        <w:rPr>
          <w:b/>
          <w:bCs/>
        </w:rPr>
        <w:t>13</w:t>
      </w:r>
      <w:r>
        <w:t>, 044014.</w:t>
      </w:r>
    </w:p>
    <w:p w14:paraId="277192DB" w14:textId="77777777" w:rsidR="00E46582" w:rsidRDefault="00E46582" w:rsidP="00E46582">
      <w:pPr>
        <w:pStyle w:val="Bibliografa"/>
      </w:pPr>
      <w:r>
        <w:t>58</w:t>
      </w:r>
      <w:r>
        <w:tab/>
        <w:t xml:space="preserve">A. B. Harper, T. Powell, P. M. Cox, J. House, C. </w:t>
      </w:r>
      <w:proofErr w:type="spellStart"/>
      <w:r>
        <w:t>Huntingford</w:t>
      </w:r>
      <w:proofErr w:type="spellEnd"/>
      <w:r>
        <w:t xml:space="preserve">, T. M. Lenton, S. Sitch, E. Burke, S. E. Chadburn, W. J. Collins, E. Comyn-Platt, V. </w:t>
      </w:r>
      <w:proofErr w:type="spellStart"/>
      <w:r>
        <w:t>Daioglou</w:t>
      </w:r>
      <w:proofErr w:type="spellEnd"/>
      <w:r>
        <w:t xml:space="preserve">, J. C. </w:t>
      </w:r>
      <w:proofErr w:type="spellStart"/>
      <w:r>
        <w:t>Doelman</w:t>
      </w:r>
      <w:proofErr w:type="spellEnd"/>
      <w:r>
        <w:t xml:space="preserve">, G. Hayman, E. Robertson, D. van Vuuren, A. Wiltshire, C. P. Webber, A. Bastos, L. Boysen, P. </w:t>
      </w:r>
      <w:proofErr w:type="spellStart"/>
      <w:r>
        <w:t>Ciais</w:t>
      </w:r>
      <w:proofErr w:type="spellEnd"/>
      <w:r>
        <w:t xml:space="preserve">, N. Devaraju, A. K. Jain, A. Krause, B. Poulter and S. Shu, </w:t>
      </w:r>
      <w:r>
        <w:rPr>
          <w:i/>
          <w:iCs/>
        </w:rPr>
        <w:t xml:space="preserve">Nat. </w:t>
      </w:r>
      <w:proofErr w:type="spellStart"/>
      <w:r>
        <w:rPr>
          <w:i/>
          <w:iCs/>
        </w:rPr>
        <w:t>Commun</w:t>
      </w:r>
      <w:proofErr w:type="spellEnd"/>
      <w:r>
        <w:rPr>
          <w:i/>
          <w:iCs/>
        </w:rPr>
        <w:t>.</w:t>
      </w:r>
      <w:r>
        <w:t xml:space="preserve">, 2018, </w:t>
      </w:r>
      <w:r>
        <w:rPr>
          <w:b/>
          <w:bCs/>
        </w:rPr>
        <w:t>9</w:t>
      </w:r>
      <w:r>
        <w:t>, 2938.</w:t>
      </w:r>
    </w:p>
    <w:p w14:paraId="4B1BA80F" w14:textId="77777777" w:rsidR="00E46582" w:rsidRDefault="00E46582" w:rsidP="00E46582">
      <w:pPr>
        <w:pStyle w:val="Bibliografa"/>
      </w:pPr>
      <w:r>
        <w:t>59</w:t>
      </w:r>
      <w:r>
        <w:tab/>
        <w:t xml:space="preserve">L. R. Boysen, W. Lucht, D. Gerten, V. Heck, T. M. Lenton and H. J. </w:t>
      </w:r>
      <w:proofErr w:type="spellStart"/>
      <w:r>
        <w:t>Schellnhuber</w:t>
      </w:r>
      <w:proofErr w:type="spellEnd"/>
      <w:r>
        <w:t xml:space="preserve">, </w:t>
      </w:r>
      <w:r>
        <w:rPr>
          <w:i/>
          <w:iCs/>
        </w:rPr>
        <w:t>Earths Future</w:t>
      </w:r>
      <w:r>
        <w:t xml:space="preserve">, 2017, </w:t>
      </w:r>
      <w:r>
        <w:rPr>
          <w:b/>
          <w:bCs/>
        </w:rPr>
        <w:t>5</w:t>
      </w:r>
      <w:r>
        <w:t>, 463–474.</w:t>
      </w:r>
    </w:p>
    <w:p w14:paraId="7F0B32BE" w14:textId="77777777" w:rsidR="00E46582" w:rsidRDefault="00E46582" w:rsidP="00E46582">
      <w:pPr>
        <w:pStyle w:val="Bibliografa"/>
      </w:pPr>
      <w:r>
        <w:t>60</w:t>
      </w:r>
      <w:r>
        <w:tab/>
        <w:t xml:space="preserve">S. V. Hanssen, V. </w:t>
      </w:r>
      <w:proofErr w:type="spellStart"/>
      <w:r>
        <w:t>Daioglou</w:t>
      </w:r>
      <w:proofErr w:type="spellEnd"/>
      <w:r>
        <w:t xml:space="preserve">, Z. J. N. Steinmann, J. C. </w:t>
      </w:r>
      <w:proofErr w:type="spellStart"/>
      <w:r>
        <w:t>Doelman</w:t>
      </w:r>
      <w:proofErr w:type="spellEnd"/>
      <w:r>
        <w:t xml:space="preserve">, D. P. Van Vuuren and M. A. J. </w:t>
      </w:r>
      <w:proofErr w:type="spellStart"/>
      <w:r>
        <w:t>Huijbregts</w:t>
      </w:r>
      <w:proofErr w:type="spellEnd"/>
      <w:r>
        <w:t xml:space="preserve">, </w:t>
      </w:r>
      <w:r>
        <w:rPr>
          <w:i/>
          <w:iCs/>
        </w:rPr>
        <w:t>Nat. Clim. Change</w:t>
      </w:r>
      <w:r>
        <w:t xml:space="preserve">, 2020, </w:t>
      </w:r>
      <w:r>
        <w:rPr>
          <w:b/>
          <w:bCs/>
        </w:rPr>
        <w:t>10</w:t>
      </w:r>
      <w:r>
        <w:t>, 1023–1029.</w:t>
      </w:r>
    </w:p>
    <w:p w14:paraId="6BA6A76B" w14:textId="77777777" w:rsidR="00E46582" w:rsidRDefault="00E46582" w:rsidP="00E46582">
      <w:pPr>
        <w:pStyle w:val="Bibliografa"/>
      </w:pPr>
      <w:r>
        <w:t>61</w:t>
      </w:r>
      <w:r>
        <w:tab/>
        <w:t xml:space="preserve">M. H. </w:t>
      </w:r>
      <w:proofErr w:type="spellStart"/>
      <w:r>
        <w:t>Gvein</w:t>
      </w:r>
      <w:proofErr w:type="spellEnd"/>
      <w:r>
        <w:t xml:space="preserve">, X. Hu, J. S. Næss, M. D. B. Watanabe, O. </w:t>
      </w:r>
      <w:proofErr w:type="spellStart"/>
      <w:r>
        <w:t>Cavalett</w:t>
      </w:r>
      <w:proofErr w:type="spellEnd"/>
      <w:r>
        <w:t xml:space="preserve">, M. </w:t>
      </w:r>
      <w:proofErr w:type="spellStart"/>
      <w:r>
        <w:t>Malbranque</w:t>
      </w:r>
      <w:proofErr w:type="spellEnd"/>
      <w:r>
        <w:t xml:space="preserve">, G. Kindermann and F. Cherubini, </w:t>
      </w:r>
      <w:proofErr w:type="spellStart"/>
      <w:r>
        <w:rPr>
          <w:i/>
          <w:iCs/>
        </w:rPr>
        <w:t>Commun</w:t>
      </w:r>
      <w:proofErr w:type="spellEnd"/>
      <w:r>
        <w:rPr>
          <w:i/>
          <w:iCs/>
        </w:rPr>
        <w:t>. Earth Environ.</w:t>
      </w:r>
      <w:r>
        <w:t xml:space="preserve">, 2023, </w:t>
      </w:r>
      <w:r>
        <w:rPr>
          <w:b/>
          <w:bCs/>
        </w:rPr>
        <w:t>4</w:t>
      </w:r>
      <w:r>
        <w:t>, 39.</w:t>
      </w:r>
    </w:p>
    <w:p w14:paraId="7371B292" w14:textId="77777777" w:rsidR="00E46582" w:rsidRDefault="00E46582" w:rsidP="00E46582">
      <w:pPr>
        <w:pStyle w:val="Bibliografa"/>
      </w:pPr>
      <w:r>
        <w:t>62</w:t>
      </w:r>
      <w:r>
        <w:tab/>
        <w:t xml:space="preserve">J. F. Peters, D. Iribarren and J. Dufour, </w:t>
      </w:r>
      <w:r>
        <w:rPr>
          <w:i/>
          <w:iCs/>
        </w:rPr>
        <w:t>Environ. Sci. Technol.</w:t>
      </w:r>
      <w:r>
        <w:t xml:space="preserve">, 2015, </w:t>
      </w:r>
      <w:r>
        <w:rPr>
          <w:b/>
          <w:bCs/>
        </w:rPr>
        <w:t>49</w:t>
      </w:r>
      <w:r>
        <w:t>, 5195–5202.</w:t>
      </w:r>
    </w:p>
    <w:p w14:paraId="6BDC913C" w14:textId="77777777" w:rsidR="00E46582" w:rsidRDefault="00E46582" w:rsidP="00E46582">
      <w:pPr>
        <w:pStyle w:val="Bibliografa"/>
      </w:pPr>
      <w:r>
        <w:t>63</w:t>
      </w:r>
      <w:r>
        <w:tab/>
        <w:t xml:space="preserve">W. Kuang, J. Liu, H. Tian, H. Shi, J. Dong, C. Song, X. Li, G. Du, Y. Hou, D. Lu, W. Chi, T. Pan, S. Zhang, R. Hamdi, Z. Yin, H. Yan, C. Yan, S. Wu, R. Li, J. Yang, Y. Dou, W. Wu, L. Liang, B. Xiang and S. Yang, </w:t>
      </w:r>
      <w:r>
        <w:rPr>
          <w:i/>
          <w:iCs/>
        </w:rPr>
        <w:t>Natl. Sci. Rev.</w:t>
      </w:r>
      <w:r>
        <w:t xml:space="preserve">, 2022, </w:t>
      </w:r>
      <w:r>
        <w:rPr>
          <w:b/>
          <w:bCs/>
        </w:rPr>
        <w:t>9</w:t>
      </w:r>
      <w:r>
        <w:t>, nwab091.</w:t>
      </w:r>
    </w:p>
    <w:p w14:paraId="07BC90EE" w14:textId="77777777" w:rsidR="00E46582" w:rsidRDefault="00E46582" w:rsidP="00E46582">
      <w:pPr>
        <w:pStyle w:val="Bibliografa"/>
      </w:pPr>
      <w:r>
        <w:t>64</w:t>
      </w:r>
      <w:r>
        <w:tab/>
        <w:t xml:space="preserve">Z. Qin, J. B. Dunn, H. Kwon, S. Mueller and M. M. Wander, </w:t>
      </w:r>
      <w:r>
        <w:rPr>
          <w:i/>
          <w:iCs/>
        </w:rPr>
        <w:t>GCB Bioenergy</w:t>
      </w:r>
      <w:r>
        <w:t xml:space="preserve">, 2016, </w:t>
      </w:r>
      <w:r>
        <w:rPr>
          <w:b/>
          <w:bCs/>
        </w:rPr>
        <w:t>8</w:t>
      </w:r>
      <w:r>
        <w:t>, 66–80.</w:t>
      </w:r>
    </w:p>
    <w:p w14:paraId="68109DC0" w14:textId="77777777" w:rsidR="00E46582" w:rsidRDefault="00E46582" w:rsidP="00E46582">
      <w:pPr>
        <w:pStyle w:val="Bibliografa"/>
      </w:pPr>
      <w:r>
        <w:t>65</w:t>
      </w:r>
      <w:r>
        <w:tab/>
        <w:t xml:space="preserve">J. Wang, W. Li, P. </w:t>
      </w:r>
      <w:proofErr w:type="spellStart"/>
      <w:r>
        <w:t>Ciais</w:t>
      </w:r>
      <w:proofErr w:type="spellEnd"/>
      <w:r>
        <w:t xml:space="preserve">, L. Z. X. Li, J. Chang, D. Goll, T. Gasser, X. Huang, N. Devaraju and O. Boucher, </w:t>
      </w:r>
      <w:r>
        <w:rPr>
          <w:i/>
          <w:iCs/>
        </w:rPr>
        <w:t xml:space="preserve">Nat. </w:t>
      </w:r>
      <w:proofErr w:type="spellStart"/>
      <w:r>
        <w:rPr>
          <w:i/>
          <w:iCs/>
        </w:rPr>
        <w:t>Commun</w:t>
      </w:r>
      <w:proofErr w:type="spellEnd"/>
      <w:r>
        <w:rPr>
          <w:i/>
          <w:iCs/>
        </w:rPr>
        <w:t>.</w:t>
      </w:r>
      <w:r>
        <w:t xml:space="preserve">, 2021, </w:t>
      </w:r>
      <w:r>
        <w:rPr>
          <w:b/>
          <w:bCs/>
        </w:rPr>
        <w:t>12</w:t>
      </w:r>
      <w:r>
        <w:t>, 7255.</w:t>
      </w:r>
    </w:p>
    <w:p w14:paraId="6080BDCB" w14:textId="77777777" w:rsidR="00E46582" w:rsidRDefault="00E46582" w:rsidP="00E46582">
      <w:pPr>
        <w:pStyle w:val="Bibliografa"/>
      </w:pPr>
      <w:r>
        <w:t>66</w:t>
      </w:r>
      <w:r>
        <w:tab/>
        <w:t xml:space="preserve">I. Melnikova, P. </w:t>
      </w:r>
      <w:proofErr w:type="spellStart"/>
      <w:r>
        <w:t>Ciais</w:t>
      </w:r>
      <w:proofErr w:type="spellEnd"/>
      <w:r>
        <w:t xml:space="preserve">, K. Tanaka, N. Vuichard and O. Boucher, </w:t>
      </w:r>
      <w:proofErr w:type="spellStart"/>
      <w:r>
        <w:rPr>
          <w:i/>
          <w:iCs/>
        </w:rPr>
        <w:t>Commun</w:t>
      </w:r>
      <w:proofErr w:type="spellEnd"/>
      <w:r>
        <w:rPr>
          <w:i/>
          <w:iCs/>
        </w:rPr>
        <w:t>. Earth Environ.</w:t>
      </w:r>
      <w:r>
        <w:t xml:space="preserve">, 2023, </w:t>
      </w:r>
      <w:r>
        <w:rPr>
          <w:b/>
          <w:bCs/>
        </w:rPr>
        <w:t>4</w:t>
      </w:r>
      <w:r>
        <w:t>, 230.</w:t>
      </w:r>
    </w:p>
    <w:p w14:paraId="45FDF5EE" w14:textId="77777777" w:rsidR="00E46582" w:rsidRDefault="00E46582" w:rsidP="00E46582">
      <w:pPr>
        <w:pStyle w:val="Bibliografa"/>
      </w:pPr>
      <w:r>
        <w:t>67</w:t>
      </w:r>
      <w:r>
        <w:tab/>
        <w:t xml:space="preserve">L. Ercoli, M. Mariotti, A. Masoni and E. Bonari, </w:t>
      </w:r>
      <w:r>
        <w:rPr>
          <w:i/>
          <w:iCs/>
        </w:rPr>
        <w:t>Field Crops Res.</w:t>
      </w:r>
      <w:r>
        <w:t xml:space="preserve">, 1999, </w:t>
      </w:r>
      <w:r>
        <w:rPr>
          <w:b/>
          <w:bCs/>
        </w:rPr>
        <w:t>63</w:t>
      </w:r>
      <w:r>
        <w:t>, 3–11.</w:t>
      </w:r>
    </w:p>
    <w:p w14:paraId="3AD0757E" w14:textId="77777777" w:rsidR="00E46582" w:rsidRDefault="00E46582" w:rsidP="00E46582">
      <w:pPr>
        <w:pStyle w:val="Bibliografa"/>
      </w:pPr>
      <w:r>
        <w:t>68</w:t>
      </w:r>
      <w:r>
        <w:tab/>
        <w:t xml:space="preserve">M. J. Stolarski, K. </w:t>
      </w:r>
      <w:proofErr w:type="spellStart"/>
      <w:r>
        <w:t>Warmiński</w:t>
      </w:r>
      <w:proofErr w:type="spellEnd"/>
      <w:r>
        <w:t xml:space="preserve"> and M. Krzyżaniak, </w:t>
      </w:r>
      <w:r>
        <w:rPr>
          <w:i/>
          <w:iCs/>
        </w:rPr>
        <w:t>Energies</w:t>
      </w:r>
      <w:r>
        <w:t xml:space="preserve">, 2020, </w:t>
      </w:r>
      <w:r>
        <w:rPr>
          <w:b/>
          <w:bCs/>
        </w:rPr>
        <w:t>13</w:t>
      </w:r>
      <w:r>
        <w:t>, 1495.</w:t>
      </w:r>
    </w:p>
    <w:p w14:paraId="6A3827EE" w14:textId="77777777" w:rsidR="00E46582" w:rsidRDefault="00E46582" w:rsidP="00E46582">
      <w:pPr>
        <w:pStyle w:val="Bibliografa"/>
      </w:pPr>
      <w:r>
        <w:t>69</w:t>
      </w:r>
      <w:r>
        <w:tab/>
        <w:t>Phyllis2 database., https://phyllis.nl/Browse/Standard/ECN-Phyllis#miscanthus [last accessed: 09.12.21], (accessed December 9, 2021).</w:t>
      </w:r>
    </w:p>
    <w:p w14:paraId="0760C868" w14:textId="77777777" w:rsidR="00E46582" w:rsidRDefault="00E46582" w:rsidP="00E46582">
      <w:pPr>
        <w:pStyle w:val="Bibliografa"/>
      </w:pPr>
      <w:r>
        <w:t>70</w:t>
      </w:r>
      <w:r>
        <w:tab/>
        <w:t xml:space="preserve">IEA GHG, </w:t>
      </w:r>
      <w:r>
        <w:rPr>
          <w:i/>
          <w:iCs/>
        </w:rPr>
        <w:t>Biomass CCS Study</w:t>
      </w:r>
      <w:r>
        <w:t>, 2009.</w:t>
      </w:r>
    </w:p>
    <w:p w14:paraId="26F4E352" w14:textId="77777777" w:rsidR="00E46582" w:rsidRDefault="00E46582" w:rsidP="00E46582">
      <w:pPr>
        <w:pStyle w:val="Bibliografa"/>
      </w:pPr>
      <w:r>
        <w:t>71</w:t>
      </w:r>
      <w:r>
        <w:tab/>
        <w:t xml:space="preserve">M. Bui, C. S. </w:t>
      </w:r>
      <w:proofErr w:type="spellStart"/>
      <w:r>
        <w:t>Adjiman</w:t>
      </w:r>
      <w:proofErr w:type="spellEnd"/>
      <w:r>
        <w:t xml:space="preserve">, A. </w:t>
      </w:r>
      <w:proofErr w:type="spellStart"/>
      <w:r>
        <w:t>Bardow</w:t>
      </w:r>
      <w:proofErr w:type="spellEnd"/>
      <w:r>
        <w:t xml:space="preserve">, E. J. Anthony, A. Boston, S. Brown, P. S. Fennell, S. Fuss, A. Galindo, L. A. Hackett, J. P. Hallett, H. J. Herzog, G. Jackson, J. Kemper, S. </w:t>
      </w:r>
      <w:proofErr w:type="spellStart"/>
      <w:r>
        <w:t>Krevor</w:t>
      </w:r>
      <w:proofErr w:type="spellEnd"/>
      <w:r>
        <w:t xml:space="preserve">, G. C. Maitland, M. Matuszewski, I. S. Metcalfe, C. Petit, G. </w:t>
      </w:r>
      <w:proofErr w:type="spellStart"/>
      <w:r>
        <w:t>Puxty</w:t>
      </w:r>
      <w:proofErr w:type="spellEnd"/>
      <w:r>
        <w:t xml:space="preserve">, J. Reimer, D. M. Reiner, E. S. </w:t>
      </w:r>
      <w:r>
        <w:lastRenderedPageBreak/>
        <w:t xml:space="preserve">Rubin, S. A. Scott, N. Shah, B. Smit, J. P. M. Trusler, P. Webley, J. Wilcox and N. Mac Dowell, </w:t>
      </w:r>
      <w:r>
        <w:rPr>
          <w:i/>
          <w:iCs/>
        </w:rPr>
        <w:t>Energy Environ. Sci.</w:t>
      </w:r>
      <w:r>
        <w:t xml:space="preserve">, 2018, </w:t>
      </w:r>
      <w:r>
        <w:rPr>
          <w:b/>
          <w:bCs/>
        </w:rPr>
        <w:t>11</w:t>
      </w:r>
      <w:r>
        <w:t>, 1062–1176.</w:t>
      </w:r>
    </w:p>
    <w:p w14:paraId="1BC19AB5" w14:textId="77777777" w:rsidR="00E46582" w:rsidRDefault="00E46582" w:rsidP="00E46582">
      <w:pPr>
        <w:pStyle w:val="Bibliografa"/>
      </w:pPr>
      <w:r>
        <w:t>72</w:t>
      </w:r>
      <w:r>
        <w:tab/>
        <w:t xml:space="preserve">A. B. Rao, E. S. Rubin and M. B. Berkenpas, </w:t>
      </w:r>
      <w:r>
        <w:rPr>
          <w:i/>
          <w:iCs/>
        </w:rPr>
        <w:t>An integrated modeling framework for carbon management technologies. Volume 1 – Technical Documentation: Amine-Based CO2 Capture and Storage Systems for Fossil Fuel Power Plant</w:t>
      </w:r>
      <w:r>
        <w:t>, 2004.</w:t>
      </w:r>
    </w:p>
    <w:p w14:paraId="6D58C407" w14:textId="77777777" w:rsidR="00E46582" w:rsidRDefault="00E46582" w:rsidP="00E46582">
      <w:pPr>
        <w:pStyle w:val="Bibliografa"/>
      </w:pPr>
      <w:r>
        <w:t>73</w:t>
      </w:r>
      <w:r>
        <w:tab/>
        <w:t xml:space="preserve">International Energy Agency Greenhouse Gas R&amp;D </w:t>
      </w:r>
      <w:proofErr w:type="spellStart"/>
      <w:r>
        <w:t>Programme</w:t>
      </w:r>
      <w:proofErr w:type="spellEnd"/>
      <w:r>
        <w:t xml:space="preserve">, </w:t>
      </w:r>
      <w:r>
        <w:rPr>
          <w:i/>
          <w:iCs/>
        </w:rPr>
        <w:t>Environmental Impact of Solvent Scrubbing of CO2</w:t>
      </w:r>
      <w:r>
        <w:t>, 2006.</w:t>
      </w:r>
    </w:p>
    <w:p w14:paraId="01653C2E" w14:textId="77777777" w:rsidR="00E46582" w:rsidRDefault="00E46582" w:rsidP="00E46582">
      <w:pPr>
        <w:pStyle w:val="Bibliografa"/>
      </w:pPr>
      <w:r>
        <w:t>74</w:t>
      </w:r>
      <w:r>
        <w:tab/>
        <w:t xml:space="preserve">H. Althaus, M. Chudacoff, R. </w:t>
      </w:r>
      <w:proofErr w:type="spellStart"/>
      <w:r>
        <w:t>Hischier</w:t>
      </w:r>
      <w:proofErr w:type="spellEnd"/>
      <w:r>
        <w:t xml:space="preserve">, N. Jungbluth, M. Osses, A. Primas and S. Hellweg, </w:t>
      </w:r>
      <w:r>
        <w:rPr>
          <w:i/>
          <w:iCs/>
        </w:rPr>
        <w:t>Life cycle inventories of chemicals. Data v2.0.</w:t>
      </w:r>
      <w:r>
        <w:t xml:space="preserve">, EMPA </w:t>
      </w:r>
      <w:proofErr w:type="spellStart"/>
      <w:r>
        <w:t>Dübendorf</w:t>
      </w:r>
      <w:proofErr w:type="spellEnd"/>
      <w:r>
        <w:t xml:space="preserve">, Swiss Centre for Life Cycle Inventories., </w:t>
      </w:r>
      <w:proofErr w:type="spellStart"/>
      <w:r>
        <w:t>Dübendorf</w:t>
      </w:r>
      <w:proofErr w:type="spellEnd"/>
      <w:r>
        <w:t>, 2007.</w:t>
      </w:r>
    </w:p>
    <w:p w14:paraId="23C25919" w14:textId="77777777" w:rsidR="00E46582" w:rsidRDefault="00E46582" w:rsidP="00E46582">
      <w:pPr>
        <w:pStyle w:val="Bibliografa"/>
      </w:pPr>
      <w:r>
        <w:t>75</w:t>
      </w:r>
      <w:r>
        <w:tab/>
        <w:t xml:space="preserve">H. Hagi, Y. Le </w:t>
      </w:r>
      <w:proofErr w:type="spellStart"/>
      <w:r>
        <w:t>Moullec</w:t>
      </w:r>
      <w:proofErr w:type="spellEnd"/>
      <w:r>
        <w:t xml:space="preserve">, M. Nemer and C. </w:t>
      </w:r>
      <w:proofErr w:type="spellStart"/>
      <w:r>
        <w:t>Bouallou</w:t>
      </w:r>
      <w:proofErr w:type="spellEnd"/>
      <w:r>
        <w:t xml:space="preserve">, </w:t>
      </w:r>
      <w:r>
        <w:rPr>
          <w:i/>
          <w:iCs/>
        </w:rPr>
        <w:t>Energy</w:t>
      </w:r>
      <w:r>
        <w:t xml:space="preserve">, 2014, </w:t>
      </w:r>
      <w:r>
        <w:rPr>
          <w:b/>
          <w:bCs/>
        </w:rPr>
        <w:t>69</w:t>
      </w:r>
      <w:r>
        <w:t>, 272–284.</w:t>
      </w:r>
    </w:p>
    <w:p w14:paraId="71E0EA3F" w14:textId="77777777" w:rsidR="00E46582" w:rsidRDefault="00E46582" w:rsidP="00E46582">
      <w:pPr>
        <w:pStyle w:val="Bibliografa"/>
      </w:pPr>
      <w:r>
        <w:t>76</w:t>
      </w:r>
      <w:r>
        <w:tab/>
        <w:t xml:space="preserve">C. C. </w:t>
      </w:r>
      <w:proofErr w:type="spellStart"/>
      <w:r>
        <w:t>Cormos</w:t>
      </w:r>
      <w:proofErr w:type="spellEnd"/>
      <w:r>
        <w:t xml:space="preserve">, </w:t>
      </w:r>
      <w:r>
        <w:rPr>
          <w:i/>
          <w:iCs/>
        </w:rPr>
        <w:t>Fuel</w:t>
      </w:r>
      <w:r>
        <w:t xml:space="preserve">, 2016, </w:t>
      </w:r>
      <w:r>
        <w:rPr>
          <w:b/>
          <w:bCs/>
        </w:rPr>
        <w:t>169</w:t>
      </w:r>
      <w:r>
        <w:t>, 50–57.</w:t>
      </w:r>
    </w:p>
    <w:p w14:paraId="5C877A3E" w14:textId="77777777" w:rsidR="00E46582" w:rsidRDefault="00E46582" w:rsidP="00E46582">
      <w:pPr>
        <w:pStyle w:val="Bibliografa"/>
      </w:pPr>
      <w:r>
        <w:t>77</w:t>
      </w:r>
      <w:r>
        <w:tab/>
        <w:t xml:space="preserve">X. Lin, H. Song and Y. Liu, </w:t>
      </w:r>
      <w:r>
        <w:rPr>
          <w:i/>
          <w:iCs/>
        </w:rPr>
        <w:t>Chem. Eng. Res. Des.</w:t>
      </w:r>
      <w:r>
        <w:t xml:space="preserve">, 2022, </w:t>
      </w:r>
      <w:r>
        <w:rPr>
          <w:b/>
          <w:bCs/>
        </w:rPr>
        <w:t>186</w:t>
      </w:r>
      <w:r>
        <w:t>, 568–586.</w:t>
      </w:r>
    </w:p>
    <w:p w14:paraId="54698ECA" w14:textId="77777777" w:rsidR="00E46582" w:rsidRDefault="00E46582" w:rsidP="00E46582">
      <w:pPr>
        <w:pStyle w:val="Bibliografa"/>
      </w:pPr>
      <w:r>
        <w:t>78</w:t>
      </w:r>
      <w:r>
        <w:tab/>
        <w:t xml:space="preserve">P. Brandl, M. Bui, J. P. Hallett and N. Mac Dowell, </w:t>
      </w:r>
      <w:r>
        <w:rPr>
          <w:i/>
          <w:iCs/>
        </w:rPr>
        <w:t xml:space="preserve">Int. J. </w:t>
      </w:r>
      <w:proofErr w:type="spellStart"/>
      <w:r>
        <w:rPr>
          <w:i/>
          <w:iCs/>
        </w:rPr>
        <w:t>Greenh</w:t>
      </w:r>
      <w:proofErr w:type="spellEnd"/>
      <w:r>
        <w:rPr>
          <w:i/>
          <w:iCs/>
        </w:rPr>
        <w:t>. Gas Control</w:t>
      </w:r>
      <w:r>
        <w:t xml:space="preserve">, 2021, </w:t>
      </w:r>
      <w:r>
        <w:rPr>
          <w:b/>
          <w:bCs/>
        </w:rPr>
        <w:t>105</w:t>
      </w:r>
      <w:r>
        <w:t>, 103239.</w:t>
      </w:r>
    </w:p>
    <w:p w14:paraId="7097B54B" w14:textId="77777777" w:rsidR="00E46582" w:rsidRDefault="00E46582" w:rsidP="00E46582">
      <w:pPr>
        <w:pStyle w:val="Bibliografa"/>
      </w:pPr>
      <w:r>
        <w:t>79</w:t>
      </w:r>
      <w:r>
        <w:tab/>
        <w:t xml:space="preserve">IEA GHG, </w:t>
      </w:r>
      <w:r>
        <w:rPr>
          <w:i/>
          <w:iCs/>
        </w:rPr>
        <w:t>Oxy-Combustion Turbine Power Plants</w:t>
      </w:r>
      <w:r>
        <w:t>, 2015.</w:t>
      </w:r>
    </w:p>
    <w:p w14:paraId="0712FD41" w14:textId="77777777" w:rsidR="00E46582" w:rsidRDefault="00E46582" w:rsidP="00E46582">
      <w:pPr>
        <w:pStyle w:val="Bibliografa"/>
      </w:pPr>
      <w:r>
        <w:t>80</w:t>
      </w:r>
      <w:r>
        <w:tab/>
        <w:t xml:space="preserve">D. Schlissel and A. Juhn, </w:t>
      </w:r>
      <w:r>
        <w:rPr>
          <w:i/>
          <w:iCs/>
        </w:rPr>
        <w:t>Blue Hydrogen: Not Clean, Not Low Carbon, Not a Solution</w:t>
      </w:r>
      <w:r>
        <w:t>, Institute for Energy Economics and Financial Analysis.</w:t>
      </w:r>
    </w:p>
    <w:p w14:paraId="7E8A5597" w14:textId="77777777" w:rsidR="00E46582" w:rsidRDefault="00E46582" w:rsidP="00E46582">
      <w:pPr>
        <w:pStyle w:val="Bibliografa"/>
      </w:pPr>
      <w:r>
        <w:t>81</w:t>
      </w:r>
      <w:r>
        <w:tab/>
        <w:t xml:space="preserve">A. </w:t>
      </w:r>
      <w:proofErr w:type="spellStart"/>
      <w:r>
        <w:t>Susmozas</w:t>
      </w:r>
      <w:proofErr w:type="spellEnd"/>
      <w:r>
        <w:t>, D. Iribarren, P. Zapp, J. Linβ</w:t>
      </w:r>
      <w:proofErr w:type="spellStart"/>
      <w:r>
        <w:t>en</w:t>
      </w:r>
      <w:proofErr w:type="spellEnd"/>
      <w:r>
        <w:t xml:space="preserve"> and J. Dufour, </w:t>
      </w:r>
      <w:r>
        <w:rPr>
          <w:i/>
          <w:iCs/>
        </w:rPr>
        <w:t xml:space="preserve">Int. J. </w:t>
      </w:r>
      <w:proofErr w:type="spellStart"/>
      <w:r>
        <w:rPr>
          <w:i/>
          <w:iCs/>
        </w:rPr>
        <w:t>Hydrog</w:t>
      </w:r>
      <w:proofErr w:type="spellEnd"/>
      <w:r>
        <w:rPr>
          <w:i/>
          <w:iCs/>
        </w:rPr>
        <w:t>. Energy</w:t>
      </w:r>
      <w:r>
        <w:t xml:space="preserve">, 2016, </w:t>
      </w:r>
      <w:r>
        <w:rPr>
          <w:b/>
          <w:bCs/>
        </w:rPr>
        <w:t>41</w:t>
      </w:r>
      <w:r>
        <w:t>, 19484–19491.</w:t>
      </w:r>
    </w:p>
    <w:p w14:paraId="1C027DCA" w14:textId="77777777" w:rsidR="00E46582" w:rsidRDefault="00E46582" w:rsidP="00E46582">
      <w:pPr>
        <w:pStyle w:val="Bibliografa"/>
      </w:pPr>
      <w:r>
        <w:t>82</w:t>
      </w:r>
      <w:r>
        <w:tab/>
        <w:t xml:space="preserve">B. Smith R J, M. Loganathan and M. S. Shantha, </w:t>
      </w:r>
      <w:r>
        <w:rPr>
          <w:i/>
          <w:iCs/>
        </w:rPr>
        <w:t>Int. J. Chem. React. Eng.</w:t>
      </w:r>
      <w:r>
        <w:t xml:space="preserve">, 2010, </w:t>
      </w:r>
      <w:r>
        <w:rPr>
          <w:b/>
          <w:bCs/>
        </w:rPr>
        <w:t>8</w:t>
      </w:r>
      <w:r>
        <w:t>, 1.</w:t>
      </w:r>
    </w:p>
    <w:p w14:paraId="26A072A5" w14:textId="77777777" w:rsidR="00E46582" w:rsidRDefault="00E46582" w:rsidP="00E46582">
      <w:pPr>
        <w:pStyle w:val="Bibliografa"/>
      </w:pPr>
      <w:r>
        <w:t>83</w:t>
      </w:r>
      <w:r>
        <w:tab/>
        <w:t xml:space="preserve">T. Brinkmann, J. Pohlmann, M. Bram, L. Zhao, A. Tota, N. Jordan Escalona, M. de Graaff and D. Stolten, </w:t>
      </w:r>
      <w:r>
        <w:rPr>
          <w:i/>
          <w:iCs/>
        </w:rPr>
        <w:t xml:space="preserve">Int. J. </w:t>
      </w:r>
      <w:proofErr w:type="spellStart"/>
      <w:r>
        <w:rPr>
          <w:i/>
          <w:iCs/>
        </w:rPr>
        <w:t>Greenh</w:t>
      </w:r>
      <w:proofErr w:type="spellEnd"/>
      <w:r>
        <w:rPr>
          <w:i/>
          <w:iCs/>
        </w:rPr>
        <w:t>. Gas Control</w:t>
      </w:r>
      <w:r>
        <w:t xml:space="preserve">, 2015, </w:t>
      </w:r>
      <w:r>
        <w:rPr>
          <w:b/>
          <w:bCs/>
        </w:rPr>
        <w:t>39</w:t>
      </w:r>
      <w:r>
        <w:t>, 194–204.</w:t>
      </w:r>
    </w:p>
    <w:p w14:paraId="745AE99F" w14:textId="77777777" w:rsidR="00E46582" w:rsidRDefault="00E46582" w:rsidP="00E46582">
      <w:pPr>
        <w:pStyle w:val="Bibliografa"/>
      </w:pPr>
      <w:r>
        <w:t>84</w:t>
      </w:r>
      <w:r>
        <w:tab/>
        <w:t xml:space="preserve">M. M. Rahman, C. Abetz, S. </w:t>
      </w:r>
      <w:proofErr w:type="spellStart"/>
      <w:r>
        <w:t>Shishatskiy</w:t>
      </w:r>
      <w:proofErr w:type="spellEnd"/>
      <w:r>
        <w:t xml:space="preserve">, J. Martin, A. J. Müller and V. Abetz, </w:t>
      </w:r>
      <w:r>
        <w:rPr>
          <w:i/>
          <w:iCs/>
        </w:rPr>
        <w:t>ACS Appl. Mater. Interfaces</w:t>
      </w:r>
      <w:r>
        <w:t xml:space="preserve">, 2018, </w:t>
      </w:r>
      <w:r>
        <w:rPr>
          <w:b/>
          <w:bCs/>
        </w:rPr>
        <w:t>10</w:t>
      </w:r>
      <w:r>
        <w:t>, 26733–26744.</w:t>
      </w:r>
    </w:p>
    <w:p w14:paraId="5EC1761D" w14:textId="77777777" w:rsidR="00E46582" w:rsidRDefault="00E46582" w:rsidP="00E46582">
      <w:pPr>
        <w:pStyle w:val="Bibliografa"/>
      </w:pPr>
      <w:r>
        <w:t>85</w:t>
      </w:r>
      <w:r>
        <w:tab/>
        <w:t xml:space="preserve">J. </w:t>
      </w:r>
      <w:proofErr w:type="spellStart"/>
      <w:r>
        <w:t>Lillepärg</w:t>
      </w:r>
      <w:proofErr w:type="spellEnd"/>
      <w:r>
        <w:t xml:space="preserve">, P. </w:t>
      </w:r>
      <w:proofErr w:type="spellStart"/>
      <w:r>
        <w:t>Georgopanos</w:t>
      </w:r>
      <w:proofErr w:type="spellEnd"/>
      <w:r>
        <w:t xml:space="preserve"> and S. </w:t>
      </w:r>
      <w:proofErr w:type="spellStart"/>
      <w:r>
        <w:t>Shishatskiy</w:t>
      </w:r>
      <w:proofErr w:type="spellEnd"/>
      <w:r>
        <w:t xml:space="preserve">, </w:t>
      </w:r>
      <w:r>
        <w:rPr>
          <w:i/>
          <w:iCs/>
        </w:rPr>
        <w:t xml:space="preserve">J. </w:t>
      </w:r>
      <w:proofErr w:type="spellStart"/>
      <w:r>
        <w:rPr>
          <w:i/>
          <w:iCs/>
        </w:rPr>
        <w:t>Membr</w:t>
      </w:r>
      <w:proofErr w:type="spellEnd"/>
      <w:r>
        <w:rPr>
          <w:i/>
          <w:iCs/>
        </w:rPr>
        <w:t>. Sci.</w:t>
      </w:r>
      <w:r>
        <w:t xml:space="preserve">, 2014, </w:t>
      </w:r>
      <w:r>
        <w:rPr>
          <w:b/>
          <w:bCs/>
        </w:rPr>
        <w:t>467</w:t>
      </w:r>
      <w:r>
        <w:t>, 269–278.</w:t>
      </w:r>
    </w:p>
    <w:p w14:paraId="3EDD3264" w14:textId="77777777" w:rsidR="00E46582" w:rsidRDefault="00E46582" w:rsidP="00E46582">
      <w:pPr>
        <w:pStyle w:val="Bibliografa"/>
      </w:pPr>
      <w:r>
        <w:t>86</w:t>
      </w:r>
      <w:r>
        <w:tab/>
        <w:t xml:space="preserve">M. C. </w:t>
      </w:r>
      <w:proofErr w:type="spellStart"/>
      <w:r>
        <w:t>Braakhekke</w:t>
      </w:r>
      <w:proofErr w:type="spellEnd"/>
      <w:r>
        <w:t xml:space="preserve">, J. C. </w:t>
      </w:r>
      <w:proofErr w:type="spellStart"/>
      <w:r>
        <w:t>Doelman</w:t>
      </w:r>
      <w:proofErr w:type="spellEnd"/>
      <w:r>
        <w:t xml:space="preserve">, P. Baas, C. Müller, S. </w:t>
      </w:r>
      <w:proofErr w:type="spellStart"/>
      <w:r>
        <w:t>Schaphoff</w:t>
      </w:r>
      <w:proofErr w:type="spellEnd"/>
      <w:r>
        <w:t xml:space="preserve">, E. </w:t>
      </w:r>
      <w:proofErr w:type="spellStart"/>
      <w:r>
        <w:t>Stehfest</w:t>
      </w:r>
      <w:proofErr w:type="spellEnd"/>
      <w:r>
        <w:t xml:space="preserve"> and D. P. Van Vuuren, </w:t>
      </w:r>
      <w:r>
        <w:rPr>
          <w:i/>
          <w:iCs/>
        </w:rPr>
        <w:t>Earth Syst. Dyn.</w:t>
      </w:r>
      <w:r>
        <w:t xml:space="preserve">, 2019, </w:t>
      </w:r>
      <w:r>
        <w:rPr>
          <w:b/>
          <w:bCs/>
        </w:rPr>
        <w:t>10</w:t>
      </w:r>
      <w:r>
        <w:t>, 617–630.</w:t>
      </w:r>
    </w:p>
    <w:p w14:paraId="46E309D5" w14:textId="77777777" w:rsidR="00E46582" w:rsidRDefault="00E46582" w:rsidP="00E46582">
      <w:pPr>
        <w:pStyle w:val="Bibliografa"/>
      </w:pPr>
      <w:r>
        <w:t>87</w:t>
      </w:r>
      <w:r>
        <w:tab/>
        <w:t xml:space="preserve">H. </w:t>
      </w:r>
      <w:proofErr w:type="spellStart"/>
      <w:r>
        <w:t>Aalde</w:t>
      </w:r>
      <w:proofErr w:type="spellEnd"/>
      <w:r>
        <w:t xml:space="preserve">, P. Gonzalez, M. </w:t>
      </w:r>
      <w:proofErr w:type="spellStart"/>
      <w:r>
        <w:t>Gytarsky</w:t>
      </w:r>
      <w:proofErr w:type="spellEnd"/>
      <w:r>
        <w:t xml:space="preserve">, T. Krug, W. A. Kurz, S. Ogle, J. Raison, D. Schoene, N. H. Ravindranath, N. G. Elhassan, L. S. Heath, N. Higuchi, S. </w:t>
      </w:r>
      <w:proofErr w:type="spellStart"/>
      <w:r>
        <w:t>Kainja</w:t>
      </w:r>
      <w:proofErr w:type="spellEnd"/>
      <w:r>
        <w:t xml:space="preserve">, M. Matsumoto, M. J. S. Sánchez and Z. Somogyi, </w:t>
      </w:r>
      <w:r>
        <w:rPr>
          <w:i/>
          <w:iCs/>
        </w:rPr>
        <w:t>Chapter 4. Forest land. In: IPCC Guidelines for National Greenhouse Gas Inventories</w:t>
      </w:r>
      <w:r>
        <w:t>, 2006.</w:t>
      </w:r>
    </w:p>
    <w:p w14:paraId="0EFD129D" w14:textId="77777777" w:rsidR="00E46582" w:rsidRDefault="00E46582" w:rsidP="00E46582">
      <w:pPr>
        <w:pStyle w:val="Bibliografa"/>
      </w:pPr>
      <w:r>
        <w:t>88</w:t>
      </w:r>
      <w:r>
        <w:tab/>
        <w:t xml:space="preserve">H. </w:t>
      </w:r>
      <w:proofErr w:type="spellStart"/>
      <w:r>
        <w:t>Aalde</w:t>
      </w:r>
      <w:proofErr w:type="spellEnd"/>
      <w:r>
        <w:t xml:space="preserve">, P. Gonzalez, M. </w:t>
      </w:r>
      <w:proofErr w:type="spellStart"/>
      <w:r>
        <w:t>Gytarsky</w:t>
      </w:r>
      <w:proofErr w:type="spellEnd"/>
      <w:r>
        <w:t xml:space="preserve">, T. Krug, W. A. Kurz, R. D. </w:t>
      </w:r>
      <w:proofErr w:type="spellStart"/>
      <w:r>
        <w:t>Lasco</w:t>
      </w:r>
      <w:proofErr w:type="spellEnd"/>
      <w:r>
        <w:t xml:space="preserve">, D. L. Martino, B. G. McConkey, S. Ogle, K. Paustian, J. Raison, N. H. Ravindranath, D. Schoene, P. Smith, Z. Somogyi, A. A. Van and L. </w:t>
      </w:r>
      <w:proofErr w:type="spellStart"/>
      <w:r>
        <w:t>Verchot</w:t>
      </w:r>
      <w:proofErr w:type="spellEnd"/>
      <w:r>
        <w:t xml:space="preserve">, </w:t>
      </w:r>
      <w:r>
        <w:rPr>
          <w:i/>
          <w:iCs/>
        </w:rPr>
        <w:t>Chapter 2. Generic methodologies applicable to multiple land-use categories. In: IPCC Guidelines for National Greenhouse Gas Inventories</w:t>
      </w:r>
      <w:r>
        <w:t>, 2006.</w:t>
      </w:r>
    </w:p>
    <w:p w14:paraId="1DBFC989" w14:textId="77777777" w:rsidR="00E46582" w:rsidRDefault="00E46582" w:rsidP="00E46582">
      <w:pPr>
        <w:pStyle w:val="Bibliografa"/>
      </w:pPr>
      <w:r>
        <w:t>89</w:t>
      </w:r>
      <w:r>
        <w:tab/>
        <w:t xml:space="preserve">J. S. Powers, M. D. Corre, T. E. Twine and E. Veldkamp, </w:t>
      </w:r>
      <w:r>
        <w:rPr>
          <w:i/>
          <w:iCs/>
        </w:rPr>
        <w:t>Proc. Natl. Acad. Sci. U. S. A.</w:t>
      </w:r>
      <w:r>
        <w:t xml:space="preserve">, 2011, </w:t>
      </w:r>
      <w:r>
        <w:rPr>
          <w:b/>
          <w:bCs/>
        </w:rPr>
        <w:t>108</w:t>
      </w:r>
      <w:r>
        <w:t>, 6318–6322.</w:t>
      </w:r>
    </w:p>
    <w:p w14:paraId="61A33E98" w14:textId="77777777" w:rsidR="00E46582" w:rsidRDefault="00E46582" w:rsidP="00E46582">
      <w:pPr>
        <w:pStyle w:val="Bibliografa"/>
      </w:pPr>
      <w:r>
        <w:t>90</w:t>
      </w:r>
      <w:r>
        <w:tab/>
        <w:t xml:space="preserve">United Nations Environmental </w:t>
      </w:r>
      <w:proofErr w:type="spellStart"/>
      <w:r>
        <w:t>Programme</w:t>
      </w:r>
      <w:proofErr w:type="spellEnd"/>
      <w:r>
        <w:t xml:space="preserve">, </w:t>
      </w:r>
      <w:r>
        <w:rPr>
          <w:i/>
          <w:iCs/>
        </w:rPr>
        <w:t>Spreading like wildfire - The rising threat of extraordinary landscape fires</w:t>
      </w:r>
      <w:r>
        <w:t>, Nairobi, 2022.</w:t>
      </w:r>
    </w:p>
    <w:p w14:paraId="4EA54567" w14:textId="77777777" w:rsidR="00E46582" w:rsidRDefault="00E46582" w:rsidP="00E46582">
      <w:pPr>
        <w:pStyle w:val="Bibliografa"/>
      </w:pPr>
      <w:r>
        <w:t>91</w:t>
      </w:r>
      <w:r>
        <w:tab/>
        <w:t xml:space="preserve">Food and Agriculture Organization of the United Nations, </w:t>
      </w:r>
      <w:r>
        <w:rPr>
          <w:i/>
          <w:iCs/>
        </w:rPr>
        <w:t>Global Forests Resources Assessment 2020: Main report</w:t>
      </w:r>
      <w:r>
        <w:t>, Rome, 2020.</w:t>
      </w:r>
    </w:p>
    <w:p w14:paraId="356467BF" w14:textId="77777777" w:rsidR="00E46582" w:rsidRDefault="00E46582" w:rsidP="00E46582">
      <w:pPr>
        <w:pStyle w:val="Bibliografa"/>
      </w:pPr>
      <w:r>
        <w:t>92</w:t>
      </w:r>
      <w:r>
        <w:tab/>
        <w:t xml:space="preserve">European Environment Agency, in </w:t>
      </w:r>
      <w:r>
        <w:rPr>
          <w:i/>
          <w:iCs/>
        </w:rPr>
        <w:t>EMEP/EEA air pollutant emission inventory guidebook 2023</w:t>
      </w:r>
      <w:r>
        <w:t>, 2023.</w:t>
      </w:r>
    </w:p>
    <w:p w14:paraId="67ECD05E" w14:textId="77777777" w:rsidR="00E46582" w:rsidRDefault="00E46582" w:rsidP="00E46582">
      <w:pPr>
        <w:pStyle w:val="Bibliografa"/>
      </w:pPr>
      <w:r>
        <w:t>93</w:t>
      </w:r>
      <w:r>
        <w:tab/>
        <w:t xml:space="preserve">N. Hasler, C. A. Williams, V. C. Denney, P. W. Ellis, S. Shrestha, D. E. Terasaki Hart, N. H. Wolff, S. Yeo, T. W. Crowther, L. K. Werden and S. C. Cook-Patton, </w:t>
      </w:r>
      <w:r>
        <w:rPr>
          <w:i/>
          <w:iCs/>
        </w:rPr>
        <w:t xml:space="preserve">Nat. </w:t>
      </w:r>
      <w:proofErr w:type="spellStart"/>
      <w:r>
        <w:rPr>
          <w:i/>
          <w:iCs/>
        </w:rPr>
        <w:t>Commun</w:t>
      </w:r>
      <w:proofErr w:type="spellEnd"/>
      <w:r>
        <w:rPr>
          <w:i/>
          <w:iCs/>
        </w:rPr>
        <w:t>.</w:t>
      </w:r>
      <w:r>
        <w:t xml:space="preserve">, 2024, </w:t>
      </w:r>
      <w:r>
        <w:rPr>
          <w:b/>
          <w:bCs/>
        </w:rPr>
        <w:t>15</w:t>
      </w:r>
      <w:r>
        <w:t>, 2275.</w:t>
      </w:r>
    </w:p>
    <w:p w14:paraId="03029904" w14:textId="77777777" w:rsidR="00E46582" w:rsidRDefault="00E46582" w:rsidP="00E46582">
      <w:pPr>
        <w:pStyle w:val="Bibliografa"/>
      </w:pPr>
      <w:r>
        <w:t>94</w:t>
      </w:r>
      <w:r>
        <w:tab/>
        <w:t xml:space="preserve">D. Woolf, J. Lehmann, S. Ogle, A. W. Kishimoto-Mo, B. McConkey and J. </w:t>
      </w:r>
      <w:proofErr w:type="spellStart"/>
      <w:r>
        <w:t>Baldock</w:t>
      </w:r>
      <w:proofErr w:type="spellEnd"/>
      <w:r>
        <w:t xml:space="preserve">, </w:t>
      </w:r>
      <w:r>
        <w:rPr>
          <w:i/>
          <w:iCs/>
        </w:rPr>
        <w:t>Environ. Sci. Technol.</w:t>
      </w:r>
      <w:r>
        <w:t xml:space="preserve">, 2021, </w:t>
      </w:r>
      <w:r>
        <w:rPr>
          <w:b/>
          <w:bCs/>
        </w:rPr>
        <w:t>55</w:t>
      </w:r>
      <w:r>
        <w:t>, 14795–14805.</w:t>
      </w:r>
    </w:p>
    <w:p w14:paraId="15B4F364" w14:textId="77777777" w:rsidR="00E46582" w:rsidRDefault="00E46582" w:rsidP="00E46582">
      <w:pPr>
        <w:pStyle w:val="Bibliografa"/>
      </w:pPr>
      <w:r>
        <w:t>95</w:t>
      </w:r>
      <w:r>
        <w:tab/>
        <w:t>L. Ye, M. Camps-</w:t>
      </w:r>
      <w:proofErr w:type="spellStart"/>
      <w:r>
        <w:t>Arbestain</w:t>
      </w:r>
      <w:proofErr w:type="spellEnd"/>
      <w:r>
        <w:t xml:space="preserve">, Q. Shen, J. Lehmann, B. Singh and M. Sabir, </w:t>
      </w:r>
      <w:r>
        <w:rPr>
          <w:i/>
          <w:iCs/>
        </w:rPr>
        <w:t>Soil Use Manag.</w:t>
      </w:r>
      <w:r>
        <w:t xml:space="preserve">, 2020, </w:t>
      </w:r>
      <w:r>
        <w:rPr>
          <w:b/>
          <w:bCs/>
        </w:rPr>
        <w:t>36</w:t>
      </w:r>
      <w:r>
        <w:t>, 2–18.</w:t>
      </w:r>
    </w:p>
    <w:p w14:paraId="59E9FB00" w14:textId="77777777" w:rsidR="00E46582" w:rsidRDefault="00E46582" w:rsidP="00E46582">
      <w:pPr>
        <w:pStyle w:val="Bibliografa"/>
      </w:pPr>
      <w:r w:rsidRPr="00E46582">
        <w:rPr>
          <w:lang w:val="es-ES"/>
        </w:rPr>
        <w:lastRenderedPageBreak/>
        <w:t>96</w:t>
      </w:r>
      <w:r w:rsidRPr="00E46582">
        <w:rPr>
          <w:lang w:val="es-ES"/>
        </w:rPr>
        <w:tab/>
        <w:t xml:space="preserve">L. Genesio, F. Miglietta, E. Lugato, S. Baronti, M. Pieri and F. P. Vaccari, </w:t>
      </w:r>
      <w:r w:rsidRPr="00E46582">
        <w:rPr>
          <w:i/>
          <w:iCs/>
          <w:lang w:val="es-ES"/>
        </w:rPr>
        <w:t xml:space="preserve">Environ. </w:t>
      </w:r>
      <w:r>
        <w:rPr>
          <w:i/>
          <w:iCs/>
        </w:rPr>
        <w:t>Res. Lett.</w:t>
      </w:r>
      <w:r>
        <w:t xml:space="preserve">, 2012, </w:t>
      </w:r>
      <w:r>
        <w:rPr>
          <w:b/>
          <w:bCs/>
        </w:rPr>
        <w:t>7</w:t>
      </w:r>
      <w:r>
        <w:t>, 014025.</w:t>
      </w:r>
    </w:p>
    <w:p w14:paraId="004F1E46" w14:textId="77777777" w:rsidR="00E46582" w:rsidRDefault="00E46582" w:rsidP="00E46582">
      <w:pPr>
        <w:pStyle w:val="Bibliografa"/>
      </w:pPr>
      <w:r>
        <w:t>97</w:t>
      </w:r>
      <w:r>
        <w:tab/>
        <w:t xml:space="preserve">S. Meyer, R. M. Bright, D. Fischer, H. Schulz and B. Glaser, </w:t>
      </w:r>
      <w:r>
        <w:rPr>
          <w:i/>
          <w:iCs/>
        </w:rPr>
        <w:t>Environ. Sci. Technol.</w:t>
      </w:r>
      <w:r>
        <w:t xml:space="preserve">, 2012, </w:t>
      </w:r>
      <w:r>
        <w:rPr>
          <w:b/>
          <w:bCs/>
        </w:rPr>
        <w:t>46</w:t>
      </w:r>
      <w:r>
        <w:t>, 12726–12734.</w:t>
      </w:r>
    </w:p>
    <w:p w14:paraId="76490CCA" w14:textId="77777777" w:rsidR="00E46582" w:rsidRDefault="00E46582" w:rsidP="00E46582">
      <w:pPr>
        <w:pStyle w:val="Bibliografa"/>
      </w:pPr>
      <w:r>
        <w:t>98</w:t>
      </w:r>
      <w:r>
        <w:tab/>
        <w:t xml:space="preserve">Time-explicit LCA with </w:t>
      </w:r>
      <w:proofErr w:type="spellStart"/>
      <w:r>
        <w:t>bw_timex</w:t>
      </w:r>
      <w:proofErr w:type="spellEnd"/>
      <w:r>
        <w:t xml:space="preserve"> , https://docs.brightway.dev/projects/bw-timex/en/latest/index.html, (accessed August 12, 2024).</w:t>
      </w:r>
    </w:p>
    <w:p w14:paraId="6B7C8569" w14:textId="77777777" w:rsidR="00E46582" w:rsidRDefault="00E46582" w:rsidP="00E46582">
      <w:pPr>
        <w:pStyle w:val="Bibliografa"/>
      </w:pPr>
      <w:r>
        <w:t>99</w:t>
      </w:r>
      <w:r>
        <w:tab/>
        <w:t xml:space="preserve">G. </w:t>
      </w:r>
      <w:proofErr w:type="spellStart"/>
      <w:r>
        <w:t>Cardellini</w:t>
      </w:r>
      <w:proofErr w:type="spellEnd"/>
      <w:r>
        <w:t xml:space="preserve">, C. L. Mutel, E. Vial and B. Muys, </w:t>
      </w:r>
      <w:r>
        <w:rPr>
          <w:i/>
          <w:iCs/>
        </w:rPr>
        <w:t>Sci. Total Environ.</w:t>
      </w:r>
      <w:r>
        <w:t xml:space="preserve">, 2018, </w:t>
      </w:r>
      <w:r>
        <w:rPr>
          <w:b/>
          <w:bCs/>
        </w:rPr>
        <w:t>645</w:t>
      </w:r>
      <w:r>
        <w:t>, 585–595.</w:t>
      </w:r>
    </w:p>
    <w:p w14:paraId="23170841" w14:textId="77777777" w:rsidR="00E46582" w:rsidRDefault="00E46582" w:rsidP="00E46582">
      <w:pPr>
        <w:pStyle w:val="Bibliografa"/>
      </w:pPr>
      <w:r>
        <w:t>100</w:t>
      </w:r>
      <w:r>
        <w:tab/>
        <w:t xml:space="preserve">Y. </w:t>
      </w:r>
      <w:proofErr w:type="spellStart"/>
      <w:r>
        <w:t>Pigné</w:t>
      </w:r>
      <w:proofErr w:type="spellEnd"/>
      <w:r>
        <w:t xml:space="preserve">, T. N. Gutiérrez, T. </w:t>
      </w:r>
      <w:proofErr w:type="spellStart"/>
      <w:r>
        <w:t>Gibon</w:t>
      </w:r>
      <w:proofErr w:type="spellEnd"/>
      <w:r>
        <w:t xml:space="preserve">, T. Schaubroeck, E. Popovici, A. H. </w:t>
      </w:r>
      <w:proofErr w:type="spellStart"/>
      <w:r>
        <w:t>Shimako</w:t>
      </w:r>
      <w:proofErr w:type="spellEnd"/>
      <w:r>
        <w:t xml:space="preserve">, E. Benetto and L. </w:t>
      </w:r>
      <w:proofErr w:type="spellStart"/>
      <w:r>
        <w:t>Tiruta</w:t>
      </w:r>
      <w:proofErr w:type="spellEnd"/>
      <w:r>
        <w:t xml:space="preserve">-Barna, </w:t>
      </w:r>
      <w:r>
        <w:rPr>
          <w:i/>
          <w:iCs/>
        </w:rPr>
        <w:t>Int. J. Life Cycle Assess.</w:t>
      </w:r>
      <w:r>
        <w:t xml:space="preserve">, 2020, </w:t>
      </w:r>
      <w:r>
        <w:rPr>
          <w:b/>
          <w:bCs/>
        </w:rPr>
        <w:t>25</w:t>
      </w:r>
      <w:r>
        <w:t>, 267–279.</w:t>
      </w:r>
    </w:p>
    <w:p w14:paraId="45A469DF" w14:textId="77777777" w:rsidR="00E46582" w:rsidRDefault="00E46582" w:rsidP="00E46582">
      <w:pPr>
        <w:pStyle w:val="Bibliografa"/>
      </w:pPr>
      <w:r>
        <w:t>101</w:t>
      </w:r>
      <w:r>
        <w:tab/>
        <w:t xml:space="preserve">R. Sacchi, T. Terlouw, K. Siala, A. </w:t>
      </w:r>
      <w:proofErr w:type="spellStart"/>
      <w:r>
        <w:t>Dirnaichner</w:t>
      </w:r>
      <w:proofErr w:type="spellEnd"/>
      <w:r>
        <w:t xml:space="preserve">, C. Bauer, B. Cox, C. Mutel, V. </w:t>
      </w:r>
      <w:proofErr w:type="spellStart"/>
      <w:r>
        <w:t>Daioglou</w:t>
      </w:r>
      <w:proofErr w:type="spellEnd"/>
      <w:r>
        <w:t xml:space="preserve"> and G. </w:t>
      </w:r>
      <w:proofErr w:type="spellStart"/>
      <w:r>
        <w:t>Luderer</w:t>
      </w:r>
      <w:proofErr w:type="spellEnd"/>
      <w:r>
        <w:t xml:space="preserve">, </w:t>
      </w:r>
      <w:r>
        <w:rPr>
          <w:i/>
          <w:iCs/>
        </w:rPr>
        <w:t>Renew. Sustain. Energy Rev.</w:t>
      </w:r>
      <w:r>
        <w:t xml:space="preserve">, 2022, </w:t>
      </w:r>
      <w:r>
        <w:rPr>
          <w:b/>
          <w:bCs/>
        </w:rPr>
        <w:t>160</w:t>
      </w:r>
      <w:r>
        <w:t>, 112311.</w:t>
      </w:r>
    </w:p>
    <w:p w14:paraId="4F7E7C0F" w14:textId="77777777" w:rsidR="00E46582" w:rsidRDefault="00E46582" w:rsidP="00E46582">
      <w:pPr>
        <w:pStyle w:val="Bibliografa"/>
      </w:pPr>
      <w:r>
        <w:t>102</w:t>
      </w:r>
      <w:r>
        <w:tab/>
        <w:t xml:space="preserve">M. Sendi, M. Bui, N. Mac Dowell and P. Fennell, </w:t>
      </w:r>
      <w:r>
        <w:rPr>
          <w:i/>
          <w:iCs/>
        </w:rPr>
        <w:t>One Earth</w:t>
      </w:r>
      <w:r>
        <w:t xml:space="preserve">, 2022, </w:t>
      </w:r>
      <w:r>
        <w:rPr>
          <w:b/>
          <w:bCs/>
        </w:rPr>
        <w:t>5</w:t>
      </w:r>
      <w:r>
        <w:t>, 1153–1164.</w:t>
      </w:r>
    </w:p>
    <w:p w14:paraId="426A2271" w14:textId="77777777" w:rsidR="00E46582" w:rsidRDefault="00E46582" w:rsidP="00E46582">
      <w:pPr>
        <w:pStyle w:val="Bibliografa"/>
      </w:pPr>
      <w:r>
        <w:t>103</w:t>
      </w:r>
      <w:r>
        <w:tab/>
        <w:t xml:space="preserve">H. M. </w:t>
      </w:r>
      <w:proofErr w:type="spellStart"/>
      <w:r>
        <w:t>Schellevis</w:t>
      </w:r>
      <w:proofErr w:type="spellEnd"/>
      <w:r>
        <w:t xml:space="preserve">, J. D. de la </w:t>
      </w:r>
      <w:proofErr w:type="spellStart"/>
      <w:r>
        <w:t>Combé</w:t>
      </w:r>
      <w:proofErr w:type="spellEnd"/>
      <w:r>
        <w:t xml:space="preserve"> and D. W. F. </w:t>
      </w:r>
      <w:proofErr w:type="spellStart"/>
      <w:r>
        <w:t>Brilman</w:t>
      </w:r>
      <w:proofErr w:type="spellEnd"/>
      <w:r>
        <w:t xml:space="preserve">, </w:t>
      </w:r>
      <w:r>
        <w:rPr>
          <w:i/>
          <w:iCs/>
        </w:rPr>
        <w:t>Energy Adv.</w:t>
      </w:r>
      <w:r>
        <w:t xml:space="preserve">, 2024, </w:t>
      </w:r>
      <w:r>
        <w:rPr>
          <w:b/>
          <w:bCs/>
        </w:rPr>
        <w:t>3</w:t>
      </w:r>
      <w:r>
        <w:t>, 1678–1687.</w:t>
      </w:r>
    </w:p>
    <w:p w14:paraId="7CB81E77" w14:textId="77777777" w:rsidR="00E46582" w:rsidRDefault="00E46582" w:rsidP="00E46582">
      <w:pPr>
        <w:pStyle w:val="Bibliografa"/>
      </w:pPr>
      <w:r>
        <w:t>104</w:t>
      </w:r>
      <w:r>
        <w:tab/>
        <w:t xml:space="preserve">J. S. Campbell, S. </w:t>
      </w:r>
      <w:proofErr w:type="spellStart"/>
      <w:r>
        <w:t>Foteinis</w:t>
      </w:r>
      <w:proofErr w:type="spellEnd"/>
      <w:r>
        <w:t xml:space="preserve">, V. Furey, O. </w:t>
      </w:r>
      <w:proofErr w:type="spellStart"/>
      <w:r>
        <w:t>Hawrot</w:t>
      </w:r>
      <w:proofErr w:type="spellEnd"/>
      <w:r>
        <w:t xml:space="preserve">, D. Pike, S. Aeschlimann, C. N. </w:t>
      </w:r>
      <w:proofErr w:type="spellStart"/>
      <w:r>
        <w:t>Maesano</w:t>
      </w:r>
      <w:proofErr w:type="spellEnd"/>
      <w:r>
        <w:t xml:space="preserve">, P. L. Reginato, D. R. Goodwin, L. L. </w:t>
      </w:r>
      <w:proofErr w:type="spellStart"/>
      <w:r>
        <w:t>Looger</w:t>
      </w:r>
      <w:proofErr w:type="spellEnd"/>
      <w:r>
        <w:t xml:space="preserve">, E. S. Boyden and P. Renforth, </w:t>
      </w:r>
      <w:r>
        <w:rPr>
          <w:i/>
          <w:iCs/>
        </w:rPr>
        <w:t>Front. Clim.</w:t>
      </w:r>
      <w:r>
        <w:t xml:space="preserve">, 2022, </w:t>
      </w:r>
      <w:r>
        <w:rPr>
          <w:b/>
          <w:bCs/>
        </w:rPr>
        <w:t>4</w:t>
      </w:r>
      <w:r>
        <w:t>, 879133.</w:t>
      </w:r>
    </w:p>
    <w:p w14:paraId="3E75BE21" w14:textId="77777777" w:rsidR="00E46582" w:rsidRDefault="00E46582" w:rsidP="00E46582">
      <w:pPr>
        <w:pStyle w:val="Bibliografa"/>
      </w:pPr>
      <w:r>
        <w:t>105</w:t>
      </w:r>
      <w:r>
        <w:tab/>
        <w:t xml:space="preserve">E. </w:t>
      </w:r>
      <w:proofErr w:type="spellStart"/>
      <w:r>
        <w:t>Camatti</w:t>
      </w:r>
      <w:proofErr w:type="spellEnd"/>
      <w:r>
        <w:t xml:space="preserve">, S. Valsecchi, S. </w:t>
      </w:r>
      <w:proofErr w:type="spellStart"/>
      <w:r>
        <w:t>Caserini</w:t>
      </w:r>
      <w:proofErr w:type="spellEnd"/>
      <w:r>
        <w:t xml:space="preserve">, E. Barbaccia, C. Santinelli, D. Basso and A. </w:t>
      </w:r>
      <w:proofErr w:type="spellStart"/>
      <w:r>
        <w:t>Azzellino</w:t>
      </w:r>
      <w:proofErr w:type="spellEnd"/>
      <w:r>
        <w:t xml:space="preserve">, </w:t>
      </w:r>
      <w:r>
        <w:rPr>
          <w:i/>
          <w:iCs/>
        </w:rPr>
        <w:t xml:space="preserve">Mar. </w:t>
      </w:r>
      <w:proofErr w:type="spellStart"/>
      <w:r>
        <w:rPr>
          <w:i/>
          <w:iCs/>
        </w:rPr>
        <w:t>Pollut</w:t>
      </w:r>
      <w:proofErr w:type="spellEnd"/>
      <w:r>
        <w:rPr>
          <w:i/>
          <w:iCs/>
        </w:rPr>
        <w:t>. Bull.</w:t>
      </w:r>
      <w:r>
        <w:t xml:space="preserve">, 2024, </w:t>
      </w:r>
      <w:r>
        <w:rPr>
          <w:b/>
          <w:bCs/>
        </w:rPr>
        <w:t>198</w:t>
      </w:r>
      <w:r>
        <w:t>, 115833.</w:t>
      </w:r>
    </w:p>
    <w:p w14:paraId="460BDE6A" w14:textId="77777777" w:rsidR="00E46582" w:rsidRDefault="00E46582" w:rsidP="00E46582">
      <w:pPr>
        <w:pStyle w:val="Bibliografa"/>
      </w:pPr>
      <w:r>
        <w:t>106</w:t>
      </w:r>
      <w:r>
        <w:tab/>
        <w:t>CIA, The world factbook. Coastline, https://www.cia.gov/the-world-factbook/field/coastline/.</w:t>
      </w:r>
    </w:p>
    <w:p w14:paraId="44557F66" w14:textId="1E674DF6" w:rsidR="00C73903" w:rsidRPr="00C0374F" w:rsidRDefault="00826B84" w:rsidP="00B82017">
      <w:pPr>
        <w:spacing w:after="0" w:line="240" w:lineRule="auto"/>
        <w:jc w:val="both"/>
        <w:rPr>
          <w:rFonts w:ascii="Calibri" w:eastAsia="Calibri" w:hAnsi="Calibri" w:cs="Calibri"/>
          <w:b/>
          <w:bCs/>
        </w:rPr>
      </w:pPr>
      <w:r w:rsidRPr="000E4E00">
        <w:rPr>
          <w:rFonts w:eastAsia="Calibri" w:cstheme="minorHAnsi"/>
          <w:b/>
          <w:bCs/>
        </w:rPr>
        <w:fldChar w:fldCharType="end"/>
      </w:r>
    </w:p>
    <w:sectPr w:rsidR="00C73903" w:rsidRPr="00C0374F" w:rsidSect="00EE5BC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7F051D" w14:textId="77777777" w:rsidR="0097409F" w:rsidRPr="00904D43" w:rsidRDefault="0097409F" w:rsidP="00963E0A">
      <w:pPr>
        <w:spacing w:after="0" w:line="240" w:lineRule="auto"/>
      </w:pPr>
      <w:r w:rsidRPr="00904D43">
        <w:separator/>
      </w:r>
    </w:p>
  </w:endnote>
  <w:endnote w:type="continuationSeparator" w:id="0">
    <w:p w14:paraId="1E5A32CB" w14:textId="77777777" w:rsidR="0097409F" w:rsidRPr="00904D43" w:rsidRDefault="0097409F" w:rsidP="00963E0A">
      <w:pPr>
        <w:spacing w:after="0" w:line="240" w:lineRule="auto"/>
      </w:pPr>
      <w:r w:rsidRPr="00904D43">
        <w:continuationSeparator/>
      </w:r>
    </w:p>
  </w:endnote>
  <w:endnote w:type="continuationNotice" w:id="1">
    <w:p w14:paraId="1D36DD4D" w14:textId="77777777" w:rsidR="0097409F" w:rsidRDefault="009740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79152349"/>
      <w:docPartObj>
        <w:docPartGallery w:val="Page Numbers (Bottom of Page)"/>
        <w:docPartUnique/>
      </w:docPartObj>
    </w:sdtPr>
    <w:sdtContent>
      <w:p w14:paraId="6036FF36" w14:textId="77777777" w:rsidR="00002E8B" w:rsidRPr="00904D43" w:rsidRDefault="00002E8B">
        <w:pPr>
          <w:pStyle w:val="Piedepgina"/>
          <w:jc w:val="right"/>
        </w:pPr>
        <w:r w:rsidRPr="00904D43">
          <w:fldChar w:fldCharType="begin"/>
        </w:r>
        <w:r w:rsidRPr="00904D43">
          <w:instrText>PAGE   \* MERGEFORMAT</w:instrText>
        </w:r>
        <w:r w:rsidRPr="00904D43">
          <w:fldChar w:fldCharType="separate"/>
        </w:r>
        <w:r w:rsidRPr="00904D43">
          <w:t>2</w:t>
        </w:r>
        <w:r w:rsidRPr="00904D43">
          <w:fldChar w:fldCharType="end"/>
        </w:r>
      </w:p>
    </w:sdtContent>
  </w:sdt>
  <w:p w14:paraId="38E9A2EB" w14:textId="77777777" w:rsidR="00002E8B" w:rsidRPr="00904D43" w:rsidRDefault="00002E8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8960756"/>
      <w:docPartObj>
        <w:docPartGallery w:val="Page Numbers (Bottom of Page)"/>
        <w:docPartUnique/>
      </w:docPartObj>
    </w:sdtPr>
    <w:sdtContent>
      <w:p w14:paraId="5AEC8D1A" w14:textId="5B3219C8" w:rsidR="00B31437" w:rsidRPr="00904D43" w:rsidRDefault="00B31437">
        <w:pPr>
          <w:pStyle w:val="Piedepgina"/>
          <w:jc w:val="right"/>
        </w:pPr>
        <w:r w:rsidRPr="00904D43">
          <w:fldChar w:fldCharType="begin"/>
        </w:r>
        <w:r w:rsidRPr="00904D43">
          <w:instrText>PAGE   \* MERGEFORMAT</w:instrText>
        </w:r>
        <w:r w:rsidRPr="00904D43">
          <w:fldChar w:fldCharType="separate"/>
        </w:r>
        <w:r w:rsidRPr="00904D43">
          <w:t>2</w:t>
        </w:r>
        <w:r w:rsidRPr="00904D43">
          <w:fldChar w:fldCharType="end"/>
        </w:r>
      </w:p>
    </w:sdtContent>
  </w:sdt>
  <w:p w14:paraId="3D58AA49" w14:textId="77777777" w:rsidR="00B31437" w:rsidRPr="00904D43" w:rsidRDefault="00B3143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CD0D8D" w14:textId="77777777" w:rsidR="0097409F" w:rsidRPr="00904D43" w:rsidRDefault="0097409F" w:rsidP="00963E0A">
      <w:pPr>
        <w:spacing w:after="0" w:line="240" w:lineRule="auto"/>
      </w:pPr>
      <w:r w:rsidRPr="00904D43">
        <w:separator/>
      </w:r>
    </w:p>
  </w:footnote>
  <w:footnote w:type="continuationSeparator" w:id="0">
    <w:p w14:paraId="63616592" w14:textId="77777777" w:rsidR="0097409F" w:rsidRPr="00904D43" w:rsidRDefault="0097409F" w:rsidP="00963E0A">
      <w:pPr>
        <w:spacing w:after="0" w:line="240" w:lineRule="auto"/>
      </w:pPr>
      <w:r w:rsidRPr="00904D43">
        <w:continuationSeparator/>
      </w:r>
    </w:p>
  </w:footnote>
  <w:footnote w:type="continuationNotice" w:id="1">
    <w:p w14:paraId="6A8DD018" w14:textId="77777777" w:rsidR="0097409F" w:rsidRDefault="0097409F">
      <w:pPr>
        <w:spacing w:after="0" w:line="240" w:lineRule="auto"/>
      </w:pPr>
    </w:p>
  </w:footnote>
  <w:footnote w:id="2">
    <w:p w14:paraId="18126E50" w14:textId="77777777" w:rsidR="00F575D2" w:rsidRPr="00762D6F" w:rsidRDefault="00F575D2" w:rsidP="00F575D2">
      <w:pPr>
        <w:pStyle w:val="Textonotapie"/>
        <w:jc w:val="both"/>
        <w:rPr>
          <w:rFonts w:ascii="Calibri" w:hAnsi="Calibri" w:cs="Calibri"/>
          <w:sz w:val="22"/>
          <w:szCs w:val="22"/>
        </w:rPr>
      </w:pPr>
      <w:r w:rsidRPr="00DD2CD7">
        <w:rPr>
          <w:rStyle w:val="Refdenotaalpie"/>
        </w:rPr>
        <w:footnoteRef/>
      </w:r>
      <w:r w:rsidRPr="00F34384">
        <w:rPr>
          <w:rFonts w:ascii="Calibri" w:hAnsi="Calibri" w:cs="Calibri"/>
          <w:sz w:val="22"/>
          <w:szCs w:val="22"/>
        </w:rPr>
        <w:t xml:space="preserve"> Functional unit varies with the year of analysis (e.g., 3.09 GtCO</w:t>
      </w:r>
      <w:r w:rsidRPr="00F34384">
        <w:rPr>
          <w:rFonts w:ascii="Calibri" w:hAnsi="Calibri" w:cs="Calibri"/>
          <w:sz w:val="22"/>
          <w:szCs w:val="22"/>
          <w:vertAlign w:val="subscript"/>
        </w:rPr>
        <w:t>2</w:t>
      </w:r>
      <w:r w:rsidRPr="00F34384">
        <w:rPr>
          <w:rFonts w:ascii="Calibri" w:hAnsi="Calibri" w:cs="Calibri"/>
          <w:sz w:val="22"/>
          <w:szCs w:val="22"/>
        </w:rPr>
        <w:t xml:space="preserve"> removed in 2050).</w:t>
      </w:r>
      <w:r>
        <w:t xml:space="preserve"> </w:t>
      </w:r>
    </w:p>
  </w:footnote>
  <w:footnote w:id="3">
    <w:p w14:paraId="66AA62E7" w14:textId="32FD30DF" w:rsidR="00A77106" w:rsidRPr="00F34384" w:rsidRDefault="00A77106" w:rsidP="00A77106">
      <w:pPr>
        <w:pStyle w:val="Textonotapie"/>
        <w:jc w:val="both"/>
        <w:rPr>
          <w:rFonts w:ascii="Calibri" w:hAnsi="Calibri" w:cs="Calibri"/>
          <w:sz w:val="22"/>
          <w:szCs w:val="22"/>
        </w:rPr>
      </w:pPr>
      <w:r w:rsidRPr="00DD2CD7">
        <w:rPr>
          <w:rStyle w:val="Refdenotaalpie"/>
        </w:rPr>
        <w:footnoteRef/>
      </w:r>
      <w:r w:rsidRPr="003E442D">
        <w:rPr>
          <w:rFonts w:ascii="Calibri" w:hAnsi="Calibri" w:cs="Calibri"/>
          <w:sz w:val="22"/>
          <w:szCs w:val="22"/>
        </w:rPr>
        <w:t xml:space="preserve"> Unit depends on the midpoint impact category (e.g., kg</w:t>
      </w:r>
      <w:r w:rsidR="002A293E" w:rsidRPr="003E442D">
        <w:rPr>
          <w:rFonts w:ascii="Calibri" w:hAnsi="Calibri" w:cs="Calibri"/>
          <w:sz w:val="22"/>
          <w:szCs w:val="22"/>
        </w:rPr>
        <w:t>PM</w:t>
      </w:r>
      <w:r w:rsidR="002A293E" w:rsidRPr="003E442D">
        <w:rPr>
          <w:rFonts w:ascii="Calibri" w:hAnsi="Calibri" w:cs="Calibri"/>
          <w:sz w:val="22"/>
          <w:szCs w:val="22"/>
          <w:vertAlign w:val="subscript"/>
        </w:rPr>
        <w:t>2.5</w:t>
      </w:r>
      <w:r w:rsidRPr="003E442D">
        <w:rPr>
          <w:rFonts w:ascii="Calibri" w:hAnsi="Calibri" w:cs="Calibri"/>
          <w:sz w:val="22"/>
          <w:szCs w:val="22"/>
          <w:vertAlign w:val="subscript"/>
        </w:rPr>
        <w:t xml:space="preserve"> </w:t>
      </w:r>
      <w:r w:rsidRPr="003E442D">
        <w:rPr>
          <w:rFonts w:ascii="Calibri" w:hAnsi="Calibri" w:cs="Calibri"/>
          <w:sz w:val="22"/>
          <w:szCs w:val="22"/>
        </w:rPr>
        <w:t xml:space="preserve">for </w:t>
      </w:r>
      <w:r w:rsidR="002A293E" w:rsidRPr="003E442D">
        <w:rPr>
          <w:rFonts w:ascii="Calibri" w:hAnsi="Calibri" w:cs="Calibri"/>
          <w:sz w:val="22"/>
          <w:szCs w:val="22"/>
        </w:rPr>
        <w:t>fine particulate matter formation</w:t>
      </w:r>
      <w:r w:rsidRPr="003E442D">
        <w:rPr>
          <w:rFonts w:ascii="Calibri" w:hAnsi="Calibri" w:cs="Calibri"/>
          <w:sz w:val="22"/>
          <w:szCs w:val="22"/>
        </w:rPr>
        <w:t>).</w:t>
      </w:r>
    </w:p>
  </w:footnote>
  <w:footnote w:id="4">
    <w:p w14:paraId="31A12278" w14:textId="77777777" w:rsidR="00A77106" w:rsidRPr="00F34384" w:rsidRDefault="00A77106" w:rsidP="00A77106">
      <w:pPr>
        <w:pStyle w:val="Textonotapie"/>
        <w:jc w:val="both"/>
        <w:rPr>
          <w:rFonts w:ascii="Calibri" w:hAnsi="Calibri" w:cs="Calibri"/>
          <w:sz w:val="22"/>
          <w:szCs w:val="22"/>
        </w:rPr>
      </w:pPr>
      <w:r w:rsidRPr="00DD2CD7">
        <w:rPr>
          <w:rStyle w:val="Refdenotaalpie"/>
        </w:rPr>
        <w:footnoteRef/>
      </w:r>
      <w:r w:rsidRPr="00F34384">
        <w:rPr>
          <w:rFonts w:ascii="Calibri" w:hAnsi="Calibri" w:cs="Calibri"/>
          <w:sz w:val="22"/>
          <w:szCs w:val="22"/>
        </w:rPr>
        <w:t xml:space="preserve"> Unit depends on the type of elementary flow (e.g., m</w:t>
      </w:r>
      <w:r w:rsidRPr="00F34384">
        <w:rPr>
          <w:rFonts w:ascii="Calibri" w:hAnsi="Calibri" w:cs="Calibri"/>
          <w:sz w:val="22"/>
          <w:szCs w:val="22"/>
          <w:vertAlign w:val="superscript"/>
        </w:rPr>
        <w:t>2</w:t>
      </w:r>
      <w:r w:rsidRPr="00F34384">
        <w:rPr>
          <w:rFonts w:ascii="Calibri" w:hAnsi="Calibri" w:cs="Calibri"/>
          <w:sz w:val="22"/>
          <w:szCs w:val="22"/>
        </w:rPr>
        <w:t xml:space="preserve"> for land). </w:t>
      </w:r>
    </w:p>
  </w:footnote>
  <w:footnote w:id="5">
    <w:p w14:paraId="0DB41450" w14:textId="77777777" w:rsidR="00A77106" w:rsidRPr="00F34384" w:rsidRDefault="00A77106" w:rsidP="00A77106">
      <w:pPr>
        <w:pStyle w:val="Textonotapie"/>
        <w:jc w:val="both"/>
        <w:rPr>
          <w:rFonts w:ascii="Calibri" w:hAnsi="Calibri" w:cs="Calibri"/>
          <w:sz w:val="22"/>
          <w:szCs w:val="22"/>
        </w:rPr>
      </w:pPr>
      <w:r w:rsidRPr="00DD2CD7">
        <w:rPr>
          <w:rStyle w:val="Refdenotaalpie"/>
        </w:rPr>
        <w:footnoteRef/>
      </w:r>
      <w:r w:rsidRPr="00F34384">
        <w:rPr>
          <w:rFonts w:ascii="Calibri" w:hAnsi="Calibri" w:cs="Calibri"/>
          <w:sz w:val="22"/>
          <w:szCs w:val="22"/>
        </w:rPr>
        <w:t xml:space="preserve"> Unit depends on the endpoint impact category (e.g., DALY for human health).</w:t>
      </w:r>
    </w:p>
  </w:footnote>
  <w:footnote w:id="6">
    <w:p w14:paraId="3E92019B" w14:textId="77777777" w:rsidR="00A77106" w:rsidRPr="00762D6F" w:rsidRDefault="00A77106" w:rsidP="00A77106">
      <w:pPr>
        <w:pStyle w:val="Textonotapie"/>
        <w:jc w:val="both"/>
        <w:rPr>
          <w:rFonts w:ascii="Calibri" w:hAnsi="Calibri" w:cs="Calibri"/>
          <w:sz w:val="22"/>
          <w:szCs w:val="22"/>
        </w:rPr>
      </w:pPr>
      <w:r w:rsidRPr="00DD2CD7">
        <w:rPr>
          <w:rStyle w:val="Refdenotaalpie"/>
        </w:rPr>
        <w:footnoteRef/>
      </w:r>
      <w:r w:rsidRPr="00762D6F">
        <w:rPr>
          <w:rFonts w:ascii="Calibri" w:hAnsi="Calibri" w:cs="Calibri"/>
          <w:sz w:val="22"/>
          <w:szCs w:val="22"/>
        </w:rPr>
        <w:t xml:space="preserve"> Unit depends on the type of activity (e.g., kg of fertilizer in the fertilizer production activities). </w:t>
      </w:r>
    </w:p>
  </w:footnote>
  <w:footnote w:id="7">
    <w:p w14:paraId="0254775F" w14:textId="77777777" w:rsidR="00A77106" w:rsidRPr="009619D1" w:rsidRDefault="00A77106" w:rsidP="00A77106">
      <w:pPr>
        <w:pStyle w:val="Textonotapie"/>
        <w:jc w:val="both"/>
      </w:pPr>
      <w:r w:rsidRPr="00DD2CD7">
        <w:rPr>
          <w:rStyle w:val="Refdenotaalpie"/>
        </w:rPr>
        <w:footnoteRef/>
      </w:r>
      <w:r w:rsidRPr="00762D6F">
        <w:rPr>
          <w:rFonts w:ascii="Calibri" w:hAnsi="Calibri" w:cs="Calibri"/>
          <w:sz w:val="22"/>
          <w:szCs w:val="22"/>
        </w:rPr>
        <w:t xml:space="preserve"> Unit depends on the Earth-system process (e.g., Dobson units for stratospheric ozone depletion</w:t>
      </w:r>
      <w:r w:rsidRPr="006C102F">
        <w:t>)</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F1485"/>
    <w:multiLevelType w:val="hybridMultilevel"/>
    <w:tmpl w:val="FEE8BBD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030C09F0"/>
    <w:multiLevelType w:val="hybridMultilevel"/>
    <w:tmpl w:val="FCD62510"/>
    <w:lvl w:ilvl="0" w:tplc="B5425D26">
      <w:start w:val="6"/>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3364CE"/>
    <w:multiLevelType w:val="hybridMultilevel"/>
    <w:tmpl w:val="1DF6DFEE"/>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3" w15:restartNumberingAfterBreak="0">
    <w:nsid w:val="16DB12EE"/>
    <w:multiLevelType w:val="hybridMultilevel"/>
    <w:tmpl w:val="ACE0A10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58645A4"/>
    <w:multiLevelType w:val="multilevel"/>
    <w:tmpl w:val="CDB662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3D7B83"/>
    <w:multiLevelType w:val="hybridMultilevel"/>
    <w:tmpl w:val="C4CC663E"/>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B272E4C"/>
    <w:multiLevelType w:val="hybridMultilevel"/>
    <w:tmpl w:val="9996900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2DF95BA9"/>
    <w:multiLevelType w:val="hybridMultilevel"/>
    <w:tmpl w:val="6AF23A0E"/>
    <w:lvl w:ilvl="0" w:tplc="6FB4E742">
      <w:start w:val="7"/>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7964242"/>
    <w:multiLevelType w:val="hybridMultilevel"/>
    <w:tmpl w:val="D78EEF30"/>
    <w:lvl w:ilvl="0" w:tplc="165AC414">
      <w:numFmt w:val="bullet"/>
      <w:lvlText w:val="-"/>
      <w:lvlJc w:val="left"/>
      <w:pPr>
        <w:ind w:left="405" w:hanging="360"/>
      </w:pPr>
      <w:rPr>
        <w:rFonts w:ascii="Calibri" w:eastAsiaTheme="minorEastAsia" w:hAnsi="Calibri" w:cs="Calibri" w:hint="default"/>
      </w:rPr>
    </w:lvl>
    <w:lvl w:ilvl="1" w:tplc="0C0A0003" w:tentative="1">
      <w:start w:val="1"/>
      <w:numFmt w:val="bullet"/>
      <w:lvlText w:val="o"/>
      <w:lvlJc w:val="left"/>
      <w:pPr>
        <w:ind w:left="1125" w:hanging="360"/>
      </w:pPr>
      <w:rPr>
        <w:rFonts w:ascii="Courier New" w:hAnsi="Courier New" w:cs="Courier New" w:hint="default"/>
      </w:rPr>
    </w:lvl>
    <w:lvl w:ilvl="2" w:tplc="0C0A0005" w:tentative="1">
      <w:start w:val="1"/>
      <w:numFmt w:val="bullet"/>
      <w:lvlText w:val=""/>
      <w:lvlJc w:val="left"/>
      <w:pPr>
        <w:ind w:left="1845" w:hanging="360"/>
      </w:pPr>
      <w:rPr>
        <w:rFonts w:ascii="Wingdings" w:hAnsi="Wingdings" w:hint="default"/>
      </w:rPr>
    </w:lvl>
    <w:lvl w:ilvl="3" w:tplc="0C0A0001" w:tentative="1">
      <w:start w:val="1"/>
      <w:numFmt w:val="bullet"/>
      <w:lvlText w:val=""/>
      <w:lvlJc w:val="left"/>
      <w:pPr>
        <w:ind w:left="2565" w:hanging="360"/>
      </w:pPr>
      <w:rPr>
        <w:rFonts w:ascii="Symbol" w:hAnsi="Symbol" w:hint="default"/>
      </w:rPr>
    </w:lvl>
    <w:lvl w:ilvl="4" w:tplc="0C0A0003" w:tentative="1">
      <w:start w:val="1"/>
      <w:numFmt w:val="bullet"/>
      <w:lvlText w:val="o"/>
      <w:lvlJc w:val="left"/>
      <w:pPr>
        <w:ind w:left="3285" w:hanging="360"/>
      </w:pPr>
      <w:rPr>
        <w:rFonts w:ascii="Courier New" w:hAnsi="Courier New" w:cs="Courier New" w:hint="default"/>
      </w:rPr>
    </w:lvl>
    <w:lvl w:ilvl="5" w:tplc="0C0A0005" w:tentative="1">
      <w:start w:val="1"/>
      <w:numFmt w:val="bullet"/>
      <w:lvlText w:val=""/>
      <w:lvlJc w:val="left"/>
      <w:pPr>
        <w:ind w:left="4005" w:hanging="360"/>
      </w:pPr>
      <w:rPr>
        <w:rFonts w:ascii="Wingdings" w:hAnsi="Wingdings" w:hint="default"/>
      </w:rPr>
    </w:lvl>
    <w:lvl w:ilvl="6" w:tplc="0C0A0001" w:tentative="1">
      <w:start w:val="1"/>
      <w:numFmt w:val="bullet"/>
      <w:lvlText w:val=""/>
      <w:lvlJc w:val="left"/>
      <w:pPr>
        <w:ind w:left="4725" w:hanging="360"/>
      </w:pPr>
      <w:rPr>
        <w:rFonts w:ascii="Symbol" w:hAnsi="Symbol" w:hint="default"/>
      </w:rPr>
    </w:lvl>
    <w:lvl w:ilvl="7" w:tplc="0C0A0003" w:tentative="1">
      <w:start w:val="1"/>
      <w:numFmt w:val="bullet"/>
      <w:lvlText w:val="o"/>
      <w:lvlJc w:val="left"/>
      <w:pPr>
        <w:ind w:left="5445" w:hanging="360"/>
      </w:pPr>
      <w:rPr>
        <w:rFonts w:ascii="Courier New" w:hAnsi="Courier New" w:cs="Courier New" w:hint="default"/>
      </w:rPr>
    </w:lvl>
    <w:lvl w:ilvl="8" w:tplc="0C0A0005" w:tentative="1">
      <w:start w:val="1"/>
      <w:numFmt w:val="bullet"/>
      <w:lvlText w:val=""/>
      <w:lvlJc w:val="left"/>
      <w:pPr>
        <w:ind w:left="6165" w:hanging="360"/>
      </w:pPr>
      <w:rPr>
        <w:rFonts w:ascii="Wingdings" w:hAnsi="Wingdings" w:hint="default"/>
      </w:rPr>
    </w:lvl>
  </w:abstractNum>
  <w:abstractNum w:abstractNumId="9" w15:restartNumberingAfterBreak="0">
    <w:nsid w:val="3B0A3BCE"/>
    <w:multiLevelType w:val="multilevel"/>
    <w:tmpl w:val="0952E1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D13419F"/>
    <w:multiLevelType w:val="hybridMultilevel"/>
    <w:tmpl w:val="DA0A31CA"/>
    <w:lvl w:ilvl="0" w:tplc="69100A7E">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D6C0F4D"/>
    <w:multiLevelType w:val="hybridMultilevel"/>
    <w:tmpl w:val="04D49F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4010D23"/>
    <w:multiLevelType w:val="hybridMultilevel"/>
    <w:tmpl w:val="3C305422"/>
    <w:lvl w:ilvl="0" w:tplc="53FC5AC8">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3" w15:restartNumberingAfterBreak="0">
    <w:nsid w:val="448F6038"/>
    <w:multiLevelType w:val="hybridMultilevel"/>
    <w:tmpl w:val="B0542C62"/>
    <w:lvl w:ilvl="0" w:tplc="ABD45330">
      <w:start w:val="7"/>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DAE50D1"/>
    <w:multiLevelType w:val="hybridMultilevel"/>
    <w:tmpl w:val="161235FC"/>
    <w:lvl w:ilvl="0" w:tplc="09DC8782">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0C25DD4"/>
    <w:multiLevelType w:val="hybridMultilevel"/>
    <w:tmpl w:val="ACE0A1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4630F5B"/>
    <w:multiLevelType w:val="hybridMultilevel"/>
    <w:tmpl w:val="75A0010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4B9162F"/>
    <w:multiLevelType w:val="hybridMultilevel"/>
    <w:tmpl w:val="5BA2F3CE"/>
    <w:lvl w:ilvl="0" w:tplc="08070019">
      <w:start w:val="1"/>
      <w:numFmt w:val="lowerLetter"/>
      <w:lvlText w:val="%1."/>
      <w:lvlJc w:val="left"/>
      <w:pPr>
        <w:ind w:left="720" w:hanging="360"/>
      </w:pPr>
      <w:rPr>
        <w:rFonts w:hint="default"/>
        <w:b w:val="0"/>
        <w:color w:val="auto"/>
        <w:sz w:val="2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583A6FCA"/>
    <w:multiLevelType w:val="hybridMultilevel"/>
    <w:tmpl w:val="AEF459EA"/>
    <w:lvl w:ilvl="0" w:tplc="79E25E1A">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5932165B"/>
    <w:multiLevelType w:val="hybridMultilevel"/>
    <w:tmpl w:val="B672E6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9927AB6"/>
    <w:multiLevelType w:val="hybridMultilevel"/>
    <w:tmpl w:val="999690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A943520"/>
    <w:multiLevelType w:val="hybridMultilevel"/>
    <w:tmpl w:val="74E6213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1C87BE7"/>
    <w:multiLevelType w:val="hybridMultilevel"/>
    <w:tmpl w:val="3DCAF7C0"/>
    <w:lvl w:ilvl="0" w:tplc="0EB46A32">
      <w:start w:val="1"/>
      <w:numFmt w:val="decimal"/>
      <w:lvlText w:val="%1)"/>
      <w:lvlJc w:val="left"/>
      <w:pPr>
        <w:ind w:left="1020" w:hanging="360"/>
      </w:pPr>
    </w:lvl>
    <w:lvl w:ilvl="1" w:tplc="8A4C0828">
      <w:start w:val="1"/>
      <w:numFmt w:val="decimal"/>
      <w:lvlText w:val="%2)"/>
      <w:lvlJc w:val="left"/>
      <w:pPr>
        <w:ind w:left="1020" w:hanging="360"/>
      </w:pPr>
    </w:lvl>
    <w:lvl w:ilvl="2" w:tplc="534AD556">
      <w:start w:val="1"/>
      <w:numFmt w:val="decimal"/>
      <w:lvlText w:val="%3)"/>
      <w:lvlJc w:val="left"/>
      <w:pPr>
        <w:ind w:left="1020" w:hanging="360"/>
      </w:pPr>
    </w:lvl>
    <w:lvl w:ilvl="3" w:tplc="FF68E154">
      <w:start w:val="1"/>
      <w:numFmt w:val="decimal"/>
      <w:lvlText w:val="%4)"/>
      <w:lvlJc w:val="left"/>
      <w:pPr>
        <w:ind w:left="1020" w:hanging="360"/>
      </w:pPr>
    </w:lvl>
    <w:lvl w:ilvl="4" w:tplc="D72E8384">
      <w:start w:val="1"/>
      <w:numFmt w:val="decimal"/>
      <w:lvlText w:val="%5)"/>
      <w:lvlJc w:val="left"/>
      <w:pPr>
        <w:ind w:left="1020" w:hanging="360"/>
      </w:pPr>
    </w:lvl>
    <w:lvl w:ilvl="5" w:tplc="DCAC5BDC">
      <w:start w:val="1"/>
      <w:numFmt w:val="decimal"/>
      <w:lvlText w:val="%6)"/>
      <w:lvlJc w:val="left"/>
      <w:pPr>
        <w:ind w:left="1020" w:hanging="360"/>
      </w:pPr>
    </w:lvl>
    <w:lvl w:ilvl="6" w:tplc="68CCD87C">
      <w:start w:val="1"/>
      <w:numFmt w:val="decimal"/>
      <w:lvlText w:val="%7)"/>
      <w:lvlJc w:val="left"/>
      <w:pPr>
        <w:ind w:left="1020" w:hanging="360"/>
      </w:pPr>
    </w:lvl>
    <w:lvl w:ilvl="7" w:tplc="C84239D0">
      <w:start w:val="1"/>
      <w:numFmt w:val="decimal"/>
      <w:lvlText w:val="%8)"/>
      <w:lvlJc w:val="left"/>
      <w:pPr>
        <w:ind w:left="1020" w:hanging="360"/>
      </w:pPr>
    </w:lvl>
    <w:lvl w:ilvl="8" w:tplc="4968803A">
      <w:start w:val="1"/>
      <w:numFmt w:val="decimal"/>
      <w:lvlText w:val="%9)"/>
      <w:lvlJc w:val="left"/>
      <w:pPr>
        <w:ind w:left="1020" w:hanging="360"/>
      </w:pPr>
    </w:lvl>
  </w:abstractNum>
  <w:abstractNum w:abstractNumId="23" w15:restartNumberingAfterBreak="0">
    <w:nsid w:val="65EB2EFE"/>
    <w:multiLevelType w:val="hybridMultilevel"/>
    <w:tmpl w:val="B2E8E00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A4A61A9"/>
    <w:multiLevelType w:val="hybridMultilevel"/>
    <w:tmpl w:val="9CD066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2196915"/>
    <w:multiLevelType w:val="hybridMultilevel"/>
    <w:tmpl w:val="BBE6FD8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77204910"/>
    <w:multiLevelType w:val="hybridMultilevel"/>
    <w:tmpl w:val="919EF03C"/>
    <w:lvl w:ilvl="0" w:tplc="97065126">
      <w:numFmt w:val="bullet"/>
      <w:lvlText w:val=""/>
      <w:lvlJc w:val="left"/>
      <w:pPr>
        <w:ind w:left="720" w:hanging="360"/>
      </w:pPr>
      <w:rPr>
        <w:rFonts w:ascii="Wingdings" w:eastAsiaTheme="minorEastAsia"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7A70E16"/>
    <w:multiLevelType w:val="hybridMultilevel"/>
    <w:tmpl w:val="7114652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15:restartNumberingAfterBreak="0">
    <w:nsid w:val="789D0142"/>
    <w:multiLevelType w:val="hybridMultilevel"/>
    <w:tmpl w:val="4998A38E"/>
    <w:lvl w:ilvl="0" w:tplc="974E2B1C">
      <w:numFmt w:val="bullet"/>
      <w:lvlText w:val=""/>
      <w:lvlJc w:val="left"/>
      <w:pPr>
        <w:ind w:left="720" w:hanging="360"/>
      </w:pPr>
      <w:rPr>
        <w:rFonts w:ascii="Wingdings" w:eastAsiaTheme="minorEastAsia" w:hAnsi="Wingding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C534092"/>
    <w:multiLevelType w:val="hybridMultilevel"/>
    <w:tmpl w:val="9B94045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15:restartNumberingAfterBreak="0">
    <w:nsid w:val="7E456FF6"/>
    <w:multiLevelType w:val="hybridMultilevel"/>
    <w:tmpl w:val="A0E2A0CC"/>
    <w:lvl w:ilvl="0" w:tplc="90663410">
      <w:start w:val="1"/>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32673308">
    <w:abstractNumId w:val="28"/>
  </w:num>
  <w:num w:numId="2" w16cid:durableId="1578976293">
    <w:abstractNumId w:val="2"/>
  </w:num>
  <w:num w:numId="3" w16cid:durableId="1240755481">
    <w:abstractNumId w:val="22"/>
  </w:num>
  <w:num w:numId="4" w16cid:durableId="1904095295">
    <w:abstractNumId w:val="17"/>
  </w:num>
  <w:num w:numId="5" w16cid:durableId="171796830">
    <w:abstractNumId w:val="18"/>
  </w:num>
  <w:num w:numId="6" w16cid:durableId="1623070462">
    <w:abstractNumId w:val="6"/>
  </w:num>
  <w:num w:numId="7" w16cid:durableId="1666516775">
    <w:abstractNumId w:val="20"/>
  </w:num>
  <w:num w:numId="8" w16cid:durableId="1945575654">
    <w:abstractNumId w:val="23"/>
  </w:num>
  <w:num w:numId="9" w16cid:durableId="1264847934">
    <w:abstractNumId w:val="30"/>
  </w:num>
  <w:num w:numId="10" w16cid:durableId="1994871749">
    <w:abstractNumId w:val="0"/>
  </w:num>
  <w:num w:numId="11" w16cid:durableId="100808398">
    <w:abstractNumId w:val="12"/>
  </w:num>
  <w:num w:numId="12" w16cid:durableId="1064841414">
    <w:abstractNumId w:val="25"/>
  </w:num>
  <w:num w:numId="13" w16cid:durableId="1569606999">
    <w:abstractNumId w:val="19"/>
  </w:num>
  <w:num w:numId="14" w16cid:durableId="1072775587">
    <w:abstractNumId w:val="1"/>
  </w:num>
  <w:num w:numId="15" w16cid:durableId="1607612335">
    <w:abstractNumId w:val="24"/>
  </w:num>
  <w:num w:numId="16" w16cid:durableId="1170947801">
    <w:abstractNumId w:val="21"/>
  </w:num>
  <w:num w:numId="17" w16cid:durableId="246694831">
    <w:abstractNumId w:val="26"/>
  </w:num>
  <w:num w:numId="18" w16cid:durableId="276374633">
    <w:abstractNumId w:val="14"/>
  </w:num>
  <w:num w:numId="19" w16cid:durableId="1142849282">
    <w:abstractNumId w:val="10"/>
  </w:num>
  <w:num w:numId="20" w16cid:durableId="1058942256">
    <w:abstractNumId w:val="16"/>
  </w:num>
  <w:num w:numId="21" w16cid:durableId="721054415">
    <w:abstractNumId w:val="13"/>
  </w:num>
  <w:num w:numId="22" w16cid:durableId="1523978281">
    <w:abstractNumId w:val="7"/>
  </w:num>
  <w:num w:numId="23" w16cid:durableId="113447818">
    <w:abstractNumId w:val="3"/>
  </w:num>
  <w:num w:numId="24" w16cid:durableId="2050522743">
    <w:abstractNumId w:val="9"/>
  </w:num>
  <w:num w:numId="25" w16cid:durableId="1429501109">
    <w:abstractNumId w:val="4"/>
  </w:num>
  <w:num w:numId="26" w16cid:durableId="1744986952">
    <w:abstractNumId w:val="8"/>
  </w:num>
  <w:num w:numId="27" w16cid:durableId="1712875423">
    <w:abstractNumId w:val="15"/>
  </w:num>
  <w:num w:numId="28" w16cid:durableId="684939522">
    <w:abstractNumId w:val="5"/>
  </w:num>
  <w:num w:numId="29" w16cid:durableId="716856200">
    <w:abstractNumId w:val="27"/>
  </w:num>
  <w:num w:numId="30" w16cid:durableId="2076512760">
    <w:abstractNumId w:val="11"/>
  </w:num>
  <w:num w:numId="31" w16cid:durableId="177500935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numFmt w:val="lowerLette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0DF"/>
    <w:rsid w:val="000001D6"/>
    <w:rsid w:val="00000582"/>
    <w:rsid w:val="0000062F"/>
    <w:rsid w:val="00000AD8"/>
    <w:rsid w:val="0000105F"/>
    <w:rsid w:val="000011D3"/>
    <w:rsid w:val="0000159A"/>
    <w:rsid w:val="000027E8"/>
    <w:rsid w:val="00002E8B"/>
    <w:rsid w:val="00003A41"/>
    <w:rsid w:val="00003B90"/>
    <w:rsid w:val="00003CAD"/>
    <w:rsid w:val="000041D8"/>
    <w:rsid w:val="000042D5"/>
    <w:rsid w:val="00004592"/>
    <w:rsid w:val="000047C8"/>
    <w:rsid w:val="000047DF"/>
    <w:rsid w:val="00004CD7"/>
    <w:rsid w:val="00004D6E"/>
    <w:rsid w:val="00004D9D"/>
    <w:rsid w:val="00004DDC"/>
    <w:rsid w:val="00004EC3"/>
    <w:rsid w:val="00005CFB"/>
    <w:rsid w:val="00005DCD"/>
    <w:rsid w:val="000061F8"/>
    <w:rsid w:val="00006F8E"/>
    <w:rsid w:val="000070B6"/>
    <w:rsid w:val="0000727C"/>
    <w:rsid w:val="0000751A"/>
    <w:rsid w:val="000076CC"/>
    <w:rsid w:val="00007A13"/>
    <w:rsid w:val="000105B2"/>
    <w:rsid w:val="00010A87"/>
    <w:rsid w:val="00010AAA"/>
    <w:rsid w:val="00010E0E"/>
    <w:rsid w:val="00010E45"/>
    <w:rsid w:val="00011415"/>
    <w:rsid w:val="000116C0"/>
    <w:rsid w:val="00011E88"/>
    <w:rsid w:val="0001249B"/>
    <w:rsid w:val="000125BA"/>
    <w:rsid w:val="0001283A"/>
    <w:rsid w:val="0001295B"/>
    <w:rsid w:val="00012EAD"/>
    <w:rsid w:val="00013129"/>
    <w:rsid w:val="000135FB"/>
    <w:rsid w:val="000139A3"/>
    <w:rsid w:val="00014337"/>
    <w:rsid w:val="000143D6"/>
    <w:rsid w:val="00014B2E"/>
    <w:rsid w:val="00014C32"/>
    <w:rsid w:val="00014C59"/>
    <w:rsid w:val="00014F20"/>
    <w:rsid w:val="00015140"/>
    <w:rsid w:val="00015653"/>
    <w:rsid w:val="00015C46"/>
    <w:rsid w:val="00015E15"/>
    <w:rsid w:val="00016141"/>
    <w:rsid w:val="00016532"/>
    <w:rsid w:val="0001666B"/>
    <w:rsid w:val="00016844"/>
    <w:rsid w:val="00017470"/>
    <w:rsid w:val="0001777C"/>
    <w:rsid w:val="00017F81"/>
    <w:rsid w:val="00020040"/>
    <w:rsid w:val="00020317"/>
    <w:rsid w:val="000205D4"/>
    <w:rsid w:val="00020E1B"/>
    <w:rsid w:val="00020E38"/>
    <w:rsid w:val="000215EA"/>
    <w:rsid w:val="0002214C"/>
    <w:rsid w:val="00022442"/>
    <w:rsid w:val="00022BB8"/>
    <w:rsid w:val="00022DB2"/>
    <w:rsid w:val="00022E87"/>
    <w:rsid w:val="00023664"/>
    <w:rsid w:val="000237BD"/>
    <w:rsid w:val="00023BAA"/>
    <w:rsid w:val="00023C9D"/>
    <w:rsid w:val="00023D62"/>
    <w:rsid w:val="00023E09"/>
    <w:rsid w:val="00024315"/>
    <w:rsid w:val="000248AC"/>
    <w:rsid w:val="00024D28"/>
    <w:rsid w:val="000253CC"/>
    <w:rsid w:val="00025C3B"/>
    <w:rsid w:val="00025CB2"/>
    <w:rsid w:val="00025E95"/>
    <w:rsid w:val="000260F6"/>
    <w:rsid w:val="000264BB"/>
    <w:rsid w:val="00026C8B"/>
    <w:rsid w:val="00026CE1"/>
    <w:rsid w:val="000277DC"/>
    <w:rsid w:val="00027D50"/>
    <w:rsid w:val="00027DFE"/>
    <w:rsid w:val="00030206"/>
    <w:rsid w:val="00030406"/>
    <w:rsid w:val="00030BDA"/>
    <w:rsid w:val="00030DDB"/>
    <w:rsid w:val="00030E20"/>
    <w:rsid w:val="00030F08"/>
    <w:rsid w:val="00031CBE"/>
    <w:rsid w:val="00032111"/>
    <w:rsid w:val="00032278"/>
    <w:rsid w:val="00032A09"/>
    <w:rsid w:val="00032E4E"/>
    <w:rsid w:val="00032E81"/>
    <w:rsid w:val="000336EE"/>
    <w:rsid w:val="000337DA"/>
    <w:rsid w:val="00033860"/>
    <w:rsid w:val="00033B52"/>
    <w:rsid w:val="0003430A"/>
    <w:rsid w:val="0003455D"/>
    <w:rsid w:val="0003466C"/>
    <w:rsid w:val="000348EA"/>
    <w:rsid w:val="00035062"/>
    <w:rsid w:val="0003507E"/>
    <w:rsid w:val="000351D3"/>
    <w:rsid w:val="00035368"/>
    <w:rsid w:val="000359A0"/>
    <w:rsid w:val="00035A97"/>
    <w:rsid w:val="00035B46"/>
    <w:rsid w:val="00035C7D"/>
    <w:rsid w:val="00036620"/>
    <w:rsid w:val="00036775"/>
    <w:rsid w:val="00036802"/>
    <w:rsid w:val="00036907"/>
    <w:rsid w:val="00036A79"/>
    <w:rsid w:val="00036F76"/>
    <w:rsid w:val="00037077"/>
    <w:rsid w:val="000402C5"/>
    <w:rsid w:val="000402E1"/>
    <w:rsid w:val="000403EE"/>
    <w:rsid w:val="0004111A"/>
    <w:rsid w:val="0004120B"/>
    <w:rsid w:val="000413B0"/>
    <w:rsid w:val="00042B11"/>
    <w:rsid w:val="00042FA4"/>
    <w:rsid w:val="000431EA"/>
    <w:rsid w:val="00043488"/>
    <w:rsid w:val="0004387C"/>
    <w:rsid w:val="00044092"/>
    <w:rsid w:val="000441FF"/>
    <w:rsid w:val="0004454B"/>
    <w:rsid w:val="0004481B"/>
    <w:rsid w:val="0004603A"/>
    <w:rsid w:val="000464C9"/>
    <w:rsid w:val="00046675"/>
    <w:rsid w:val="000473BC"/>
    <w:rsid w:val="00047707"/>
    <w:rsid w:val="00047C10"/>
    <w:rsid w:val="00047DAF"/>
    <w:rsid w:val="00050047"/>
    <w:rsid w:val="00050483"/>
    <w:rsid w:val="00050863"/>
    <w:rsid w:val="0005119E"/>
    <w:rsid w:val="000519B4"/>
    <w:rsid w:val="00051B79"/>
    <w:rsid w:val="000520E6"/>
    <w:rsid w:val="000524E1"/>
    <w:rsid w:val="00052805"/>
    <w:rsid w:val="00052BDA"/>
    <w:rsid w:val="00053C97"/>
    <w:rsid w:val="00054CDF"/>
    <w:rsid w:val="00054CED"/>
    <w:rsid w:val="00054CF3"/>
    <w:rsid w:val="00054F2E"/>
    <w:rsid w:val="00055459"/>
    <w:rsid w:val="000563E4"/>
    <w:rsid w:val="00056C11"/>
    <w:rsid w:val="00057941"/>
    <w:rsid w:val="00057AA3"/>
    <w:rsid w:val="00057B7C"/>
    <w:rsid w:val="00057F9F"/>
    <w:rsid w:val="00060065"/>
    <w:rsid w:val="00060C15"/>
    <w:rsid w:val="0006109B"/>
    <w:rsid w:val="0006118D"/>
    <w:rsid w:val="00062B80"/>
    <w:rsid w:val="00062DC9"/>
    <w:rsid w:val="000633B3"/>
    <w:rsid w:val="00063CF0"/>
    <w:rsid w:val="000641E2"/>
    <w:rsid w:val="000646E0"/>
    <w:rsid w:val="00064856"/>
    <w:rsid w:val="00064E1D"/>
    <w:rsid w:val="000654E3"/>
    <w:rsid w:val="00065BAA"/>
    <w:rsid w:val="00065E71"/>
    <w:rsid w:val="00065FF6"/>
    <w:rsid w:val="00066D3E"/>
    <w:rsid w:val="000677DA"/>
    <w:rsid w:val="00067BBF"/>
    <w:rsid w:val="00070C84"/>
    <w:rsid w:val="00070D33"/>
    <w:rsid w:val="00070D7E"/>
    <w:rsid w:val="00071924"/>
    <w:rsid w:val="00071C2F"/>
    <w:rsid w:val="00071C8D"/>
    <w:rsid w:val="00071CF0"/>
    <w:rsid w:val="00071D7D"/>
    <w:rsid w:val="00071EFA"/>
    <w:rsid w:val="00072024"/>
    <w:rsid w:val="0007260F"/>
    <w:rsid w:val="000733FC"/>
    <w:rsid w:val="000734EF"/>
    <w:rsid w:val="00073FAC"/>
    <w:rsid w:val="000742AA"/>
    <w:rsid w:val="000745AF"/>
    <w:rsid w:val="0007486C"/>
    <w:rsid w:val="00074B1E"/>
    <w:rsid w:val="00074CB0"/>
    <w:rsid w:val="00074DF5"/>
    <w:rsid w:val="00075650"/>
    <w:rsid w:val="00075FD7"/>
    <w:rsid w:val="00076356"/>
    <w:rsid w:val="000773D9"/>
    <w:rsid w:val="00077960"/>
    <w:rsid w:val="00077DC4"/>
    <w:rsid w:val="00077DCC"/>
    <w:rsid w:val="00077F4F"/>
    <w:rsid w:val="000800C3"/>
    <w:rsid w:val="0008010A"/>
    <w:rsid w:val="000809E4"/>
    <w:rsid w:val="00080BB5"/>
    <w:rsid w:val="00080E43"/>
    <w:rsid w:val="0008139D"/>
    <w:rsid w:val="0008156F"/>
    <w:rsid w:val="00082AF2"/>
    <w:rsid w:val="00082BFB"/>
    <w:rsid w:val="00082DBA"/>
    <w:rsid w:val="00083144"/>
    <w:rsid w:val="00083352"/>
    <w:rsid w:val="0008336B"/>
    <w:rsid w:val="00083CCA"/>
    <w:rsid w:val="00083F56"/>
    <w:rsid w:val="00084A1F"/>
    <w:rsid w:val="00084AED"/>
    <w:rsid w:val="00084C25"/>
    <w:rsid w:val="00085EBF"/>
    <w:rsid w:val="00086371"/>
    <w:rsid w:val="00086480"/>
    <w:rsid w:val="000865E4"/>
    <w:rsid w:val="00086862"/>
    <w:rsid w:val="00086874"/>
    <w:rsid w:val="00086B70"/>
    <w:rsid w:val="000870BE"/>
    <w:rsid w:val="0008739D"/>
    <w:rsid w:val="00087522"/>
    <w:rsid w:val="00087617"/>
    <w:rsid w:val="000876D8"/>
    <w:rsid w:val="00087EEC"/>
    <w:rsid w:val="0009115A"/>
    <w:rsid w:val="00091346"/>
    <w:rsid w:val="00091AC2"/>
    <w:rsid w:val="00092076"/>
    <w:rsid w:val="000921F3"/>
    <w:rsid w:val="000923AE"/>
    <w:rsid w:val="000924A6"/>
    <w:rsid w:val="00092B9B"/>
    <w:rsid w:val="00092CB4"/>
    <w:rsid w:val="00092CB8"/>
    <w:rsid w:val="000931E0"/>
    <w:rsid w:val="00093ED0"/>
    <w:rsid w:val="00093FC0"/>
    <w:rsid w:val="0009420D"/>
    <w:rsid w:val="000945E8"/>
    <w:rsid w:val="0009474A"/>
    <w:rsid w:val="000949A1"/>
    <w:rsid w:val="000951F6"/>
    <w:rsid w:val="000952AD"/>
    <w:rsid w:val="00095B47"/>
    <w:rsid w:val="00095E6E"/>
    <w:rsid w:val="000963A9"/>
    <w:rsid w:val="0009643B"/>
    <w:rsid w:val="00096547"/>
    <w:rsid w:val="00096F9B"/>
    <w:rsid w:val="00097031"/>
    <w:rsid w:val="000976EA"/>
    <w:rsid w:val="000A0125"/>
    <w:rsid w:val="000A03C8"/>
    <w:rsid w:val="000A064D"/>
    <w:rsid w:val="000A068C"/>
    <w:rsid w:val="000A0B82"/>
    <w:rsid w:val="000A1DE9"/>
    <w:rsid w:val="000A20DB"/>
    <w:rsid w:val="000A31B9"/>
    <w:rsid w:val="000A31EE"/>
    <w:rsid w:val="000A3291"/>
    <w:rsid w:val="000A367A"/>
    <w:rsid w:val="000A38B0"/>
    <w:rsid w:val="000A3CC7"/>
    <w:rsid w:val="000A4095"/>
    <w:rsid w:val="000A425B"/>
    <w:rsid w:val="000A4551"/>
    <w:rsid w:val="000A4BEB"/>
    <w:rsid w:val="000A4F2C"/>
    <w:rsid w:val="000A4F3B"/>
    <w:rsid w:val="000A54DC"/>
    <w:rsid w:val="000A592D"/>
    <w:rsid w:val="000A606C"/>
    <w:rsid w:val="000A619D"/>
    <w:rsid w:val="000A6A5B"/>
    <w:rsid w:val="000A6C00"/>
    <w:rsid w:val="000A76FB"/>
    <w:rsid w:val="000A7A33"/>
    <w:rsid w:val="000B065D"/>
    <w:rsid w:val="000B0B78"/>
    <w:rsid w:val="000B0CE6"/>
    <w:rsid w:val="000B1779"/>
    <w:rsid w:val="000B30FF"/>
    <w:rsid w:val="000B3249"/>
    <w:rsid w:val="000B3375"/>
    <w:rsid w:val="000B3D51"/>
    <w:rsid w:val="000B3E57"/>
    <w:rsid w:val="000B40E3"/>
    <w:rsid w:val="000B4A2D"/>
    <w:rsid w:val="000B4F6E"/>
    <w:rsid w:val="000B570D"/>
    <w:rsid w:val="000B5AE7"/>
    <w:rsid w:val="000B5FF1"/>
    <w:rsid w:val="000B7197"/>
    <w:rsid w:val="000B75B6"/>
    <w:rsid w:val="000B75E1"/>
    <w:rsid w:val="000B77C6"/>
    <w:rsid w:val="000B799B"/>
    <w:rsid w:val="000C02A6"/>
    <w:rsid w:val="000C02BF"/>
    <w:rsid w:val="000C05D9"/>
    <w:rsid w:val="000C0B1F"/>
    <w:rsid w:val="000C0B38"/>
    <w:rsid w:val="000C10D4"/>
    <w:rsid w:val="000C1193"/>
    <w:rsid w:val="000C11A4"/>
    <w:rsid w:val="000C1764"/>
    <w:rsid w:val="000C1D42"/>
    <w:rsid w:val="000C1EA2"/>
    <w:rsid w:val="000C1EAA"/>
    <w:rsid w:val="000C2455"/>
    <w:rsid w:val="000C280B"/>
    <w:rsid w:val="000C3000"/>
    <w:rsid w:val="000C3285"/>
    <w:rsid w:val="000C32FF"/>
    <w:rsid w:val="000C35FB"/>
    <w:rsid w:val="000C3B80"/>
    <w:rsid w:val="000C3BF4"/>
    <w:rsid w:val="000C4699"/>
    <w:rsid w:val="000C4EEA"/>
    <w:rsid w:val="000C51F9"/>
    <w:rsid w:val="000C56D1"/>
    <w:rsid w:val="000C5CD6"/>
    <w:rsid w:val="000C6171"/>
    <w:rsid w:val="000C61C6"/>
    <w:rsid w:val="000C63AA"/>
    <w:rsid w:val="000C63DA"/>
    <w:rsid w:val="000C67BE"/>
    <w:rsid w:val="000C70B4"/>
    <w:rsid w:val="000C712F"/>
    <w:rsid w:val="000C7B54"/>
    <w:rsid w:val="000D0609"/>
    <w:rsid w:val="000D18E4"/>
    <w:rsid w:val="000D1942"/>
    <w:rsid w:val="000D1A10"/>
    <w:rsid w:val="000D1A8F"/>
    <w:rsid w:val="000D1EAE"/>
    <w:rsid w:val="000D2859"/>
    <w:rsid w:val="000D35DE"/>
    <w:rsid w:val="000D37BC"/>
    <w:rsid w:val="000D388A"/>
    <w:rsid w:val="000D38DC"/>
    <w:rsid w:val="000D3956"/>
    <w:rsid w:val="000D3B52"/>
    <w:rsid w:val="000D3BED"/>
    <w:rsid w:val="000D3CE5"/>
    <w:rsid w:val="000D42C7"/>
    <w:rsid w:val="000D48FF"/>
    <w:rsid w:val="000D58BB"/>
    <w:rsid w:val="000D58D0"/>
    <w:rsid w:val="000D6313"/>
    <w:rsid w:val="000D6429"/>
    <w:rsid w:val="000D6A2B"/>
    <w:rsid w:val="000D6F73"/>
    <w:rsid w:val="000E1131"/>
    <w:rsid w:val="000E184E"/>
    <w:rsid w:val="000E19C4"/>
    <w:rsid w:val="000E1D83"/>
    <w:rsid w:val="000E2EFE"/>
    <w:rsid w:val="000E3621"/>
    <w:rsid w:val="000E3F7E"/>
    <w:rsid w:val="000E46DB"/>
    <w:rsid w:val="000E4BD2"/>
    <w:rsid w:val="000E4E00"/>
    <w:rsid w:val="000E5053"/>
    <w:rsid w:val="000E556E"/>
    <w:rsid w:val="000E5B13"/>
    <w:rsid w:val="000E6370"/>
    <w:rsid w:val="000E66DE"/>
    <w:rsid w:val="000E6F0B"/>
    <w:rsid w:val="000E70E1"/>
    <w:rsid w:val="000E714D"/>
    <w:rsid w:val="000F002D"/>
    <w:rsid w:val="000F0958"/>
    <w:rsid w:val="000F1312"/>
    <w:rsid w:val="000F1BF1"/>
    <w:rsid w:val="000F1C41"/>
    <w:rsid w:val="000F20A1"/>
    <w:rsid w:val="000F221E"/>
    <w:rsid w:val="000F279F"/>
    <w:rsid w:val="000F2A2C"/>
    <w:rsid w:val="000F361F"/>
    <w:rsid w:val="000F3FF6"/>
    <w:rsid w:val="000F44D8"/>
    <w:rsid w:val="000F4502"/>
    <w:rsid w:val="000F46DB"/>
    <w:rsid w:val="000F47F7"/>
    <w:rsid w:val="000F5163"/>
    <w:rsid w:val="000F574C"/>
    <w:rsid w:val="000F5DE4"/>
    <w:rsid w:val="000F5EBE"/>
    <w:rsid w:val="000F6390"/>
    <w:rsid w:val="000F64EC"/>
    <w:rsid w:val="000F6BE6"/>
    <w:rsid w:val="000F6EFE"/>
    <w:rsid w:val="000F70FC"/>
    <w:rsid w:val="000F7394"/>
    <w:rsid w:val="000F76A3"/>
    <w:rsid w:val="000F78FB"/>
    <w:rsid w:val="000F7944"/>
    <w:rsid w:val="00100146"/>
    <w:rsid w:val="0010032D"/>
    <w:rsid w:val="0010082E"/>
    <w:rsid w:val="00100A03"/>
    <w:rsid w:val="00100B74"/>
    <w:rsid w:val="00100FBA"/>
    <w:rsid w:val="001011D2"/>
    <w:rsid w:val="00101C9D"/>
    <w:rsid w:val="001027D5"/>
    <w:rsid w:val="00102B6A"/>
    <w:rsid w:val="00102C12"/>
    <w:rsid w:val="00102C92"/>
    <w:rsid w:val="00102DCB"/>
    <w:rsid w:val="0010306F"/>
    <w:rsid w:val="0010368C"/>
    <w:rsid w:val="00103C0F"/>
    <w:rsid w:val="00103CAB"/>
    <w:rsid w:val="00103FB0"/>
    <w:rsid w:val="00103FE0"/>
    <w:rsid w:val="001045DC"/>
    <w:rsid w:val="00104DCE"/>
    <w:rsid w:val="0010593C"/>
    <w:rsid w:val="00105EA3"/>
    <w:rsid w:val="00106D48"/>
    <w:rsid w:val="00106D54"/>
    <w:rsid w:val="00106E05"/>
    <w:rsid w:val="00106F5E"/>
    <w:rsid w:val="00107BC8"/>
    <w:rsid w:val="00107F86"/>
    <w:rsid w:val="001108B0"/>
    <w:rsid w:val="00110920"/>
    <w:rsid w:val="00110E12"/>
    <w:rsid w:val="001110FF"/>
    <w:rsid w:val="0011146C"/>
    <w:rsid w:val="0011185D"/>
    <w:rsid w:val="001122F6"/>
    <w:rsid w:val="00112995"/>
    <w:rsid w:val="00112C15"/>
    <w:rsid w:val="00112E65"/>
    <w:rsid w:val="00112E9F"/>
    <w:rsid w:val="00113027"/>
    <w:rsid w:val="001136DE"/>
    <w:rsid w:val="0011386F"/>
    <w:rsid w:val="001152A1"/>
    <w:rsid w:val="00115719"/>
    <w:rsid w:val="0011696F"/>
    <w:rsid w:val="0011716F"/>
    <w:rsid w:val="00117522"/>
    <w:rsid w:val="0011762A"/>
    <w:rsid w:val="00117A69"/>
    <w:rsid w:val="0012059B"/>
    <w:rsid w:val="0012085F"/>
    <w:rsid w:val="001208EC"/>
    <w:rsid w:val="00120B4B"/>
    <w:rsid w:val="00121A3F"/>
    <w:rsid w:val="00122CEC"/>
    <w:rsid w:val="00122F51"/>
    <w:rsid w:val="0012310F"/>
    <w:rsid w:val="0012336B"/>
    <w:rsid w:val="00123C3B"/>
    <w:rsid w:val="00123CB1"/>
    <w:rsid w:val="00123E05"/>
    <w:rsid w:val="001247B1"/>
    <w:rsid w:val="00124896"/>
    <w:rsid w:val="0012510E"/>
    <w:rsid w:val="001258C8"/>
    <w:rsid w:val="00126422"/>
    <w:rsid w:val="00126680"/>
    <w:rsid w:val="00126E6F"/>
    <w:rsid w:val="001270D3"/>
    <w:rsid w:val="00127175"/>
    <w:rsid w:val="00127498"/>
    <w:rsid w:val="001276FF"/>
    <w:rsid w:val="0012776D"/>
    <w:rsid w:val="00127EBF"/>
    <w:rsid w:val="00130270"/>
    <w:rsid w:val="0013063A"/>
    <w:rsid w:val="001306FA"/>
    <w:rsid w:val="00130989"/>
    <w:rsid w:val="00130CF0"/>
    <w:rsid w:val="00130F04"/>
    <w:rsid w:val="00130FD6"/>
    <w:rsid w:val="00131AA0"/>
    <w:rsid w:val="00132549"/>
    <w:rsid w:val="00132811"/>
    <w:rsid w:val="00132947"/>
    <w:rsid w:val="00132CC3"/>
    <w:rsid w:val="00133314"/>
    <w:rsid w:val="00133414"/>
    <w:rsid w:val="00133B41"/>
    <w:rsid w:val="00134525"/>
    <w:rsid w:val="00134695"/>
    <w:rsid w:val="0013507C"/>
    <w:rsid w:val="0013520A"/>
    <w:rsid w:val="001353A0"/>
    <w:rsid w:val="00135504"/>
    <w:rsid w:val="00135921"/>
    <w:rsid w:val="00135D5E"/>
    <w:rsid w:val="0013648E"/>
    <w:rsid w:val="00136569"/>
    <w:rsid w:val="001368D9"/>
    <w:rsid w:val="00136931"/>
    <w:rsid w:val="00136964"/>
    <w:rsid w:val="00136B1B"/>
    <w:rsid w:val="001407B0"/>
    <w:rsid w:val="001408C5"/>
    <w:rsid w:val="00140E81"/>
    <w:rsid w:val="00141309"/>
    <w:rsid w:val="00141603"/>
    <w:rsid w:val="0014206A"/>
    <w:rsid w:val="00142152"/>
    <w:rsid w:val="0014224B"/>
    <w:rsid w:val="0014264B"/>
    <w:rsid w:val="001426AE"/>
    <w:rsid w:val="001430E1"/>
    <w:rsid w:val="00143641"/>
    <w:rsid w:val="00143972"/>
    <w:rsid w:val="00143A83"/>
    <w:rsid w:val="001442B1"/>
    <w:rsid w:val="0014496D"/>
    <w:rsid w:val="00144CDC"/>
    <w:rsid w:val="0014507A"/>
    <w:rsid w:val="001465A8"/>
    <w:rsid w:val="001468A3"/>
    <w:rsid w:val="00146939"/>
    <w:rsid w:val="00147020"/>
    <w:rsid w:val="001472EB"/>
    <w:rsid w:val="0014742F"/>
    <w:rsid w:val="001479D7"/>
    <w:rsid w:val="00147BA6"/>
    <w:rsid w:val="00150571"/>
    <w:rsid w:val="001506F0"/>
    <w:rsid w:val="00150816"/>
    <w:rsid w:val="00150BE6"/>
    <w:rsid w:val="00150E54"/>
    <w:rsid w:val="00150E59"/>
    <w:rsid w:val="001513BE"/>
    <w:rsid w:val="00151525"/>
    <w:rsid w:val="00152DA5"/>
    <w:rsid w:val="0015301F"/>
    <w:rsid w:val="001538B6"/>
    <w:rsid w:val="00153AFA"/>
    <w:rsid w:val="00153B42"/>
    <w:rsid w:val="00153D0E"/>
    <w:rsid w:val="00153D4E"/>
    <w:rsid w:val="00154954"/>
    <w:rsid w:val="0015498C"/>
    <w:rsid w:val="00154E69"/>
    <w:rsid w:val="00155BF1"/>
    <w:rsid w:val="001560A0"/>
    <w:rsid w:val="001565D7"/>
    <w:rsid w:val="00156710"/>
    <w:rsid w:val="0015700F"/>
    <w:rsid w:val="00157025"/>
    <w:rsid w:val="001579E8"/>
    <w:rsid w:val="001600D3"/>
    <w:rsid w:val="00160616"/>
    <w:rsid w:val="001607B8"/>
    <w:rsid w:val="0016100C"/>
    <w:rsid w:val="001613FB"/>
    <w:rsid w:val="00161446"/>
    <w:rsid w:val="0016221D"/>
    <w:rsid w:val="00163585"/>
    <w:rsid w:val="00163743"/>
    <w:rsid w:val="001637ED"/>
    <w:rsid w:val="0016398A"/>
    <w:rsid w:val="00164034"/>
    <w:rsid w:val="001652F7"/>
    <w:rsid w:val="0016531D"/>
    <w:rsid w:val="00165408"/>
    <w:rsid w:val="00166108"/>
    <w:rsid w:val="00166170"/>
    <w:rsid w:val="00166651"/>
    <w:rsid w:val="00167762"/>
    <w:rsid w:val="0016798A"/>
    <w:rsid w:val="00170179"/>
    <w:rsid w:val="00171863"/>
    <w:rsid w:val="0017197A"/>
    <w:rsid w:val="00171CF6"/>
    <w:rsid w:val="00172767"/>
    <w:rsid w:val="00172A1B"/>
    <w:rsid w:val="00173838"/>
    <w:rsid w:val="00174E53"/>
    <w:rsid w:val="00175141"/>
    <w:rsid w:val="00175707"/>
    <w:rsid w:val="0017575C"/>
    <w:rsid w:val="00175877"/>
    <w:rsid w:val="00175B69"/>
    <w:rsid w:val="0017635A"/>
    <w:rsid w:val="001768BC"/>
    <w:rsid w:val="00176E29"/>
    <w:rsid w:val="001770B1"/>
    <w:rsid w:val="0017737E"/>
    <w:rsid w:val="00177AF7"/>
    <w:rsid w:val="00177EBB"/>
    <w:rsid w:val="0018036C"/>
    <w:rsid w:val="001803AE"/>
    <w:rsid w:val="00180695"/>
    <w:rsid w:val="00180791"/>
    <w:rsid w:val="001808E7"/>
    <w:rsid w:val="001810DD"/>
    <w:rsid w:val="00181A16"/>
    <w:rsid w:val="00181C8C"/>
    <w:rsid w:val="0018278B"/>
    <w:rsid w:val="00182F46"/>
    <w:rsid w:val="00183026"/>
    <w:rsid w:val="001838F1"/>
    <w:rsid w:val="00183992"/>
    <w:rsid w:val="00183DBA"/>
    <w:rsid w:val="00183DEC"/>
    <w:rsid w:val="00183E6C"/>
    <w:rsid w:val="00184244"/>
    <w:rsid w:val="00184628"/>
    <w:rsid w:val="0018467D"/>
    <w:rsid w:val="001849F7"/>
    <w:rsid w:val="00184D7D"/>
    <w:rsid w:val="00185160"/>
    <w:rsid w:val="001851F7"/>
    <w:rsid w:val="001853C3"/>
    <w:rsid w:val="00185D7F"/>
    <w:rsid w:val="001860CE"/>
    <w:rsid w:val="001863CC"/>
    <w:rsid w:val="001865FB"/>
    <w:rsid w:val="0018705B"/>
    <w:rsid w:val="00187571"/>
    <w:rsid w:val="00187DE2"/>
    <w:rsid w:val="00187F25"/>
    <w:rsid w:val="00187FE4"/>
    <w:rsid w:val="00190AE9"/>
    <w:rsid w:val="00190C61"/>
    <w:rsid w:val="00190CF1"/>
    <w:rsid w:val="00191AA7"/>
    <w:rsid w:val="001924B6"/>
    <w:rsid w:val="00192A53"/>
    <w:rsid w:val="00192CF4"/>
    <w:rsid w:val="00193797"/>
    <w:rsid w:val="00193DD0"/>
    <w:rsid w:val="00193F64"/>
    <w:rsid w:val="00194AB3"/>
    <w:rsid w:val="001959E6"/>
    <w:rsid w:val="00195E44"/>
    <w:rsid w:val="001960F4"/>
    <w:rsid w:val="00196B9A"/>
    <w:rsid w:val="001978BF"/>
    <w:rsid w:val="00197979"/>
    <w:rsid w:val="00197AB3"/>
    <w:rsid w:val="001A0207"/>
    <w:rsid w:val="001A0217"/>
    <w:rsid w:val="001A141E"/>
    <w:rsid w:val="001A1EA4"/>
    <w:rsid w:val="001A22FE"/>
    <w:rsid w:val="001A258C"/>
    <w:rsid w:val="001A2B19"/>
    <w:rsid w:val="001A2C6A"/>
    <w:rsid w:val="001A2FC6"/>
    <w:rsid w:val="001A311F"/>
    <w:rsid w:val="001A3159"/>
    <w:rsid w:val="001A33FC"/>
    <w:rsid w:val="001A3860"/>
    <w:rsid w:val="001A3AB2"/>
    <w:rsid w:val="001A3D49"/>
    <w:rsid w:val="001A3EBA"/>
    <w:rsid w:val="001A4F60"/>
    <w:rsid w:val="001A5AF2"/>
    <w:rsid w:val="001A64AD"/>
    <w:rsid w:val="001A6503"/>
    <w:rsid w:val="001A6573"/>
    <w:rsid w:val="001A6D3D"/>
    <w:rsid w:val="001A71B7"/>
    <w:rsid w:val="001A71E4"/>
    <w:rsid w:val="001A71EE"/>
    <w:rsid w:val="001A72B2"/>
    <w:rsid w:val="001A73A1"/>
    <w:rsid w:val="001A75D4"/>
    <w:rsid w:val="001A7A99"/>
    <w:rsid w:val="001A7DE0"/>
    <w:rsid w:val="001B033B"/>
    <w:rsid w:val="001B03C4"/>
    <w:rsid w:val="001B03CC"/>
    <w:rsid w:val="001B0AEE"/>
    <w:rsid w:val="001B14BF"/>
    <w:rsid w:val="001B16E8"/>
    <w:rsid w:val="001B1DB7"/>
    <w:rsid w:val="001B1DFE"/>
    <w:rsid w:val="001B242E"/>
    <w:rsid w:val="001B252A"/>
    <w:rsid w:val="001B2CFC"/>
    <w:rsid w:val="001B2DD7"/>
    <w:rsid w:val="001B3036"/>
    <w:rsid w:val="001B354E"/>
    <w:rsid w:val="001B38CB"/>
    <w:rsid w:val="001B393C"/>
    <w:rsid w:val="001B3F75"/>
    <w:rsid w:val="001B4240"/>
    <w:rsid w:val="001B4C1F"/>
    <w:rsid w:val="001B4E58"/>
    <w:rsid w:val="001B6494"/>
    <w:rsid w:val="001B6707"/>
    <w:rsid w:val="001B6A2C"/>
    <w:rsid w:val="001B6D94"/>
    <w:rsid w:val="001B72AD"/>
    <w:rsid w:val="001B773D"/>
    <w:rsid w:val="001B7C8F"/>
    <w:rsid w:val="001C086A"/>
    <w:rsid w:val="001C0AE6"/>
    <w:rsid w:val="001C16A2"/>
    <w:rsid w:val="001C16B6"/>
    <w:rsid w:val="001C1859"/>
    <w:rsid w:val="001C1BF0"/>
    <w:rsid w:val="001C1C02"/>
    <w:rsid w:val="001C1C48"/>
    <w:rsid w:val="001C2677"/>
    <w:rsid w:val="001C2CB2"/>
    <w:rsid w:val="001C2F07"/>
    <w:rsid w:val="001C33CE"/>
    <w:rsid w:val="001C3B66"/>
    <w:rsid w:val="001C45A9"/>
    <w:rsid w:val="001C4896"/>
    <w:rsid w:val="001C4F94"/>
    <w:rsid w:val="001C55BF"/>
    <w:rsid w:val="001C5F0D"/>
    <w:rsid w:val="001C63BD"/>
    <w:rsid w:val="001C67D9"/>
    <w:rsid w:val="001C69BF"/>
    <w:rsid w:val="001C73D6"/>
    <w:rsid w:val="001D0A54"/>
    <w:rsid w:val="001D0C09"/>
    <w:rsid w:val="001D1308"/>
    <w:rsid w:val="001D13AD"/>
    <w:rsid w:val="001D1B29"/>
    <w:rsid w:val="001D1BC4"/>
    <w:rsid w:val="001D2A78"/>
    <w:rsid w:val="001D4004"/>
    <w:rsid w:val="001D409B"/>
    <w:rsid w:val="001D44CA"/>
    <w:rsid w:val="001D4CFA"/>
    <w:rsid w:val="001D4D5D"/>
    <w:rsid w:val="001D4DAF"/>
    <w:rsid w:val="001D5632"/>
    <w:rsid w:val="001D56B8"/>
    <w:rsid w:val="001D6244"/>
    <w:rsid w:val="001D6D73"/>
    <w:rsid w:val="001D7665"/>
    <w:rsid w:val="001D793A"/>
    <w:rsid w:val="001D7CA9"/>
    <w:rsid w:val="001D7D42"/>
    <w:rsid w:val="001D7E4D"/>
    <w:rsid w:val="001E0073"/>
    <w:rsid w:val="001E01F4"/>
    <w:rsid w:val="001E0206"/>
    <w:rsid w:val="001E03E9"/>
    <w:rsid w:val="001E094A"/>
    <w:rsid w:val="001E0C31"/>
    <w:rsid w:val="001E0D9E"/>
    <w:rsid w:val="001E0ED5"/>
    <w:rsid w:val="001E13F3"/>
    <w:rsid w:val="001E178C"/>
    <w:rsid w:val="001E17A8"/>
    <w:rsid w:val="001E19B0"/>
    <w:rsid w:val="001E251E"/>
    <w:rsid w:val="001E2E9D"/>
    <w:rsid w:val="001E305B"/>
    <w:rsid w:val="001E3170"/>
    <w:rsid w:val="001E3324"/>
    <w:rsid w:val="001E338E"/>
    <w:rsid w:val="001E4836"/>
    <w:rsid w:val="001E4CAC"/>
    <w:rsid w:val="001E5244"/>
    <w:rsid w:val="001E5250"/>
    <w:rsid w:val="001E5257"/>
    <w:rsid w:val="001E5BF1"/>
    <w:rsid w:val="001E5DA0"/>
    <w:rsid w:val="001E6099"/>
    <w:rsid w:val="001E6519"/>
    <w:rsid w:val="001E6A32"/>
    <w:rsid w:val="001E77D3"/>
    <w:rsid w:val="001E7851"/>
    <w:rsid w:val="001E7D3F"/>
    <w:rsid w:val="001E7E07"/>
    <w:rsid w:val="001E7E34"/>
    <w:rsid w:val="001F008C"/>
    <w:rsid w:val="001F0CDC"/>
    <w:rsid w:val="001F1165"/>
    <w:rsid w:val="001F19F1"/>
    <w:rsid w:val="001F1ED3"/>
    <w:rsid w:val="001F2171"/>
    <w:rsid w:val="001F2180"/>
    <w:rsid w:val="001F28BB"/>
    <w:rsid w:val="001F2EEF"/>
    <w:rsid w:val="001F4005"/>
    <w:rsid w:val="001F4122"/>
    <w:rsid w:val="001F4246"/>
    <w:rsid w:val="001F553F"/>
    <w:rsid w:val="001F5824"/>
    <w:rsid w:val="001F5A9A"/>
    <w:rsid w:val="001F78B8"/>
    <w:rsid w:val="001F7B53"/>
    <w:rsid w:val="001F7BF0"/>
    <w:rsid w:val="00200297"/>
    <w:rsid w:val="002008B9"/>
    <w:rsid w:val="002009E5"/>
    <w:rsid w:val="00200A28"/>
    <w:rsid w:val="00200CA2"/>
    <w:rsid w:val="00201174"/>
    <w:rsid w:val="00201ACC"/>
    <w:rsid w:val="00201D38"/>
    <w:rsid w:val="002028F1"/>
    <w:rsid w:val="00202A7F"/>
    <w:rsid w:val="00203790"/>
    <w:rsid w:val="0020381C"/>
    <w:rsid w:val="0020387C"/>
    <w:rsid w:val="00204145"/>
    <w:rsid w:val="0020452C"/>
    <w:rsid w:val="002045E6"/>
    <w:rsid w:val="0020473E"/>
    <w:rsid w:val="00204CF9"/>
    <w:rsid w:val="0020521D"/>
    <w:rsid w:val="002052AA"/>
    <w:rsid w:val="00205427"/>
    <w:rsid w:val="00205BEF"/>
    <w:rsid w:val="00207615"/>
    <w:rsid w:val="002076F2"/>
    <w:rsid w:val="00207DF2"/>
    <w:rsid w:val="00207F7C"/>
    <w:rsid w:val="00207FA7"/>
    <w:rsid w:val="002106F9"/>
    <w:rsid w:val="0021075A"/>
    <w:rsid w:val="00210956"/>
    <w:rsid w:val="00210F54"/>
    <w:rsid w:val="0021109B"/>
    <w:rsid w:val="002110A5"/>
    <w:rsid w:val="0021222D"/>
    <w:rsid w:val="00212279"/>
    <w:rsid w:val="0021272C"/>
    <w:rsid w:val="00212960"/>
    <w:rsid w:val="0021324C"/>
    <w:rsid w:val="00213F5A"/>
    <w:rsid w:val="00214068"/>
    <w:rsid w:val="00214345"/>
    <w:rsid w:val="002143B5"/>
    <w:rsid w:val="00214B92"/>
    <w:rsid w:val="0021576F"/>
    <w:rsid w:val="00216420"/>
    <w:rsid w:val="002169B4"/>
    <w:rsid w:val="002171ED"/>
    <w:rsid w:val="00217567"/>
    <w:rsid w:val="0021784E"/>
    <w:rsid w:val="00217893"/>
    <w:rsid w:val="00217C41"/>
    <w:rsid w:val="00217D7D"/>
    <w:rsid w:val="00217FF6"/>
    <w:rsid w:val="002204E7"/>
    <w:rsid w:val="00220501"/>
    <w:rsid w:val="002212F0"/>
    <w:rsid w:val="00221DDD"/>
    <w:rsid w:val="00222188"/>
    <w:rsid w:val="00222F99"/>
    <w:rsid w:val="002231D6"/>
    <w:rsid w:val="00223720"/>
    <w:rsid w:val="002238B3"/>
    <w:rsid w:val="00223A6C"/>
    <w:rsid w:val="00224802"/>
    <w:rsid w:val="00224F62"/>
    <w:rsid w:val="002256A1"/>
    <w:rsid w:val="00225797"/>
    <w:rsid w:val="00225D09"/>
    <w:rsid w:val="002261B3"/>
    <w:rsid w:val="0022631F"/>
    <w:rsid w:val="0022731A"/>
    <w:rsid w:val="00227FC6"/>
    <w:rsid w:val="00230043"/>
    <w:rsid w:val="002305B0"/>
    <w:rsid w:val="002305FC"/>
    <w:rsid w:val="002309BE"/>
    <w:rsid w:val="00230EA2"/>
    <w:rsid w:val="00231568"/>
    <w:rsid w:val="00231714"/>
    <w:rsid w:val="0023191B"/>
    <w:rsid w:val="00231C83"/>
    <w:rsid w:val="002321C7"/>
    <w:rsid w:val="002328DE"/>
    <w:rsid w:val="002329E3"/>
    <w:rsid w:val="00232AAA"/>
    <w:rsid w:val="00232B7F"/>
    <w:rsid w:val="00232BAA"/>
    <w:rsid w:val="00232EC4"/>
    <w:rsid w:val="002332F9"/>
    <w:rsid w:val="00233786"/>
    <w:rsid w:val="00233923"/>
    <w:rsid w:val="00233EAC"/>
    <w:rsid w:val="0023407E"/>
    <w:rsid w:val="002341B4"/>
    <w:rsid w:val="0023476C"/>
    <w:rsid w:val="00234BB6"/>
    <w:rsid w:val="00234D1A"/>
    <w:rsid w:val="0023526E"/>
    <w:rsid w:val="00235371"/>
    <w:rsid w:val="00235812"/>
    <w:rsid w:val="002359C4"/>
    <w:rsid w:val="002359D1"/>
    <w:rsid w:val="002361E7"/>
    <w:rsid w:val="00236660"/>
    <w:rsid w:val="002367C3"/>
    <w:rsid w:val="00236F75"/>
    <w:rsid w:val="002371CC"/>
    <w:rsid w:val="002375B6"/>
    <w:rsid w:val="0023795C"/>
    <w:rsid w:val="00237AB9"/>
    <w:rsid w:val="00237DF5"/>
    <w:rsid w:val="00237F56"/>
    <w:rsid w:val="00240582"/>
    <w:rsid w:val="00240662"/>
    <w:rsid w:val="00240D50"/>
    <w:rsid w:val="00240EB1"/>
    <w:rsid w:val="00241391"/>
    <w:rsid w:val="00241C42"/>
    <w:rsid w:val="00242969"/>
    <w:rsid w:val="00242980"/>
    <w:rsid w:val="00242A13"/>
    <w:rsid w:val="00242DB9"/>
    <w:rsid w:val="002430AA"/>
    <w:rsid w:val="002432A7"/>
    <w:rsid w:val="0024382C"/>
    <w:rsid w:val="002439D1"/>
    <w:rsid w:val="00243AB4"/>
    <w:rsid w:val="00245988"/>
    <w:rsid w:val="002459B7"/>
    <w:rsid w:val="00245B27"/>
    <w:rsid w:val="00245E3B"/>
    <w:rsid w:val="002467FC"/>
    <w:rsid w:val="00246B9E"/>
    <w:rsid w:val="002477C8"/>
    <w:rsid w:val="00247C1B"/>
    <w:rsid w:val="00250761"/>
    <w:rsid w:val="002509B1"/>
    <w:rsid w:val="00251109"/>
    <w:rsid w:val="0025158E"/>
    <w:rsid w:val="0025195A"/>
    <w:rsid w:val="00251D06"/>
    <w:rsid w:val="00251E64"/>
    <w:rsid w:val="00251FCB"/>
    <w:rsid w:val="00252194"/>
    <w:rsid w:val="0025228E"/>
    <w:rsid w:val="00252AF7"/>
    <w:rsid w:val="002533B9"/>
    <w:rsid w:val="00253647"/>
    <w:rsid w:val="00253ED5"/>
    <w:rsid w:val="002542ED"/>
    <w:rsid w:val="00254DCF"/>
    <w:rsid w:val="00255126"/>
    <w:rsid w:val="00255210"/>
    <w:rsid w:val="002558B3"/>
    <w:rsid w:val="00255E7B"/>
    <w:rsid w:val="00256256"/>
    <w:rsid w:val="002568E9"/>
    <w:rsid w:val="00256FBD"/>
    <w:rsid w:val="00257329"/>
    <w:rsid w:val="00257841"/>
    <w:rsid w:val="0025785E"/>
    <w:rsid w:val="00257B9E"/>
    <w:rsid w:val="0026044B"/>
    <w:rsid w:val="002607F6"/>
    <w:rsid w:val="0026164A"/>
    <w:rsid w:val="00262593"/>
    <w:rsid w:val="00262746"/>
    <w:rsid w:val="002627D8"/>
    <w:rsid w:val="002629D4"/>
    <w:rsid w:val="00262AD6"/>
    <w:rsid w:val="00263BE1"/>
    <w:rsid w:val="002642DC"/>
    <w:rsid w:val="00264628"/>
    <w:rsid w:val="00264ACA"/>
    <w:rsid w:val="00264F77"/>
    <w:rsid w:val="00264FBD"/>
    <w:rsid w:val="00265836"/>
    <w:rsid w:val="00265A85"/>
    <w:rsid w:val="00265CBD"/>
    <w:rsid w:val="00266A66"/>
    <w:rsid w:val="00267579"/>
    <w:rsid w:val="002678FD"/>
    <w:rsid w:val="002701F5"/>
    <w:rsid w:val="00270575"/>
    <w:rsid w:val="002708BD"/>
    <w:rsid w:val="002708E3"/>
    <w:rsid w:val="002713BC"/>
    <w:rsid w:val="002713E3"/>
    <w:rsid w:val="00271776"/>
    <w:rsid w:val="00272FE3"/>
    <w:rsid w:val="0027300D"/>
    <w:rsid w:val="0027315C"/>
    <w:rsid w:val="002731C3"/>
    <w:rsid w:val="00273503"/>
    <w:rsid w:val="0027365C"/>
    <w:rsid w:val="00273ABE"/>
    <w:rsid w:val="00273DF6"/>
    <w:rsid w:val="00274031"/>
    <w:rsid w:val="00274616"/>
    <w:rsid w:val="00275770"/>
    <w:rsid w:val="00276339"/>
    <w:rsid w:val="002763CA"/>
    <w:rsid w:val="002768B5"/>
    <w:rsid w:val="00276B84"/>
    <w:rsid w:val="00276D01"/>
    <w:rsid w:val="00277094"/>
    <w:rsid w:val="002774A5"/>
    <w:rsid w:val="00277563"/>
    <w:rsid w:val="00277D03"/>
    <w:rsid w:val="002802E6"/>
    <w:rsid w:val="002803C6"/>
    <w:rsid w:val="00280DC8"/>
    <w:rsid w:val="00280F37"/>
    <w:rsid w:val="00282322"/>
    <w:rsid w:val="0028251C"/>
    <w:rsid w:val="002825C5"/>
    <w:rsid w:val="00282708"/>
    <w:rsid w:val="002827DA"/>
    <w:rsid w:val="0028281B"/>
    <w:rsid w:val="002830D6"/>
    <w:rsid w:val="00283D11"/>
    <w:rsid w:val="002847F2"/>
    <w:rsid w:val="00284862"/>
    <w:rsid w:val="00285090"/>
    <w:rsid w:val="002850B7"/>
    <w:rsid w:val="0028573E"/>
    <w:rsid w:val="0028574C"/>
    <w:rsid w:val="00285E29"/>
    <w:rsid w:val="00286584"/>
    <w:rsid w:val="002866D0"/>
    <w:rsid w:val="00286AB4"/>
    <w:rsid w:val="002873FF"/>
    <w:rsid w:val="002875A3"/>
    <w:rsid w:val="002878CD"/>
    <w:rsid w:val="00287957"/>
    <w:rsid w:val="00287BFD"/>
    <w:rsid w:val="00287E78"/>
    <w:rsid w:val="00287FB4"/>
    <w:rsid w:val="00290116"/>
    <w:rsid w:val="00290F0E"/>
    <w:rsid w:val="002918A2"/>
    <w:rsid w:val="00291F44"/>
    <w:rsid w:val="00292029"/>
    <w:rsid w:val="002925B8"/>
    <w:rsid w:val="002925D2"/>
    <w:rsid w:val="00292D86"/>
    <w:rsid w:val="0029302F"/>
    <w:rsid w:val="002932D9"/>
    <w:rsid w:val="00293E07"/>
    <w:rsid w:val="00294207"/>
    <w:rsid w:val="00294A3A"/>
    <w:rsid w:val="00294ABE"/>
    <w:rsid w:val="00294CDB"/>
    <w:rsid w:val="002951B7"/>
    <w:rsid w:val="002953BD"/>
    <w:rsid w:val="00295D1E"/>
    <w:rsid w:val="00296328"/>
    <w:rsid w:val="00296669"/>
    <w:rsid w:val="0029677E"/>
    <w:rsid w:val="00296AB6"/>
    <w:rsid w:val="00296AC4"/>
    <w:rsid w:val="00297883"/>
    <w:rsid w:val="00297CD2"/>
    <w:rsid w:val="002A0978"/>
    <w:rsid w:val="002A0989"/>
    <w:rsid w:val="002A0D7C"/>
    <w:rsid w:val="002A1172"/>
    <w:rsid w:val="002A1DF1"/>
    <w:rsid w:val="002A214E"/>
    <w:rsid w:val="002A2280"/>
    <w:rsid w:val="002A283F"/>
    <w:rsid w:val="002A293E"/>
    <w:rsid w:val="002A3BBE"/>
    <w:rsid w:val="002A3C09"/>
    <w:rsid w:val="002A3C6E"/>
    <w:rsid w:val="002A4520"/>
    <w:rsid w:val="002A53E8"/>
    <w:rsid w:val="002A559A"/>
    <w:rsid w:val="002A5987"/>
    <w:rsid w:val="002A5CC3"/>
    <w:rsid w:val="002A64DA"/>
    <w:rsid w:val="002A68BB"/>
    <w:rsid w:val="002A69A6"/>
    <w:rsid w:val="002A69FF"/>
    <w:rsid w:val="002A735D"/>
    <w:rsid w:val="002A74C9"/>
    <w:rsid w:val="002A7784"/>
    <w:rsid w:val="002A7E02"/>
    <w:rsid w:val="002B0267"/>
    <w:rsid w:val="002B08AD"/>
    <w:rsid w:val="002B1018"/>
    <w:rsid w:val="002B1205"/>
    <w:rsid w:val="002B1424"/>
    <w:rsid w:val="002B1E9A"/>
    <w:rsid w:val="002B24EE"/>
    <w:rsid w:val="002B2A08"/>
    <w:rsid w:val="002B2A69"/>
    <w:rsid w:val="002B2D7B"/>
    <w:rsid w:val="002B2E29"/>
    <w:rsid w:val="002B334F"/>
    <w:rsid w:val="002B3FFA"/>
    <w:rsid w:val="002B4359"/>
    <w:rsid w:val="002B4FAC"/>
    <w:rsid w:val="002B5B36"/>
    <w:rsid w:val="002B5B76"/>
    <w:rsid w:val="002B676E"/>
    <w:rsid w:val="002B678B"/>
    <w:rsid w:val="002B6934"/>
    <w:rsid w:val="002B6DF8"/>
    <w:rsid w:val="002B7344"/>
    <w:rsid w:val="002B7595"/>
    <w:rsid w:val="002B76C4"/>
    <w:rsid w:val="002B7769"/>
    <w:rsid w:val="002B79A5"/>
    <w:rsid w:val="002B7CE0"/>
    <w:rsid w:val="002B7DDA"/>
    <w:rsid w:val="002C0C7E"/>
    <w:rsid w:val="002C0D66"/>
    <w:rsid w:val="002C184C"/>
    <w:rsid w:val="002C1995"/>
    <w:rsid w:val="002C19D4"/>
    <w:rsid w:val="002C20A1"/>
    <w:rsid w:val="002C29F7"/>
    <w:rsid w:val="002C2CED"/>
    <w:rsid w:val="002C4336"/>
    <w:rsid w:val="002C43A1"/>
    <w:rsid w:val="002C443A"/>
    <w:rsid w:val="002C5771"/>
    <w:rsid w:val="002C5E28"/>
    <w:rsid w:val="002C6A5B"/>
    <w:rsid w:val="002C6D35"/>
    <w:rsid w:val="002C7327"/>
    <w:rsid w:val="002C79CD"/>
    <w:rsid w:val="002C7BD7"/>
    <w:rsid w:val="002C7D5B"/>
    <w:rsid w:val="002C7F21"/>
    <w:rsid w:val="002C7FE9"/>
    <w:rsid w:val="002D07B7"/>
    <w:rsid w:val="002D0B02"/>
    <w:rsid w:val="002D0D19"/>
    <w:rsid w:val="002D10D4"/>
    <w:rsid w:val="002D1224"/>
    <w:rsid w:val="002D13B3"/>
    <w:rsid w:val="002D13D9"/>
    <w:rsid w:val="002D1CB6"/>
    <w:rsid w:val="002D1DC1"/>
    <w:rsid w:val="002D203A"/>
    <w:rsid w:val="002D2F24"/>
    <w:rsid w:val="002D36C2"/>
    <w:rsid w:val="002D382F"/>
    <w:rsid w:val="002D4030"/>
    <w:rsid w:val="002D4261"/>
    <w:rsid w:val="002D490D"/>
    <w:rsid w:val="002D4CAE"/>
    <w:rsid w:val="002D559B"/>
    <w:rsid w:val="002D55D0"/>
    <w:rsid w:val="002D584E"/>
    <w:rsid w:val="002D5998"/>
    <w:rsid w:val="002D5BFE"/>
    <w:rsid w:val="002D60AF"/>
    <w:rsid w:val="002D6251"/>
    <w:rsid w:val="002D6364"/>
    <w:rsid w:val="002D6A8D"/>
    <w:rsid w:val="002D6F86"/>
    <w:rsid w:val="002D733B"/>
    <w:rsid w:val="002D7941"/>
    <w:rsid w:val="002D7D7E"/>
    <w:rsid w:val="002D7FFA"/>
    <w:rsid w:val="002E041B"/>
    <w:rsid w:val="002E0474"/>
    <w:rsid w:val="002E0BA8"/>
    <w:rsid w:val="002E0F1F"/>
    <w:rsid w:val="002E198A"/>
    <w:rsid w:val="002E244E"/>
    <w:rsid w:val="002E2CC4"/>
    <w:rsid w:val="002E39D6"/>
    <w:rsid w:val="002E3A04"/>
    <w:rsid w:val="002E3E1A"/>
    <w:rsid w:val="002E4202"/>
    <w:rsid w:val="002E4288"/>
    <w:rsid w:val="002E45CC"/>
    <w:rsid w:val="002E4735"/>
    <w:rsid w:val="002E4863"/>
    <w:rsid w:val="002E4E21"/>
    <w:rsid w:val="002E54BA"/>
    <w:rsid w:val="002E562B"/>
    <w:rsid w:val="002E5EAE"/>
    <w:rsid w:val="002E5FD4"/>
    <w:rsid w:val="002E63B4"/>
    <w:rsid w:val="002E659B"/>
    <w:rsid w:val="002E6E13"/>
    <w:rsid w:val="002E6EE0"/>
    <w:rsid w:val="002E713D"/>
    <w:rsid w:val="002E7173"/>
    <w:rsid w:val="002E78C0"/>
    <w:rsid w:val="002E7B1E"/>
    <w:rsid w:val="002F064A"/>
    <w:rsid w:val="002F0E20"/>
    <w:rsid w:val="002F1427"/>
    <w:rsid w:val="002F148E"/>
    <w:rsid w:val="002F2ADA"/>
    <w:rsid w:val="002F31C5"/>
    <w:rsid w:val="002F31CA"/>
    <w:rsid w:val="002F33DB"/>
    <w:rsid w:val="002F4002"/>
    <w:rsid w:val="002F414D"/>
    <w:rsid w:val="002F417A"/>
    <w:rsid w:val="002F5414"/>
    <w:rsid w:val="002F56FE"/>
    <w:rsid w:val="002F597C"/>
    <w:rsid w:val="002F5B37"/>
    <w:rsid w:val="002F5B6E"/>
    <w:rsid w:val="002F5BC0"/>
    <w:rsid w:val="002F6054"/>
    <w:rsid w:val="002F68C3"/>
    <w:rsid w:val="002F6944"/>
    <w:rsid w:val="002F6B67"/>
    <w:rsid w:val="002F6B8B"/>
    <w:rsid w:val="002F7CC6"/>
    <w:rsid w:val="00300698"/>
    <w:rsid w:val="003010A3"/>
    <w:rsid w:val="003011B9"/>
    <w:rsid w:val="0030210C"/>
    <w:rsid w:val="00302198"/>
    <w:rsid w:val="00302725"/>
    <w:rsid w:val="00302B92"/>
    <w:rsid w:val="00302BC6"/>
    <w:rsid w:val="00302C44"/>
    <w:rsid w:val="00302EBE"/>
    <w:rsid w:val="00303D8F"/>
    <w:rsid w:val="00303E7C"/>
    <w:rsid w:val="00303F2E"/>
    <w:rsid w:val="00304FFA"/>
    <w:rsid w:val="0030537F"/>
    <w:rsid w:val="00305A49"/>
    <w:rsid w:val="00305EEF"/>
    <w:rsid w:val="00306301"/>
    <w:rsid w:val="003063AF"/>
    <w:rsid w:val="0030645C"/>
    <w:rsid w:val="003064C1"/>
    <w:rsid w:val="00306E89"/>
    <w:rsid w:val="0030761D"/>
    <w:rsid w:val="00310070"/>
    <w:rsid w:val="003102DA"/>
    <w:rsid w:val="00310E32"/>
    <w:rsid w:val="00311AE7"/>
    <w:rsid w:val="00312699"/>
    <w:rsid w:val="00312B8C"/>
    <w:rsid w:val="00312B97"/>
    <w:rsid w:val="00312CDA"/>
    <w:rsid w:val="00313406"/>
    <w:rsid w:val="0031358A"/>
    <w:rsid w:val="0031365A"/>
    <w:rsid w:val="00313D5A"/>
    <w:rsid w:val="00314B24"/>
    <w:rsid w:val="00314E7D"/>
    <w:rsid w:val="00315186"/>
    <w:rsid w:val="003154F0"/>
    <w:rsid w:val="00315BF6"/>
    <w:rsid w:val="003160E5"/>
    <w:rsid w:val="0031705B"/>
    <w:rsid w:val="0031782E"/>
    <w:rsid w:val="00320520"/>
    <w:rsid w:val="00320628"/>
    <w:rsid w:val="00321AA1"/>
    <w:rsid w:val="00321C5F"/>
    <w:rsid w:val="00321EA5"/>
    <w:rsid w:val="00321ED6"/>
    <w:rsid w:val="00321EFA"/>
    <w:rsid w:val="00321FFB"/>
    <w:rsid w:val="0032235C"/>
    <w:rsid w:val="00322657"/>
    <w:rsid w:val="003227A1"/>
    <w:rsid w:val="00322B73"/>
    <w:rsid w:val="00323457"/>
    <w:rsid w:val="00323D2B"/>
    <w:rsid w:val="003240EB"/>
    <w:rsid w:val="00324468"/>
    <w:rsid w:val="003246D8"/>
    <w:rsid w:val="00324874"/>
    <w:rsid w:val="00324A51"/>
    <w:rsid w:val="00324B2C"/>
    <w:rsid w:val="00324E63"/>
    <w:rsid w:val="003250B8"/>
    <w:rsid w:val="00325435"/>
    <w:rsid w:val="00325A38"/>
    <w:rsid w:val="003266D3"/>
    <w:rsid w:val="00326717"/>
    <w:rsid w:val="00326F26"/>
    <w:rsid w:val="00330C66"/>
    <w:rsid w:val="0033119C"/>
    <w:rsid w:val="00331277"/>
    <w:rsid w:val="003312ED"/>
    <w:rsid w:val="00331345"/>
    <w:rsid w:val="00331912"/>
    <w:rsid w:val="003320D8"/>
    <w:rsid w:val="003320E4"/>
    <w:rsid w:val="003325A5"/>
    <w:rsid w:val="00332C97"/>
    <w:rsid w:val="003342D2"/>
    <w:rsid w:val="00334307"/>
    <w:rsid w:val="0033487F"/>
    <w:rsid w:val="00334E27"/>
    <w:rsid w:val="00334E97"/>
    <w:rsid w:val="00335198"/>
    <w:rsid w:val="003352F8"/>
    <w:rsid w:val="00335AE7"/>
    <w:rsid w:val="00336A19"/>
    <w:rsid w:val="00336C64"/>
    <w:rsid w:val="00337209"/>
    <w:rsid w:val="00337449"/>
    <w:rsid w:val="00337A22"/>
    <w:rsid w:val="00337D71"/>
    <w:rsid w:val="003408A0"/>
    <w:rsid w:val="00340A5E"/>
    <w:rsid w:val="00340C39"/>
    <w:rsid w:val="00341120"/>
    <w:rsid w:val="0034160B"/>
    <w:rsid w:val="00341D29"/>
    <w:rsid w:val="00341E63"/>
    <w:rsid w:val="00342A6C"/>
    <w:rsid w:val="00342D3F"/>
    <w:rsid w:val="0034300B"/>
    <w:rsid w:val="00343129"/>
    <w:rsid w:val="00343305"/>
    <w:rsid w:val="003436DB"/>
    <w:rsid w:val="00343DD1"/>
    <w:rsid w:val="00343EC0"/>
    <w:rsid w:val="003444C3"/>
    <w:rsid w:val="0034453E"/>
    <w:rsid w:val="003447B8"/>
    <w:rsid w:val="003447E2"/>
    <w:rsid w:val="00344952"/>
    <w:rsid w:val="00345118"/>
    <w:rsid w:val="003461C7"/>
    <w:rsid w:val="003464B5"/>
    <w:rsid w:val="00347151"/>
    <w:rsid w:val="003473F5"/>
    <w:rsid w:val="0034761D"/>
    <w:rsid w:val="00347D2C"/>
    <w:rsid w:val="00347E37"/>
    <w:rsid w:val="00350DED"/>
    <w:rsid w:val="00351278"/>
    <w:rsid w:val="003519EC"/>
    <w:rsid w:val="00351F6A"/>
    <w:rsid w:val="0035261B"/>
    <w:rsid w:val="003526CA"/>
    <w:rsid w:val="003526D0"/>
    <w:rsid w:val="003526F1"/>
    <w:rsid w:val="00353898"/>
    <w:rsid w:val="00353979"/>
    <w:rsid w:val="00354DCF"/>
    <w:rsid w:val="0035528A"/>
    <w:rsid w:val="003555CF"/>
    <w:rsid w:val="003559B5"/>
    <w:rsid w:val="0035646B"/>
    <w:rsid w:val="003564AF"/>
    <w:rsid w:val="003568AF"/>
    <w:rsid w:val="00356FF2"/>
    <w:rsid w:val="00357111"/>
    <w:rsid w:val="00357BC4"/>
    <w:rsid w:val="00357E73"/>
    <w:rsid w:val="0036037A"/>
    <w:rsid w:val="003608E6"/>
    <w:rsid w:val="00360CCE"/>
    <w:rsid w:val="00360EC0"/>
    <w:rsid w:val="003613A9"/>
    <w:rsid w:val="003615D0"/>
    <w:rsid w:val="003619EE"/>
    <w:rsid w:val="00361F97"/>
    <w:rsid w:val="00362024"/>
    <w:rsid w:val="00362130"/>
    <w:rsid w:val="0036240F"/>
    <w:rsid w:val="00362598"/>
    <w:rsid w:val="00362CDF"/>
    <w:rsid w:val="003631EF"/>
    <w:rsid w:val="00363417"/>
    <w:rsid w:val="0036367D"/>
    <w:rsid w:val="003639CA"/>
    <w:rsid w:val="00363C69"/>
    <w:rsid w:val="0036431D"/>
    <w:rsid w:val="00364AAC"/>
    <w:rsid w:val="00364C08"/>
    <w:rsid w:val="00364E62"/>
    <w:rsid w:val="00364E83"/>
    <w:rsid w:val="00365B0D"/>
    <w:rsid w:val="00365E04"/>
    <w:rsid w:val="003663C6"/>
    <w:rsid w:val="00366B82"/>
    <w:rsid w:val="00367120"/>
    <w:rsid w:val="00367920"/>
    <w:rsid w:val="00370805"/>
    <w:rsid w:val="0037088C"/>
    <w:rsid w:val="00370D7F"/>
    <w:rsid w:val="003717BC"/>
    <w:rsid w:val="00372121"/>
    <w:rsid w:val="00372308"/>
    <w:rsid w:val="00372BF7"/>
    <w:rsid w:val="00372E82"/>
    <w:rsid w:val="00372F95"/>
    <w:rsid w:val="003733F0"/>
    <w:rsid w:val="00373BE8"/>
    <w:rsid w:val="003740B8"/>
    <w:rsid w:val="003743FA"/>
    <w:rsid w:val="00374883"/>
    <w:rsid w:val="00374B5B"/>
    <w:rsid w:val="00374E02"/>
    <w:rsid w:val="003758D9"/>
    <w:rsid w:val="00375910"/>
    <w:rsid w:val="00376162"/>
    <w:rsid w:val="0037689D"/>
    <w:rsid w:val="00376CBF"/>
    <w:rsid w:val="00377077"/>
    <w:rsid w:val="003771C8"/>
    <w:rsid w:val="00377682"/>
    <w:rsid w:val="00380991"/>
    <w:rsid w:val="00381EA8"/>
    <w:rsid w:val="00382265"/>
    <w:rsid w:val="00382EE2"/>
    <w:rsid w:val="00383338"/>
    <w:rsid w:val="0038359F"/>
    <w:rsid w:val="003839CA"/>
    <w:rsid w:val="00383B63"/>
    <w:rsid w:val="00384AE4"/>
    <w:rsid w:val="00384C4A"/>
    <w:rsid w:val="00384DD9"/>
    <w:rsid w:val="00384F7D"/>
    <w:rsid w:val="0038555A"/>
    <w:rsid w:val="00385E5F"/>
    <w:rsid w:val="00385F7B"/>
    <w:rsid w:val="00386400"/>
    <w:rsid w:val="00386F1A"/>
    <w:rsid w:val="00387060"/>
    <w:rsid w:val="00387832"/>
    <w:rsid w:val="003902AA"/>
    <w:rsid w:val="003909A9"/>
    <w:rsid w:val="00390A15"/>
    <w:rsid w:val="00390BCD"/>
    <w:rsid w:val="00390D9D"/>
    <w:rsid w:val="00391931"/>
    <w:rsid w:val="00391989"/>
    <w:rsid w:val="00391A1C"/>
    <w:rsid w:val="00391E77"/>
    <w:rsid w:val="00391EAD"/>
    <w:rsid w:val="003923AB"/>
    <w:rsid w:val="003926E1"/>
    <w:rsid w:val="00393C10"/>
    <w:rsid w:val="00394615"/>
    <w:rsid w:val="003954C2"/>
    <w:rsid w:val="003956C0"/>
    <w:rsid w:val="00395713"/>
    <w:rsid w:val="00396163"/>
    <w:rsid w:val="00396413"/>
    <w:rsid w:val="00396706"/>
    <w:rsid w:val="00396734"/>
    <w:rsid w:val="00396D86"/>
    <w:rsid w:val="003970D2"/>
    <w:rsid w:val="003971CB"/>
    <w:rsid w:val="0039736D"/>
    <w:rsid w:val="003978D5"/>
    <w:rsid w:val="00397C2B"/>
    <w:rsid w:val="003A0437"/>
    <w:rsid w:val="003A08E7"/>
    <w:rsid w:val="003A0DCC"/>
    <w:rsid w:val="003A10F1"/>
    <w:rsid w:val="003A12F0"/>
    <w:rsid w:val="003A1519"/>
    <w:rsid w:val="003A19FA"/>
    <w:rsid w:val="003A1ABB"/>
    <w:rsid w:val="003A1C65"/>
    <w:rsid w:val="003A2624"/>
    <w:rsid w:val="003A2B87"/>
    <w:rsid w:val="003A2FA1"/>
    <w:rsid w:val="003A3A51"/>
    <w:rsid w:val="003A4551"/>
    <w:rsid w:val="003A4579"/>
    <w:rsid w:val="003A4782"/>
    <w:rsid w:val="003A488E"/>
    <w:rsid w:val="003A4950"/>
    <w:rsid w:val="003A4DB4"/>
    <w:rsid w:val="003A504A"/>
    <w:rsid w:val="003A58BA"/>
    <w:rsid w:val="003A5977"/>
    <w:rsid w:val="003A609B"/>
    <w:rsid w:val="003A6AA8"/>
    <w:rsid w:val="003A6FEE"/>
    <w:rsid w:val="003A7086"/>
    <w:rsid w:val="003A71F4"/>
    <w:rsid w:val="003A79E9"/>
    <w:rsid w:val="003A7E14"/>
    <w:rsid w:val="003B068D"/>
    <w:rsid w:val="003B109D"/>
    <w:rsid w:val="003B1547"/>
    <w:rsid w:val="003B18BD"/>
    <w:rsid w:val="003B216F"/>
    <w:rsid w:val="003B26F5"/>
    <w:rsid w:val="003B2B8B"/>
    <w:rsid w:val="003B2D4A"/>
    <w:rsid w:val="003B2D99"/>
    <w:rsid w:val="003B31AF"/>
    <w:rsid w:val="003B3376"/>
    <w:rsid w:val="003B3CA4"/>
    <w:rsid w:val="003B3EF0"/>
    <w:rsid w:val="003B42E1"/>
    <w:rsid w:val="003B47EE"/>
    <w:rsid w:val="003B47F0"/>
    <w:rsid w:val="003B4FFD"/>
    <w:rsid w:val="003B59DC"/>
    <w:rsid w:val="003B5F9C"/>
    <w:rsid w:val="003B68D2"/>
    <w:rsid w:val="003B690E"/>
    <w:rsid w:val="003B6A4C"/>
    <w:rsid w:val="003B6A92"/>
    <w:rsid w:val="003B7638"/>
    <w:rsid w:val="003B780C"/>
    <w:rsid w:val="003B7CB3"/>
    <w:rsid w:val="003B7D4B"/>
    <w:rsid w:val="003C01D9"/>
    <w:rsid w:val="003C0224"/>
    <w:rsid w:val="003C02EB"/>
    <w:rsid w:val="003C0DEE"/>
    <w:rsid w:val="003C10D2"/>
    <w:rsid w:val="003C1B33"/>
    <w:rsid w:val="003C1C2F"/>
    <w:rsid w:val="003C1E25"/>
    <w:rsid w:val="003C217C"/>
    <w:rsid w:val="003C232B"/>
    <w:rsid w:val="003C3244"/>
    <w:rsid w:val="003C3918"/>
    <w:rsid w:val="003C3CFC"/>
    <w:rsid w:val="003C3E21"/>
    <w:rsid w:val="003C3F1D"/>
    <w:rsid w:val="003C48CE"/>
    <w:rsid w:val="003C4B44"/>
    <w:rsid w:val="003C4CA2"/>
    <w:rsid w:val="003C57C5"/>
    <w:rsid w:val="003C5B53"/>
    <w:rsid w:val="003C5C97"/>
    <w:rsid w:val="003C5EB9"/>
    <w:rsid w:val="003C6482"/>
    <w:rsid w:val="003C6834"/>
    <w:rsid w:val="003C6AB4"/>
    <w:rsid w:val="003C6AF6"/>
    <w:rsid w:val="003C6F4C"/>
    <w:rsid w:val="003C7987"/>
    <w:rsid w:val="003C7DD0"/>
    <w:rsid w:val="003D01DA"/>
    <w:rsid w:val="003D0767"/>
    <w:rsid w:val="003D0C54"/>
    <w:rsid w:val="003D1765"/>
    <w:rsid w:val="003D19E7"/>
    <w:rsid w:val="003D2316"/>
    <w:rsid w:val="003D23FD"/>
    <w:rsid w:val="003D25C0"/>
    <w:rsid w:val="003D289F"/>
    <w:rsid w:val="003D2AD1"/>
    <w:rsid w:val="003D2B92"/>
    <w:rsid w:val="003D2BB5"/>
    <w:rsid w:val="003D2F71"/>
    <w:rsid w:val="003D31F1"/>
    <w:rsid w:val="003D39B5"/>
    <w:rsid w:val="003D3D79"/>
    <w:rsid w:val="003D42C6"/>
    <w:rsid w:val="003D49E4"/>
    <w:rsid w:val="003D5320"/>
    <w:rsid w:val="003D58B0"/>
    <w:rsid w:val="003D660C"/>
    <w:rsid w:val="003D7000"/>
    <w:rsid w:val="003D76AE"/>
    <w:rsid w:val="003D789C"/>
    <w:rsid w:val="003D793E"/>
    <w:rsid w:val="003D7AA3"/>
    <w:rsid w:val="003D7E93"/>
    <w:rsid w:val="003D7FD3"/>
    <w:rsid w:val="003E0195"/>
    <w:rsid w:val="003E02A3"/>
    <w:rsid w:val="003E07A8"/>
    <w:rsid w:val="003E11B3"/>
    <w:rsid w:val="003E1A9E"/>
    <w:rsid w:val="003E1F79"/>
    <w:rsid w:val="003E235D"/>
    <w:rsid w:val="003E2CD4"/>
    <w:rsid w:val="003E2F94"/>
    <w:rsid w:val="003E3229"/>
    <w:rsid w:val="003E361D"/>
    <w:rsid w:val="003E4139"/>
    <w:rsid w:val="003E442C"/>
    <w:rsid w:val="003E442D"/>
    <w:rsid w:val="003E4572"/>
    <w:rsid w:val="003E45BB"/>
    <w:rsid w:val="003E4948"/>
    <w:rsid w:val="003E4C31"/>
    <w:rsid w:val="003E4E2A"/>
    <w:rsid w:val="003E4F65"/>
    <w:rsid w:val="003E5511"/>
    <w:rsid w:val="003E5B7A"/>
    <w:rsid w:val="003E5CF5"/>
    <w:rsid w:val="003E6DFB"/>
    <w:rsid w:val="003E6E8C"/>
    <w:rsid w:val="003E71F4"/>
    <w:rsid w:val="003E7663"/>
    <w:rsid w:val="003E7679"/>
    <w:rsid w:val="003E7F65"/>
    <w:rsid w:val="003F0278"/>
    <w:rsid w:val="003F056E"/>
    <w:rsid w:val="003F098C"/>
    <w:rsid w:val="003F0D44"/>
    <w:rsid w:val="003F16E1"/>
    <w:rsid w:val="003F18EB"/>
    <w:rsid w:val="003F1A94"/>
    <w:rsid w:val="003F213E"/>
    <w:rsid w:val="003F2E71"/>
    <w:rsid w:val="003F310E"/>
    <w:rsid w:val="003F3349"/>
    <w:rsid w:val="003F334B"/>
    <w:rsid w:val="003F3499"/>
    <w:rsid w:val="003F34C1"/>
    <w:rsid w:val="003F3554"/>
    <w:rsid w:val="003F39FE"/>
    <w:rsid w:val="003F4D68"/>
    <w:rsid w:val="003F4E14"/>
    <w:rsid w:val="003F52F6"/>
    <w:rsid w:val="003F53DA"/>
    <w:rsid w:val="003F571D"/>
    <w:rsid w:val="003F608A"/>
    <w:rsid w:val="003F6370"/>
    <w:rsid w:val="003F65CD"/>
    <w:rsid w:val="003F65D0"/>
    <w:rsid w:val="003F668D"/>
    <w:rsid w:val="003F6B56"/>
    <w:rsid w:val="003F6E56"/>
    <w:rsid w:val="003F7040"/>
    <w:rsid w:val="003F7052"/>
    <w:rsid w:val="003F7ED4"/>
    <w:rsid w:val="0040018D"/>
    <w:rsid w:val="00400950"/>
    <w:rsid w:val="004009A6"/>
    <w:rsid w:val="00400A19"/>
    <w:rsid w:val="00400A88"/>
    <w:rsid w:val="00400CD3"/>
    <w:rsid w:val="00400FD7"/>
    <w:rsid w:val="0040119C"/>
    <w:rsid w:val="004016E8"/>
    <w:rsid w:val="004017F7"/>
    <w:rsid w:val="00401BBD"/>
    <w:rsid w:val="00401D62"/>
    <w:rsid w:val="00402679"/>
    <w:rsid w:val="00402704"/>
    <w:rsid w:val="00403611"/>
    <w:rsid w:val="0040382F"/>
    <w:rsid w:val="00403875"/>
    <w:rsid w:val="00403B66"/>
    <w:rsid w:val="004043CC"/>
    <w:rsid w:val="0040440A"/>
    <w:rsid w:val="0040515B"/>
    <w:rsid w:val="004056DD"/>
    <w:rsid w:val="00405831"/>
    <w:rsid w:val="00406DA9"/>
    <w:rsid w:val="004070D9"/>
    <w:rsid w:val="004074F3"/>
    <w:rsid w:val="0040799A"/>
    <w:rsid w:val="00410231"/>
    <w:rsid w:val="00410A8D"/>
    <w:rsid w:val="00410E35"/>
    <w:rsid w:val="00410EED"/>
    <w:rsid w:val="00411032"/>
    <w:rsid w:val="004114E2"/>
    <w:rsid w:val="00412046"/>
    <w:rsid w:val="00412187"/>
    <w:rsid w:val="00412215"/>
    <w:rsid w:val="00412A5F"/>
    <w:rsid w:val="004131D1"/>
    <w:rsid w:val="00413308"/>
    <w:rsid w:val="00413608"/>
    <w:rsid w:val="00413632"/>
    <w:rsid w:val="00413CFE"/>
    <w:rsid w:val="0041404F"/>
    <w:rsid w:val="00414286"/>
    <w:rsid w:val="0041496C"/>
    <w:rsid w:val="00414E16"/>
    <w:rsid w:val="00414F5E"/>
    <w:rsid w:val="004150EB"/>
    <w:rsid w:val="00415152"/>
    <w:rsid w:val="00415241"/>
    <w:rsid w:val="00415448"/>
    <w:rsid w:val="00415549"/>
    <w:rsid w:val="00415DA4"/>
    <w:rsid w:val="00415EF8"/>
    <w:rsid w:val="004168F6"/>
    <w:rsid w:val="00416F3A"/>
    <w:rsid w:val="004172B6"/>
    <w:rsid w:val="00417825"/>
    <w:rsid w:val="00417998"/>
    <w:rsid w:val="00417BD1"/>
    <w:rsid w:val="00420085"/>
    <w:rsid w:val="0042039A"/>
    <w:rsid w:val="004209E0"/>
    <w:rsid w:val="00420BA2"/>
    <w:rsid w:val="00420CB4"/>
    <w:rsid w:val="00420FB9"/>
    <w:rsid w:val="00421785"/>
    <w:rsid w:val="00421FCD"/>
    <w:rsid w:val="004221A7"/>
    <w:rsid w:val="0042278F"/>
    <w:rsid w:val="00422C54"/>
    <w:rsid w:val="00423355"/>
    <w:rsid w:val="00423AEC"/>
    <w:rsid w:val="00423D57"/>
    <w:rsid w:val="00424022"/>
    <w:rsid w:val="00424055"/>
    <w:rsid w:val="004240DC"/>
    <w:rsid w:val="004244D6"/>
    <w:rsid w:val="0042453B"/>
    <w:rsid w:val="00424BC7"/>
    <w:rsid w:val="00424C15"/>
    <w:rsid w:val="00424CF2"/>
    <w:rsid w:val="00424EFB"/>
    <w:rsid w:val="00425176"/>
    <w:rsid w:val="0042555B"/>
    <w:rsid w:val="00425CF3"/>
    <w:rsid w:val="004260CA"/>
    <w:rsid w:val="00426BE2"/>
    <w:rsid w:val="00426FBE"/>
    <w:rsid w:val="00426FF2"/>
    <w:rsid w:val="004271BD"/>
    <w:rsid w:val="0042723E"/>
    <w:rsid w:val="00427260"/>
    <w:rsid w:val="0042782B"/>
    <w:rsid w:val="00427BAA"/>
    <w:rsid w:val="00427E5F"/>
    <w:rsid w:val="00430854"/>
    <w:rsid w:val="00430867"/>
    <w:rsid w:val="00430B2D"/>
    <w:rsid w:val="00431172"/>
    <w:rsid w:val="00431565"/>
    <w:rsid w:val="004318DF"/>
    <w:rsid w:val="00431E18"/>
    <w:rsid w:val="0043212B"/>
    <w:rsid w:val="00432529"/>
    <w:rsid w:val="00432D77"/>
    <w:rsid w:val="00432ECD"/>
    <w:rsid w:val="00432FC7"/>
    <w:rsid w:val="0043311C"/>
    <w:rsid w:val="00433FFB"/>
    <w:rsid w:val="0043444A"/>
    <w:rsid w:val="00434E24"/>
    <w:rsid w:val="00434EB9"/>
    <w:rsid w:val="004355BD"/>
    <w:rsid w:val="0043564B"/>
    <w:rsid w:val="00435A9F"/>
    <w:rsid w:val="00435B93"/>
    <w:rsid w:val="00435F08"/>
    <w:rsid w:val="004362DA"/>
    <w:rsid w:val="004366A3"/>
    <w:rsid w:val="004366B5"/>
    <w:rsid w:val="00436821"/>
    <w:rsid w:val="00436842"/>
    <w:rsid w:val="00436B84"/>
    <w:rsid w:val="00437354"/>
    <w:rsid w:val="00437606"/>
    <w:rsid w:val="00437B2A"/>
    <w:rsid w:val="00437EB5"/>
    <w:rsid w:val="00437F84"/>
    <w:rsid w:val="0044024F"/>
    <w:rsid w:val="004403D1"/>
    <w:rsid w:val="004403EA"/>
    <w:rsid w:val="00440960"/>
    <w:rsid w:val="00440B3F"/>
    <w:rsid w:val="00440F40"/>
    <w:rsid w:val="00441054"/>
    <w:rsid w:val="00441125"/>
    <w:rsid w:val="0044181F"/>
    <w:rsid w:val="00441C5C"/>
    <w:rsid w:val="0044210D"/>
    <w:rsid w:val="00442B37"/>
    <w:rsid w:val="00443153"/>
    <w:rsid w:val="004437F9"/>
    <w:rsid w:val="00443C8F"/>
    <w:rsid w:val="00443E33"/>
    <w:rsid w:val="0044400F"/>
    <w:rsid w:val="00444F29"/>
    <w:rsid w:val="00444FE0"/>
    <w:rsid w:val="0044589D"/>
    <w:rsid w:val="00446956"/>
    <w:rsid w:val="00446B12"/>
    <w:rsid w:val="00446B33"/>
    <w:rsid w:val="00446B92"/>
    <w:rsid w:val="00447123"/>
    <w:rsid w:val="004478E6"/>
    <w:rsid w:val="00447CD2"/>
    <w:rsid w:val="0045087E"/>
    <w:rsid w:val="00450A1C"/>
    <w:rsid w:val="00450E0F"/>
    <w:rsid w:val="0045129D"/>
    <w:rsid w:val="004513B4"/>
    <w:rsid w:val="0045140A"/>
    <w:rsid w:val="004522DC"/>
    <w:rsid w:val="00452D57"/>
    <w:rsid w:val="00452F45"/>
    <w:rsid w:val="00453711"/>
    <w:rsid w:val="00453991"/>
    <w:rsid w:val="00453C97"/>
    <w:rsid w:val="00453E23"/>
    <w:rsid w:val="00453FCF"/>
    <w:rsid w:val="004548EF"/>
    <w:rsid w:val="00454A54"/>
    <w:rsid w:val="00454E5F"/>
    <w:rsid w:val="00455069"/>
    <w:rsid w:val="004553AD"/>
    <w:rsid w:val="0045540F"/>
    <w:rsid w:val="00455543"/>
    <w:rsid w:val="0045635E"/>
    <w:rsid w:val="0045666E"/>
    <w:rsid w:val="004567E4"/>
    <w:rsid w:val="00457ACD"/>
    <w:rsid w:val="00457BBC"/>
    <w:rsid w:val="00457D52"/>
    <w:rsid w:val="00460A1F"/>
    <w:rsid w:val="0046160A"/>
    <w:rsid w:val="0046196F"/>
    <w:rsid w:val="00461B7B"/>
    <w:rsid w:val="004620C3"/>
    <w:rsid w:val="00462A8E"/>
    <w:rsid w:val="0046363F"/>
    <w:rsid w:val="00463AE1"/>
    <w:rsid w:val="0046403F"/>
    <w:rsid w:val="004643CC"/>
    <w:rsid w:val="00465A32"/>
    <w:rsid w:val="00465FCF"/>
    <w:rsid w:val="00466160"/>
    <w:rsid w:val="00466416"/>
    <w:rsid w:val="00466B35"/>
    <w:rsid w:val="004670DF"/>
    <w:rsid w:val="00467AFE"/>
    <w:rsid w:val="00467E1C"/>
    <w:rsid w:val="00470463"/>
    <w:rsid w:val="004706BF"/>
    <w:rsid w:val="00470FEA"/>
    <w:rsid w:val="00472D69"/>
    <w:rsid w:val="00472E05"/>
    <w:rsid w:val="00472FDD"/>
    <w:rsid w:val="00474742"/>
    <w:rsid w:val="00474DF3"/>
    <w:rsid w:val="004753F0"/>
    <w:rsid w:val="0047540B"/>
    <w:rsid w:val="004758EC"/>
    <w:rsid w:val="0047647F"/>
    <w:rsid w:val="00476D69"/>
    <w:rsid w:val="0047702A"/>
    <w:rsid w:val="00477634"/>
    <w:rsid w:val="00477984"/>
    <w:rsid w:val="004779D3"/>
    <w:rsid w:val="00477E6B"/>
    <w:rsid w:val="00477E77"/>
    <w:rsid w:val="0048024E"/>
    <w:rsid w:val="004808C2"/>
    <w:rsid w:val="004809B8"/>
    <w:rsid w:val="00480DA9"/>
    <w:rsid w:val="00481157"/>
    <w:rsid w:val="0048187A"/>
    <w:rsid w:val="004818E3"/>
    <w:rsid w:val="004820A9"/>
    <w:rsid w:val="004822CD"/>
    <w:rsid w:val="00482A5E"/>
    <w:rsid w:val="00482DC3"/>
    <w:rsid w:val="0048368B"/>
    <w:rsid w:val="004836C1"/>
    <w:rsid w:val="0048518E"/>
    <w:rsid w:val="00485512"/>
    <w:rsid w:val="0048630A"/>
    <w:rsid w:val="004867C6"/>
    <w:rsid w:val="00486CC4"/>
    <w:rsid w:val="00486CDC"/>
    <w:rsid w:val="00486D62"/>
    <w:rsid w:val="00487169"/>
    <w:rsid w:val="0048716D"/>
    <w:rsid w:val="004871DB"/>
    <w:rsid w:val="0049003F"/>
    <w:rsid w:val="004906EA"/>
    <w:rsid w:val="00490772"/>
    <w:rsid w:val="004916C2"/>
    <w:rsid w:val="00491AD5"/>
    <w:rsid w:val="00491B63"/>
    <w:rsid w:val="00491EC9"/>
    <w:rsid w:val="00492A14"/>
    <w:rsid w:val="00493249"/>
    <w:rsid w:val="0049340E"/>
    <w:rsid w:val="00493B7B"/>
    <w:rsid w:val="00494047"/>
    <w:rsid w:val="004941E7"/>
    <w:rsid w:val="00494653"/>
    <w:rsid w:val="00494A11"/>
    <w:rsid w:val="00494BB0"/>
    <w:rsid w:val="00494DF9"/>
    <w:rsid w:val="00494FAF"/>
    <w:rsid w:val="00495F98"/>
    <w:rsid w:val="0049642B"/>
    <w:rsid w:val="00496437"/>
    <w:rsid w:val="0049662E"/>
    <w:rsid w:val="00496A65"/>
    <w:rsid w:val="00496DC2"/>
    <w:rsid w:val="004971E1"/>
    <w:rsid w:val="004972DA"/>
    <w:rsid w:val="004974D2"/>
    <w:rsid w:val="00497C25"/>
    <w:rsid w:val="004A0062"/>
    <w:rsid w:val="004A0A14"/>
    <w:rsid w:val="004A1BC6"/>
    <w:rsid w:val="004A2071"/>
    <w:rsid w:val="004A22F7"/>
    <w:rsid w:val="004A280C"/>
    <w:rsid w:val="004A28CD"/>
    <w:rsid w:val="004A2989"/>
    <w:rsid w:val="004A2C06"/>
    <w:rsid w:val="004A3057"/>
    <w:rsid w:val="004A32FE"/>
    <w:rsid w:val="004A33D6"/>
    <w:rsid w:val="004A37D3"/>
    <w:rsid w:val="004A3C0C"/>
    <w:rsid w:val="004A44AB"/>
    <w:rsid w:val="004A5284"/>
    <w:rsid w:val="004A5519"/>
    <w:rsid w:val="004A6ED2"/>
    <w:rsid w:val="004B0342"/>
    <w:rsid w:val="004B0400"/>
    <w:rsid w:val="004B0435"/>
    <w:rsid w:val="004B0FCA"/>
    <w:rsid w:val="004B158D"/>
    <w:rsid w:val="004B16C7"/>
    <w:rsid w:val="004B18E9"/>
    <w:rsid w:val="004B1A7E"/>
    <w:rsid w:val="004B1C28"/>
    <w:rsid w:val="004B2CB4"/>
    <w:rsid w:val="004B325B"/>
    <w:rsid w:val="004B32BE"/>
    <w:rsid w:val="004B363F"/>
    <w:rsid w:val="004B37B3"/>
    <w:rsid w:val="004B38A3"/>
    <w:rsid w:val="004B3B01"/>
    <w:rsid w:val="004B4653"/>
    <w:rsid w:val="004B4F01"/>
    <w:rsid w:val="004B51BE"/>
    <w:rsid w:val="004B565C"/>
    <w:rsid w:val="004B5818"/>
    <w:rsid w:val="004B5A9D"/>
    <w:rsid w:val="004B6894"/>
    <w:rsid w:val="004B6CDC"/>
    <w:rsid w:val="004C0508"/>
    <w:rsid w:val="004C0647"/>
    <w:rsid w:val="004C0CE2"/>
    <w:rsid w:val="004C161E"/>
    <w:rsid w:val="004C1F0A"/>
    <w:rsid w:val="004C1F55"/>
    <w:rsid w:val="004C1FE5"/>
    <w:rsid w:val="004C214C"/>
    <w:rsid w:val="004C2A8F"/>
    <w:rsid w:val="004C2BE0"/>
    <w:rsid w:val="004C2DBD"/>
    <w:rsid w:val="004C354D"/>
    <w:rsid w:val="004C35D4"/>
    <w:rsid w:val="004C38E5"/>
    <w:rsid w:val="004C3B71"/>
    <w:rsid w:val="004C420C"/>
    <w:rsid w:val="004C46C3"/>
    <w:rsid w:val="004C4949"/>
    <w:rsid w:val="004C4B0C"/>
    <w:rsid w:val="004C4F59"/>
    <w:rsid w:val="004C5475"/>
    <w:rsid w:val="004C600D"/>
    <w:rsid w:val="004C60E4"/>
    <w:rsid w:val="004C6BA0"/>
    <w:rsid w:val="004C7273"/>
    <w:rsid w:val="004C72F2"/>
    <w:rsid w:val="004C7B18"/>
    <w:rsid w:val="004C7F6B"/>
    <w:rsid w:val="004D0620"/>
    <w:rsid w:val="004D0ED2"/>
    <w:rsid w:val="004D0F95"/>
    <w:rsid w:val="004D0FDC"/>
    <w:rsid w:val="004D192F"/>
    <w:rsid w:val="004D19EA"/>
    <w:rsid w:val="004D1CCA"/>
    <w:rsid w:val="004D1EC9"/>
    <w:rsid w:val="004D2768"/>
    <w:rsid w:val="004D2C05"/>
    <w:rsid w:val="004D3317"/>
    <w:rsid w:val="004D3548"/>
    <w:rsid w:val="004D3A3B"/>
    <w:rsid w:val="004D3A42"/>
    <w:rsid w:val="004D43F9"/>
    <w:rsid w:val="004D45ED"/>
    <w:rsid w:val="004D4731"/>
    <w:rsid w:val="004D508A"/>
    <w:rsid w:val="004D5355"/>
    <w:rsid w:val="004D5418"/>
    <w:rsid w:val="004D5634"/>
    <w:rsid w:val="004D57A4"/>
    <w:rsid w:val="004D5812"/>
    <w:rsid w:val="004D59E4"/>
    <w:rsid w:val="004D600C"/>
    <w:rsid w:val="004D6A2C"/>
    <w:rsid w:val="004D6DF5"/>
    <w:rsid w:val="004D708E"/>
    <w:rsid w:val="004D733D"/>
    <w:rsid w:val="004D7C03"/>
    <w:rsid w:val="004D7C2C"/>
    <w:rsid w:val="004D7F80"/>
    <w:rsid w:val="004E06DA"/>
    <w:rsid w:val="004E0C64"/>
    <w:rsid w:val="004E0FCA"/>
    <w:rsid w:val="004E11EA"/>
    <w:rsid w:val="004E16BA"/>
    <w:rsid w:val="004E1F50"/>
    <w:rsid w:val="004E221F"/>
    <w:rsid w:val="004E255D"/>
    <w:rsid w:val="004E2578"/>
    <w:rsid w:val="004E2640"/>
    <w:rsid w:val="004E29E1"/>
    <w:rsid w:val="004E2DB3"/>
    <w:rsid w:val="004E3210"/>
    <w:rsid w:val="004E3601"/>
    <w:rsid w:val="004E399B"/>
    <w:rsid w:val="004E4B21"/>
    <w:rsid w:val="004E4C35"/>
    <w:rsid w:val="004E4E38"/>
    <w:rsid w:val="004E5675"/>
    <w:rsid w:val="004E5C55"/>
    <w:rsid w:val="004E6136"/>
    <w:rsid w:val="004E68ED"/>
    <w:rsid w:val="004E768B"/>
    <w:rsid w:val="004E7DEF"/>
    <w:rsid w:val="004F044A"/>
    <w:rsid w:val="004F15D6"/>
    <w:rsid w:val="004F1AB2"/>
    <w:rsid w:val="004F1D15"/>
    <w:rsid w:val="004F2468"/>
    <w:rsid w:val="004F28FB"/>
    <w:rsid w:val="004F2B19"/>
    <w:rsid w:val="004F3653"/>
    <w:rsid w:val="004F48E3"/>
    <w:rsid w:val="004F501E"/>
    <w:rsid w:val="004F5338"/>
    <w:rsid w:val="004F5565"/>
    <w:rsid w:val="004F5B5C"/>
    <w:rsid w:val="004F6053"/>
    <w:rsid w:val="004F6122"/>
    <w:rsid w:val="004F6387"/>
    <w:rsid w:val="004F70F6"/>
    <w:rsid w:val="004F7D16"/>
    <w:rsid w:val="005003AC"/>
    <w:rsid w:val="00500849"/>
    <w:rsid w:val="00500C4C"/>
    <w:rsid w:val="00500E8E"/>
    <w:rsid w:val="00501407"/>
    <w:rsid w:val="00501424"/>
    <w:rsid w:val="005015F8"/>
    <w:rsid w:val="00501635"/>
    <w:rsid w:val="00501DB2"/>
    <w:rsid w:val="00502071"/>
    <w:rsid w:val="0050235C"/>
    <w:rsid w:val="0050260C"/>
    <w:rsid w:val="005028CD"/>
    <w:rsid w:val="00502EF8"/>
    <w:rsid w:val="0050309E"/>
    <w:rsid w:val="005037D9"/>
    <w:rsid w:val="0050425D"/>
    <w:rsid w:val="00504AC3"/>
    <w:rsid w:val="00504D2A"/>
    <w:rsid w:val="00504DB8"/>
    <w:rsid w:val="005055AF"/>
    <w:rsid w:val="0050602C"/>
    <w:rsid w:val="005068EE"/>
    <w:rsid w:val="00506B7B"/>
    <w:rsid w:val="00506E3C"/>
    <w:rsid w:val="005073FC"/>
    <w:rsid w:val="005075AB"/>
    <w:rsid w:val="005079CB"/>
    <w:rsid w:val="00507F82"/>
    <w:rsid w:val="00510812"/>
    <w:rsid w:val="0051106C"/>
    <w:rsid w:val="005118D3"/>
    <w:rsid w:val="00511F2A"/>
    <w:rsid w:val="00511F48"/>
    <w:rsid w:val="00512562"/>
    <w:rsid w:val="005129EE"/>
    <w:rsid w:val="00512B6E"/>
    <w:rsid w:val="00513119"/>
    <w:rsid w:val="00513755"/>
    <w:rsid w:val="005138CD"/>
    <w:rsid w:val="00514397"/>
    <w:rsid w:val="0051510C"/>
    <w:rsid w:val="005153BE"/>
    <w:rsid w:val="00515420"/>
    <w:rsid w:val="00515753"/>
    <w:rsid w:val="00515C61"/>
    <w:rsid w:val="00515D22"/>
    <w:rsid w:val="0051607D"/>
    <w:rsid w:val="00516174"/>
    <w:rsid w:val="0051746B"/>
    <w:rsid w:val="005176BF"/>
    <w:rsid w:val="005202D7"/>
    <w:rsid w:val="00520814"/>
    <w:rsid w:val="00520875"/>
    <w:rsid w:val="00520A9E"/>
    <w:rsid w:val="00520E04"/>
    <w:rsid w:val="00520F37"/>
    <w:rsid w:val="005217C6"/>
    <w:rsid w:val="005222DA"/>
    <w:rsid w:val="005222DC"/>
    <w:rsid w:val="005224CE"/>
    <w:rsid w:val="00522B42"/>
    <w:rsid w:val="00522E9F"/>
    <w:rsid w:val="00523242"/>
    <w:rsid w:val="0052372A"/>
    <w:rsid w:val="00525191"/>
    <w:rsid w:val="0052525D"/>
    <w:rsid w:val="00526212"/>
    <w:rsid w:val="00526EEF"/>
    <w:rsid w:val="005278B0"/>
    <w:rsid w:val="005279E9"/>
    <w:rsid w:val="00530163"/>
    <w:rsid w:val="005310F8"/>
    <w:rsid w:val="00531225"/>
    <w:rsid w:val="00531F3B"/>
    <w:rsid w:val="005321F0"/>
    <w:rsid w:val="005325D6"/>
    <w:rsid w:val="00532731"/>
    <w:rsid w:val="005328C5"/>
    <w:rsid w:val="00532C34"/>
    <w:rsid w:val="00532CDC"/>
    <w:rsid w:val="0053321D"/>
    <w:rsid w:val="00533280"/>
    <w:rsid w:val="00533322"/>
    <w:rsid w:val="005337D5"/>
    <w:rsid w:val="00533DA6"/>
    <w:rsid w:val="0053406E"/>
    <w:rsid w:val="005348AC"/>
    <w:rsid w:val="00535226"/>
    <w:rsid w:val="00535345"/>
    <w:rsid w:val="00535DF5"/>
    <w:rsid w:val="00535E7B"/>
    <w:rsid w:val="00535EC4"/>
    <w:rsid w:val="00535FBF"/>
    <w:rsid w:val="005362BB"/>
    <w:rsid w:val="00536577"/>
    <w:rsid w:val="0053698D"/>
    <w:rsid w:val="00536DE1"/>
    <w:rsid w:val="00537180"/>
    <w:rsid w:val="0053739A"/>
    <w:rsid w:val="005403FB"/>
    <w:rsid w:val="0054085E"/>
    <w:rsid w:val="005412CA"/>
    <w:rsid w:val="0054133A"/>
    <w:rsid w:val="00541AAE"/>
    <w:rsid w:val="00541AE2"/>
    <w:rsid w:val="00541AF6"/>
    <w:rsid w:val="00541B76"/>
    <w:rsid w:val="00541B7B"/>
    <w:rsid w:val="00541DC6"/>
    <w:rsid w:val="00541EE1"/>
    <w:rsid w:val="00542404"/>
    <w:rsid w:val="005426FA"/>
    <w:rsid w:val="005428DD"/>
    <w:rsid w:val="00542D28"/>
    <w:rsid w:val="00542DB0"/>
    <w:rsid w:val="00543353"/>
    <w:rsid w:val="00543450"/>
    <w:rsid w:val="00543780"/>
    <w:rsid w:val="00543DFB"/>
    <w:rsid w:val="00544278"/>
    <w:rsid w:val="005449E2"/>
    <w:rsid w:val="00544F38"/>
    <w:rsid w:val="00545AC7"/>
    <w:rsid w:val="00545D65"/>
    <w:rsid w:val="0054626E"/>
    <w:rsid w:val="00546A2F"/>
    <w:rsid w:val="00546FDD"/>
    <w:rsid w:val="00547218"/>
    <w:rsid w:val="00547530"/>
    <w:rsid w:val="00547E75"/>
    <w:rsid w:val="00550528"/>
    <w:rsid w:val="0055055E"/>
    <w:rsid w:val="00550635"/>
    <w:rsid w:val="0055071E"/>
    <w:rsid w:val="00550962"/>
    <w:rsid w:val="00550A3E"/>
    <w:rsid w:val="00550F4C"/>
    <w:rsid w:val="005514AF"/>
    <w:rsid w:val="00551BA6"/>
    <w:rsid w:val="00551BB4"/>
    <w:rsid w:val="00551C37"/>
    <w:rsid w:val="00551CE8"/>
    <w:rsid w:val="00551D08"/>
    <w:rsid w:val="00552402"/>
    <w:rsid w:val="00552B06"/>
    <w:rsid w:val="00552C58"/>
    <w:rsid w:val="00553930"/>
    <w:rsid w:val="00554B3E"/>
    <w:rsid w:val="00555350"/>
    <w:rsid w:val="00555380"/>
    <w:rsid w:val="005558ED"/>
    <w:rsid w:val="005563BC"/>
    <w:rsid w:val="005567CC"/>
    <w:rsid w:val="005568F3"/>
    <w:rsid w:val="00556D02"/>
    <w:rsid w:val="00556E9F"/>
    <w:rsid w:val="00557166"/>
    <w:rsid w:val="005575D8"/>
    <w:rsid w:val="0055799F"/>
    <w:rsid w:val="00557A2D"/>
    <w:rsid w:val="00557CBF"/>
    <w:rsid w:val="00557F81"/>
    <w:rsid w:val="0056002B"/>
    <w:rsid w:val="005600DA"/>
    <w:rsid w:val="005601B0"/>
    <w:rsid w:val="00560827"/>
    <w:rsid w:val="00560EAD"/>
    <w:rsid w:val="005612BE"/>
    <w:rsid w:val="0056140F"/>
    <w:rsid w:val="005617B7"/>
    <w:rsid w:val="00561AF7"/>
    <w:rsid w:val="00561CBC"/>
    <w:rsid w:val="0056261A"/>
    <w:rsid w:val="00562D5D"/>
    <w:rsid w:val="00562ECF"/>
    <w:rsid w:val="00562FB1"/>
    <w:rsid w:val="00563688"/>
    <w:rsid w:val="00563814"/>
    <w:rsid w:val="005638D4"/>
    <w:rsid w:val="00563BD9"/>
    <w:rsid w:val="00563EE5"/>
    <w:rsid w:val="0056410A"/>
    <w:rsid w:val="005658CC"/>
    <w:rsid w:val="00565A84"/>
    <w:rsid w:val="00565E22"/>
    <w:rsid w:val="00565E76"/>
    <w:rsid w:val="00565FF2"/>
    <w:rsid w:val="005666F0"/>
    <w:rsid w:val="00566AF3"/>
    <w:rsid w:val="00566C15"/>
    <w:rsid w:val="00566CDC"/>
    <w:rsid w:val="00566F2F"/>
    <w:rsid w:val="005671FF"/>
    <w:rsid w:val="005672BA"/>
    <w:rsid w:val="005679FA"/>
    <w:rsid w:val="00567A05"/>
    <w:rsid w:val="00567B5D"/>
    <w:rsid w:val="00567D59"/>
    <w:rsid w:val="00567EB4"/>
    <w:rsid w:val="00567EBF"/>
    <w:rsid w:val="005702BB"/>
    <w:rsid w:val="005703AB"/>
    <w:rsid w:val="005705A2"/>
    <w:rsid w:val="00570DF2"/>
    <w:rsid w:val="00571ED3"/>
    <w:rsid w:val="00572339"/>
    <w:rsid w:val="0057270A"/>
    <w:rsid w:val="005727AC"/>
    <w:rsid w:val="00572ACE"/>
    <w:rsid w:val="00572DB7"/>
    <w:rsid w:val="00572EF0"/>
    <w:rsid w:val="00572FAC"/>
    <w:rsid w:val="00573120"/>
    <w:rsid w:val="0057314E"/>
    <w:rsid w:val="00573B28"/>
    <w:rsid w:val="00573F7B"/>
    <w:rsid w:val="00574291"/>
    <w:rsid w:val="005753A4"/>
    <w:rsid w:val="005754B8"/>
    <w:rsid w:val="00575C84"/>
    <w:rsid w:val="00576732"/>
    <w:rsid w:val="00576745"/>
    <w:rsid w:val="005769D1"/>
    <w:rsid w:val="00576E82"/>
    <w:rsid w:val="00576F7A"/>
    <w:rsid w:val="00577A32"/>
    <w:rsid w:val="00577CB9"/>
    <w:rsid w:val="005800B2"/>
    <w:rsid w:val="005801AC"/>
    <w:rsid w:val="0058085F"/>
    <w:rsid w:val="00580D81"/>
    <w:rsid w:val="0058138D"/>
    <w:rsid w:val="005813F0"/>
    <w:rsid w:val="005814A2"/>
    <w:rsid w:val="00581807"/>
    <w:rsid w:val="00581F50"/>
    <w:rsid w:val="0058215E"/>
    <w:rsid w:val="005828DB"/>
    <w:rsid w:val="00583868"/>
    <w:rsid w:val="00583BD0"/>
    <w:rsid w:val="00584571"/>
    <w:rsid w:val="00584930"/>
    <w:rsid w:val="00584F36"/>
    <w:rsid w:val="0058550A"/>
    <w:rsid w:val="00585719"/>
    <w:rsid w:val="0058585E"/>
    <w:rsid w:val="00586B81"/>
    <w:rsid w:val="00586E80"/>
    <w:rsid w:val="00587A2C"/>
    <w:rsid w:val="00587AFF"/>
    <w:rsid w:val="00587C39"/>
    <w:rsid w:val="005908EE"/>
    <w:rsid w:val="00590DE9"/>
    <w:rsid w:val="005918A9"/>
    <w:rsid w:val="005919A0"/>
    <w:rsid w:val="00592012"/>
    <w:rsid w:val="00592511"/>
    <w:rsid w:val="00592658"/>
    <w:rsid w:val="00593117"/>
    <w:rsid w:val="005935D9"/>
    <w:rsid w:val="00593953"/>
    <w:rsid w:val="00593994"/>
    <w:rsid w:val="0059432E"/>
    <w:rsid w:val="005946BB"/>
    <w:rsid w:val="005947D6"/>
    <w:rsid w:val="0059484D"/>
    <w:rsid w:val="0059499B"/>
    <w:rsid w:val="00594B36"/>
    <w:rsid w:val="005952EE"/>
    <w:rsid w:val="00595FD8"/>
    <w:rsid w:val="005963B3"/>
    <w:rsid w:val="0059641B"/>
    <w:rsid w:val="00596544"/>
    <w:rsid w:val="00596F01"/>
    <w:rsid w:val="00597058"/>
    <w:rsid w:val="005971BE"/>
    <w:rsid w:val="005971C2"/>
    <w:rsid w:val="005972A3"/>
    <w:rsid w:val="0059749C"/>
    <w:rsid w:val="0059758C"/>
    <w:rsid w:val="0059769F"/>
    <w:rsid w:val="0059792E"/>
    <w:rsid w:val="00597C94"/>
    <w:rsid w:val="005A045A"/>
    <w:rsid w:val="005A089B"/>
    <w:rsid w:val="005A092E"/>
    <w:rsid w:val="005A1773"/>
    <w:rsid w:val="005A1A0E"/>
    <w:rsid w:val="005A1AD0"/>
    <w:rsid w:val="005A1D72"/>
    <w:rsid w:val="005A1E6E"/>
    <w:rsid w:val="005A2369"/>
    <w:rsid w:val="005A29E4"/>
    <w:rsid w:val="005A2B2A"/>
    <w:rsid w:val="005A2C42"/>
    <w:rsid w:val="005A34B2"/>
    <w:rsid w:val="005A3642"/>
    <w:rsid w:val="005A3839"/>
    <w:rsid w:val="005A3E18"/>
    <w:rsid w:val="005A473A"/>
    <w:rsid w:val="005A4901"/>
    <w:rsid w:val="005A4A3A"/>
    <w:rsid w:val="005A4BE2"/>
    <w:rsid w:val="005A4CDE"/>
    <w:rsid w:val="005A4D97"/>
    <w:rsid w:val="005A5F85"/>
    <w:rsid w:val="005A60FE"/>
    <w:rsid w:val="005A6831"/>
    <w:rsid w:val="005A6A8C"/>
    <w:rsid w:val="005A77F4"/>
    <w:rsid w:val="005A7ECF"/>
    <w:rsid w:val="005B0266"/>
    <w:rsid w:val="005B08BB"/>
    <w:rsid w:val="005B0C42"/>
    <w:rsid w:val="005B17EB"/>
    <w:rsid w:val="005B1D8E"/>
    <w:rsid w:val="005B2355"/>
    <w:rsid w:val="005B242C"/>
    <w:rsid w:val="005B2F3D"/>
    <w:rsid w:val="005B35D6"/>
    <w:rsid w:val="005B3951"/>
    <w:rsid w:val="005B3EFA"/>
    <w:rsid w:val="005B40A5"/>
    <w:rsid w:val="005B43C0"/>
    <w:rsid w:val="005B4614"/>
    <w:rsid w:val="005B500E"/>
    <w:rsid w:val="005B504A"/>
    <w:rsid w:val="005B63C1"/>
    <w:rsid w:val="005B72D5"/>
    <w:rsid w:val="005B75EA"/>
    <w:rsid w:val="005B7834"/>
    <w:rsid w:val="005B7EBF"/>
    <w:rsid w:val="005C0380"/>
    <w:rsid w:val="005C0388"/>
    <w:rsid w:val="005C07A8"/>
    <w:rsid w:val="005C132D"/>
    <w:rsid w:val="005C161C"/>
    <w:rsid w:val="005C1A2A"/>
    <w:rsid w:val="005C1DDF"/>
    <w:rsid w:val="005C2221"/>
    <w:rsid w:val="005C226F"/>
    <w:rsid w:val="005C238C"/>
    <w:rsid w:val="005C29FD"/>
    <w:rsid w:val="005C2F5B"/>
    <w:rsid w:val="005C2FEA"/>
    <w:rsid w:val="005C2FF3"/>
    <w:rsid w:val="005C3244"/>
    <w:rsid w:val="005C396F"/>
    <w:rsid w:val="005C40AD"/>
    <w:rsid w:val="005C4130"/>
    <w:rsid w:val="005C4701"/>
    <w:rsid w:val="005C4B8F"/>
    <w:rsid w:val="005C4D00"/>
    <w:rsid w:val="005C523A"/>
    <w:rsid w:val="005C53ED"/>
    <w:rsid w:val="005C5674"/>
    <w:rsid w:val="005C6144"/>
    <w:rsid w:val="005C6382"/>
    <w:rsid w:val="005C6A6E"/>
    <w:rsid w:val="005C6CDE"/>
    <w:rsid w:val="005C71BB"/>
    <w:rsid w:val="005C7623"/>
    <w:rsid w:val="005C775C"/>
    <w:rsid w:val="005C7A35"/>
    <w:rsid w:val="005C7FF7"/>
    <w:rsid w:val="005D0008"/>
    <w:rsid w:val="005D0395"/>
    <w:rsid w:val="005D0448"/>
    <w:rsid w:val="005D0C63"/>
    <w:rsid w:val="005D0E95"/>
    <w:rsid w:val="005D0F7A"/>
    <w:rsid w:val="005D10B4"/>
    <w:rsid w:val="005D1B14"/>
    <w:rsid w:val="005D1DC7"/>
    <w:rsid w:val="005D2AC9"/>
    <w:rsid w:val="005D3062"/>
    <w:rsid w:val="005D34D0"/>
    <w:rsid w:val="005D3894"/>
    <w:rsid w:val="005D3DAA"/>
    <w:rsid w:val="005D4041"/>
    <w:rsid w:val="005D45A4"/>
    <w:rsid w:val="005D469C"/>
    <w:rsid w:val="005D506B"/>
    <w:rsid w:val="005D546C"/>
    <w:rsid w:val="005D5802"/>
    <w:rsid w:val="005D66C3"/>
    <w:rsid w:val="005D7810"/>
    <w:rsid w:val="005D7954"/>
    <w:rsid w:val="005D7A67"/>
    <w:rsid w:val="005E076B"/>
    <w:rsid w:val="005E0E08"/>
    <w:rsid w:val="005E1372"/>
    <w:rsid w:val="005E1529"/>
    <w:rsid w:val="005E18A8"/>
    <w:rsid w:val="005E18CB"/>
    <w:rsid w:val="005E2351"/>
    <w:rsid w:val="005E28A5"/>
    <w:rsid w:val="005E2F5B"/>
    <w:rsid w:val="005E32AF"/>
    <w:rsid w:val="005E33BE"/>
    <w:rsid w:val="005E3992"/>
    <w:rsid w:val="005E3A28"/>
    <w:rsid w:val="005E3A8B"/>
    <w:rsid w:val="005E3C0F"/>
    <w:rsid w:val="005E4142"/>
    <w:rsid w:val="005E4471"/>
    <w:rsid w:val="005E4808"/>
    <w:rsid w:val="005E4B34"/>
    <w:rsid w:val="005E543A"/>
    <w:rsid w:val="005E5714"/>
    <w:rsid w:val="005E62FC"/>
    <w:rsid w:val="005E6353"/>
    <w:rsid w:val="005E646C"/>
    <w:rsid w:val="005E72D6"/>
    <w:rsid w:val="005E743C"/>
    <w:rsid w:val="005E787A"/>
    <w:rsid w:val="005E7CBC"/>
    <w:rsid w:val="005E7E45"/>
    <w:rsid w:val="005F006C"/>
    <w:rsid w:val="005F05E0"/>
    <w:rsid w:val="005F095C"/>
    <w:rsid w:val="005F097B"/>
    <w:rsid w:val="005F11F0"/>
    <w:rsid w:val="005F18CC"/>
    <w:rsid w:val="005F1A47"/>
    <w:rsid w:val="005F1A6B"/>
    <w:rsid w:val="005F1B90"/>
    <w:rsid w:val="005F1CA5"/>
    <w:rsid w:val="005F26C1"/>
    <w:rsid w:val="005F2BE6"/>
    <w:rsid w:val="005F2C00"/>
    <w:rsid w:val="005F2E6F"/>
    <w:rsid w:val="005F3C87"/>
    <w:rsid w:val="005F4599"/>
    <w:rsid w:val="005F48C8"/>
    <w:rsid w:val="005F4B29"/>
    <w:rsid w:val="005F4FE8"/>
    <w:rsid w:val="005F5276"/>
    <w:rsid w:val="005F52BF"/>
    <w:rsid w:val="005F54C5"/>
    <w:rsid w:val="005F5A12"/>
    <w:rsid w:val="005F684B"/>
    <w:rsid w:val="005F6A8E"/>
    <w:rsid w:val="005F6FC3"/>
    <w:rsid w:val="005F77BF"/>
    <w:rsid w:val="005F7BC6"/>
    <w:rsid w:val="005F7FDD"/>
    <w:rsid w:val="006010BC"/>
    <w:rsid w:val="006014D0"/>
    <w:rsid w:val="00601596"/>
    <w:rsid w:val="00601B8F"/>
    <w:rsid w:val="00601F07"/>
    <w:rsid w:val="006027A0"/>
    <w:rsid w:val="00602B7E"/>
    <w:rsid w:val="00602C09"/>
    <w:rsid w:val="00603307"/>
    <w:rsid w:val="00603708"/>
    <w:rsid w:val="00603865"/>
    <w:rsid w:val="00603F18"/>
    <w:rsid w:val="006050A2"/>
    <w:rsid w:val="00605E5B"/>
    <w:rsid w:val="006060D9"/>
    <w:rsid w:val="006062E9"/>
    <w:rsid w:val="00606649"/>
    <w:rsid w:val="00606751"/>
    <w:rsid w:val="00606A76"/>
    <w:rsid w:val="006071BF"/>
    <w:rsid w:val="00607E79"/>
    <w:rsid w:val="00610578"/>
    <w:rsid w:val="0061063F"/>
    <w:rsid w:val="006106D4"/>
    <w:rsid w:val="00610712"/>
    <w:rsid w:val="00610B15"/>
    <w:rsid w:val="006115DB"/>
    <w:rsid w:val="00612646"/>
    <w:rsid w:val="00613465"/>
    <w:rsid w:val="0061367A"/>
    <w:rsid w:val="0061383D"/>
    <w:rsid w:val="00613E47"/>
    <w:rsid w:val="00614240"/>
    <w:rsid w:val="00614273"/>
    <w:rsid w:val="006143C1"/>
    <w:rsid w:val="00614953"/>
    <w:rsid w:val="006149DB"/>
    <w:rsid w:val="00614A76"/>
    <w:rsid w:val="006159C6"/>
    <w:rsid w:val="00615A77"/>
    <w:rsid w:val="00615F19"/>
    <w:rsid w:val="00616436"/>
    <w:rsid w:val="00616BA4"/>
    <w:rsid w:val="00617126"/>
    <w:rsid w:val="00617A54"/>
    <w:rsid w:val="00617ABE"/>
    <w:rsid w:val="00617F00"/>
    <w:rsid w:val="0062047E"/>
    <w:rsid w:val="0062048F"/>
    <w:rsid w:val="006207D0"/>
    <w:rsid w:val="006209F0"/>
    <w:rsid w:val="00620A85"/>
    <w:rsid w:val="006217DF"/>
    <w:rsid w:val="00621FE6"/>
    <w:rsid w:val="0062245F"/>
    <w:rsid w:val="00622AC1"/>
    <w:rsid w:val="00622EEA"/>
    <w:rsid w:val="006239FF"/>
    <w:rsid w:val="00623D77"/>
    <w:rsid w:val="00624298"/>
    <w:rsid w:val="00624349"/>
    <w:rsid w:val="0062489E"/>
    <w:rsid w:val="00624CEA"/>
    <w:rsid w:val="006251B7"/>
    <w:rsid w:val="00625409"/>
    <w:rsid w:val="00625731"/>
    <w:rsid w:val="00625AE6"/>
    <w:rsid w:val="00625EF4"/>
    <w:rsid w:val="0062747F"/>
    <w:rsid w:val="006278C7"/>
    <w:rsid w:val="006278E1"/>
    <w:rsid w:val="00627EA0"/>
    <w:rsid w:val="00630425"/>
    <w:rsid w:val="00630FAA"/>
    <w:rsid w:val="00632A4F"/>
    <w:rsid w:val="00632BB9"/>
    <w:rsid w:val="00632CDB"/>
    <w:rsid w:val="00633003"/>
    <w:rsid w:val="00633497"/>
    <w:rsid w:val="00633C5F"/>
    <w:rsid w:val="00634742"/>
    <w:rsid w:val="0063539F"/>
    <w:rsid w:val="006355D6"/>
    <w:rsid w:val="00635C6A"/>
    <w:rsid w:val="00635CC6"/>
    <w:rsid w:val="0063612C"/>
    <w:rsid w:val="00637A48"/>
    <w:rsid w:val="006402A2"/>
    <w:rsid w:val="00640648"/>
    <w:rsid w:val="006420CC"/>
    <w:rsid w:val="00642B4F"/>
    <w:rsid w:val="00643CE7"/>
    <w:rsid w:val="00643EB4"/>
    <w:rsid w:val="00643F57"/>
    <w:rsid w:val="00644D44"/>
    <w:rsid w:val="00644DDF"/>
    <w:rsid w:val="00644F43"/>
    <w:rsid w:val="0064500A"/>
    <w:rsid w:val="00645689"/>
    <w:rsid w:val="00645997"/>
    <w:rsid w:val="006463CB"/>
    <w:rsid w:val="006464EC"/>
    <w:rsid w:val="0064652A"/>
    <w:rsid w:val="00646893"/>
    <w:rsid w:val="00646C7C"/>
    <w:rsid w:val="00647B1F"/>
    <w:rsid w:val="00650511"/>
    <w:rsid w:val="0065057B"/>
    <w:rsid w:val="006506FD"/>
    <w:rsid w:val="0065110F"/>
    <w:rsid w:val="006513ED"/>
    <w:rsid w:val="00651820"/>
    <w:rsid w:val="0065226C"/>
    <w:rsid w:val="00652AEC"/>
    <w:rsid w:val="00652B33"/>
    <w:rsid w:val="0065306E"/>
    <w:rsid w:val="0065361C"/>
    <w:rsid w:val="00653704"/>
    <w:rsid w:val="00653708"/>
    <w:rsid w:val="006538A9"/>
    <w:rsid w:val="00653C5B"/>
    <w:rsid w:val="006545EB"/>
    <w:rsid w:val="006546E2"/>
    <w:rsid w:val="006553CA"/>
    <w:rsid w:val="0065543A"/>
    <w:rsid w:val="00655B65"/>
    <w:rsid w:val="00656690"/>
    <w:rsid w:val="00656A92"/>
    <w:rsid w:val="00656DB7"/>
    <w:rsid w:val="00656FE2"/>
    <w:rsid w:val="0065779B"/>
    <w:rsid w:val="00657FAE"/>
    <w:rsid w:val="00660A7A"/>
    <w:rsid w:val="00661181"/>
    <w:rsid w:val="0066151B"/>
    <w:rsid w:val="00661623"/>
    <w:rsid w:val="006620DB"/>
    <w:rsid w:val="00662C9B"/>
    <w:rsid w:val="00663F9F"/>
    <w:rsid w:val="006641E2"/>
    <w:rsid w:val="00664DD6"/>
    <w:rsid w:val="00664FDB"/>
    <w:rsid w:val="00665663"/>
    <w:rsid w:val="006657A9"/>
    <w:rsid w:val="006657D8"/>
    <w:rsid w:val="00666080"/>
    <w:rsid w:val="006661DC"/>
    <w:rsid w:val="00666386"/>
    <w:rsid w:val="00666972"/>
    <w:rsid w:val="00666A95"/>
    <w:rsid w:val="00666B83"/>
    <w:rsid w:val="00666E00"/>
    <w:rsid w:val="00667203"/>
    <w:rsid w:val="0066735C"/>
    <w:rsid w:val="006674DC"/>
    <w:rsid w:val="0066754B"/>
    <w:rsid w:val="006679B1"/>
    <w:rsid w:val="00667CA8"/>
    <w:rsid w:val="00667DA7"/>
    <w:rsid w:val="00667E39"/>
    <w:rsid w:val="00670218"/>
    <w:rsid w:val="00671524"/>
    <w:rsid w:val="00671BA1"/>
    <w:rsid w:val="00671BDE"/>
    <w:rsid w:val="0067201D"/>
    <w:rsid w:val="006720C3"/>
    <w:rsid w:val="006724B8"/>
    <w:rsid w:val="006728D7"/>
    <w:rsid w:val="00672D96"/>
    <w:rsid w:val="00673B50"/>
    <w:rsid w:val="00674543"/>
    <w:rsid w:val="00674691"/>
    <w:rsid w:val="00674C46"/>
    <w:rsid w:val="006750C0"/>
    <w:rsid w:val="006751DD"/>
    <w:rsid w:val="00676167"/>
    <w:rsid w:val="006766E4"/>
    <w:rsid w:val="00677325"/>
    <w:rsid w:val="00677EB5"/>
    <w:rsid w:val="0068054D"/>
    <w:rsid w:val="0068146A"/>
    <w:rsid w:val="006814BA"/>
    <w:rsid w:val="006817A7"/>
    <w:rsid w:val="00682A62"/>
    <w:rsid w:val="006830F8"/>
    <w:rsid w:val="00683874"/>
    <w:rsid w:val="006851DE"/>
    <w:rsid w:val="006853E3"/>
    <w:rsid w:val="00685470"/>
    <w:rsid w:val="00685A0E"/>
    <w:rsid w:val="00685CD2"/>
    <w:rsid w:val="00685D76"/>
    <w:rsid w:val="00685E6A"/>
    <w:rsid w:val="006868CD"/>
    <w:rsid w:val="00686A71"/>
    <w:rsid w:val="00687310"/>
    <w:rsid w:val="006878C6"/>
    <w:rsid w:val="00687EE8"/>
    <w:rsid w:val="0069039E"/>
    <w:rsid w:val="00690A01"/>
    <w:rsid w:val="00690BD3"/>
    <w:rsid w:val="00690F9F"/>
    <w:rsid w:val="00691102"/>
    <w:rsid w:val="00691198"/>
    <w:rsid w:val="00691717"/>
    <w:rsid w:val="006920DD"/>
    <w:rsid w:val="00692575"/>
    <w:rsid w:val="00692A50"/>
    <w:rsid w:val="006938FF"/>
    <w:rsid w:val="0069515D"/>
    <w:rsid w:val="00695A6C"/>
    <w:rsid w:val="00695C6C"/>
    <w:rsid w:val="00695C83"/>
    <w:rsid w:val="00696CC1"/>
    <w:rsid w:val="00696DC7"/>
    <w:rsid w:val="00696E54"/>
    <w:rsid w:val="006973AA"/>
    <w:rsid w:val="0069799C"/>
    <w:rsid w:val="00697DEA"/>
    <w:rsid w:val="00697E95"/>
    <w:rsid w:val="006A0466"/>
    <w:rsid w:val="006A0A4A"/>
    <w:rsid w:val="006A161A"/>
    <w:rsid w:val="006A1846"/>
    <w:rsid w:val="006A1865"/>
    <w:rsid w:val="006A1877"/>
    <w:rsid w:val="006A1A14"/>
    <w:rsid w:val="006A1F5C"/>
    <w:rsid w:val="006A2043"/>
    <w:rsid w:val="006A2932"/>
    <w:rsid w:val="006A2CE2"/>
    <w:rsid w:val="006A3043"/>
    <w:rsid w:val="006A31C1"/>
    <w:rsid w:val="006A36FA"/>
    <w:rsid w:val="006A5588"/>
    <w:rsid w:val="006A5632"/>
    <w:rsid w:val="006A6334"/>
    <w:rsid w:val="006A6335"/>
    <w:rsid w:val="006A6C71"/>
    <w:rsid w:val="006A7462"/>
    <w:rsid w:val="006A7654"/>
    <w:rsid w:val="006A7AD0"/>
    <w:rsid w:val="006A7F83"/>
    <w:rsid w:val="006B164B"/>
    <w:rsid w:val="006B1CB1"/>
    <w:rsid w:val="006B24EC"/>
    <w:rsid w:val="006B24F1"/>
    <w:rsid w:val="006B2F11"/>
    <w:rsid w:val="006B30BC"/>
    <w:rsid w:val="006B3922"/>
    <w:rsid w:val="006B3C5A"/>
    <w:rsid w:val="006B3D4E"/>
    <w:rsid w:val="006B3E74"/>
    <w:rsid w:val="006B5091"/>
    <w:rsid w:val="006B5448"/>
    <w:rsid w:val="006B5471"/>
    <w:rsid w:val="006B561E"/>
    <w:rsid w:val="006B5958"/>
    <w:rsid w:val="006B59DC"/>
    <w:rsid w:val="006B60F4"/>
    <w:rsid w:val="006B65C7"/>
    <w:rsid w:val="006B6D15"/>
    <w:rsid w:val="006B70E8"/>
    <w:rsid w:val="006B716E"/>
    <w:rsid w:val="006B721D"/>
    <w:rsid w:val="006B7400"/>
    <w:rsid w:val="006B7918"/>
    <w:rsid w:val="006B7A5E"/>
    <w:rsid w:val="006B7A9C"/>
    <w:rsid w:val="006B7F78"/>
    <w:rsid w:val="006C0816"/>
    <w:rsid w:val="006C08D1"/>
    <w:rsid w:val="006C0ECE"/>
    <w:rsid w:val="006C1109"/>
    <w:rsid w:val="006C1622"/>
    <w:rsid w:val="006C2E8C"/>
    <w:rsid w:val="006C2FE4"/>
    <w:rsid w:val="006C30D7"/>
    <w:rsid w:val="006C37E4"/>
    <w:rsid w:val="006C3964"/>
    <w:rsid w:val="006C441A"/>
    <w:rsid w:val="006C46A3"/>
    <w:rsid w:val="006C4820"/>
    <w:rsid w:val="006C4ABE"/>
    <w:rsid w:val="006C4C2F"/>
    <w:rsid w:val="006C51A5"/>
    <w:rsid w:val="006C55A5"/>
    <w:rsid w:val="006C5712"/>
    <w:rsid w:val="006C5AA8"/>
    <w:rsid w:val="006C5AF5"/>
    <w:rsid w:val="006C5B67"/>
    <w:rsid w:val="006C6635"/>
    <w:rsid w:val="006C6A84"/>
    <w:rsid w:val="006C7278"/>
    <w:rsid w:val="006C78D7"/>
    <w:rsid w:val="006C7DB6"/>
    <w:rsid w:val="006C7DFF"/>
    <w:rsid w:val="006D0979"/>
    <w:rsid w:val="006D1489"/>
    <w:rsid w:val="006D1A9C"/>
    <w:rsid w:val="006D284A"/>
    <w:rsid w:val="006D2BB2"/>
    <w:rsid w:val="006D2BC5"/>
    <w:rsid w:val="006D3638"/>
    <w:rsid w:val="006D3D73"/>
    <w:rsid w:val="006D5C81"/>
    <w:rsid w:val="006D5D4F"/>
    <w:rsid w:val="006D5E12"/>
    <w:rsid w:val="006D5FAE"/>
    <w:rsid w:val="006D7710"/>
    <w:rsid w:val="006D78A8"/>
    <w:rsid w:val="006D7AE8"/>
    <w:rsid w:val="006D7B4E"/>
    <w:rsid w:val="006D7F2E"/>
    <w:rsid w:val="006E01F4"/>
    <w:rsid w:val="006E0540"/>
    <w:rsid w:val="006E12E5"/>
    <w:rsid w:val="006E1880"/>
    <w:rsid w:val="006E2784"/>
    <w:rsid w:val="006E2A3A"/>
    <w:rsid w:val="006E2C55"/>
    <w:rsid w:val="006E32EE"/>
    <w:rsid w:val="006E4077"/>
    <w:rsid w:val="006E4134"/>
    <w:rsid w:val="006E4719"/>
    <w:rsid w:val="006E4D29"/>
    <w:rsid w:val="006E5532"/>
    <w:rsid w:val="006E56CD"/>
    <w:rsid w:val="006E5F9F"/>
    <w:rsid w:val="006E6395"/>
    <w:rsid w:val="006E68B5"/>
    <w:rsid w:val="006E6BE3"/>
    <w:rsid w:val="006E713A"/>
    <w:rsid w:val="006E73B7"/>
    <w:rsid w:val="006E7AF8"/>
    <w:rsid w:val="006E7B26"/>
    <w:rsid w:val="006E7C90"/>
    <w:rsid w:val="006F03E7"/>
    <w:rsid w:val="006F0532"/>
    <w:rsid w:val="006F2230"/>
    <w:rsid w:val="006F2433"/>
    <w:rsid w:val="006F2EAC"/>
    <w:rsid w:val="006F3076"/>
    <w:rsid w:val="006F3516"/>
    <w:rsid w:val="006F3649"/>
    <w:rsid w:val="006F3B3C"/>
    <w:rsid w:val="006F3E88"/>
    <w:rsid w:val="006F3EF1"/>
    <w:rsid w:val="006F4662"/>
    <w:rsid w:val="006F4BE8"/>
    <w:rsid w:val="006F5254"/>
    <w:rsid w:val="006F585C"/>
    <w:rsid w:val="006F5A41"/>
    <w:rsid w:val="006F5D24"/>
    <w:rsid w:val="006F5F34"/>
    <w:rsid w:val="006F6293"/>
    <w:rsid w:val="006F730A"/>
    <w:rsid w:val="006F7358"/>
    <w:rsid w:val="006F7CA3"/>
    <w:rsid w:val="0070089A"/>
    <w:rsid w:val="007010E2"/>
    <w:rsid w:val="007017E2"/>
    <w:rsid w:val="007019BA"/>
    <w:rsid w:val="00701C45"/>
    <w:rsid w:val="00703510"/>
    <w:rsid w:val="00703B1F"/>
    <w:rsid w:val="007042E6"/>
    <w:rsid w:val="0070447E"/>
    <w:rsid w:val="00704A0C"/>
    <w:rsid w:val="00704B9F"/>
    <w:rsid w:val="00704ED8"/>
    <w:rsid w:val="00705166"/>
    <w:rsid w:val="00705D62"/>
    <w:rsid w:val="00705FBA"/>
    <w:rsid w:val="0070606F"/>
    <w:rsid w:val="0070621D"/>
    <w:rsid w:val="00706334"/>
    <w:rsid w:val="00706834"/>
    <w:rsid w:val="007076DD"/>
    <w:rsid w:val="00707AAF"/>
    <w:rsid w:val="00707D1E"/>
    <w:rsid w:val="00710920"/>
    <w:rsid w:val="00710A1F"/>
    <w:rsid w:val="00710E1B"/>
    <w:rsid w:val="00710F8A"/>
    <w:rsid w:val="00710FFB"/>
    <w:rsid w:val="00711260"/>
    <w:rsid w:val="007118DB"/>
    <w:rsid w:val="0071274B"/>
    <w:rsid w:val="00712D54"/>
    <w:rsid w:val="007135B9"/>
    <w:rsid w:val="007139D3"/>
    <w:rsid w:val="00713A0C"/>
    <w:rsid w:val="00713D64"/>
    <w:rsid w:val="00713DDF"/>
    <w:rsid w:val="007140CF"/>
    <w:rsid w:val="007143CE"/>
    <w:rsid w:val="007162BE"/>
    <w:rsid w:val="00716544"/>
    <w:rsid w:val="00716546"/>
    <w:rsid w:val="00716CFE"/>
    <w:rsid w:val="00717696"/>
    <w:rsid w:val="0071769B"/>
    <w:rsid w:val="00717AFE"/>
    <w:rsid w:val="00717C0D"/>
    <w:rsid w:val="007201A9"/>
    <w:rsid w:val="00721120"/>
    <w:rsid w:val="00721582"/>
    <w:rsid w:val="00721C7F"/>
    <w:rsid w:val="00721E79"/>
    <w:rsid w:val="007226AB"/>
    <w:rsid w:val="0072287F"/>
    <w:rsid w:val="00722F31"/>
    <w:rsid w:val="00723B4F"/>
    <w:rsid w:val="00723BCC"/>
    <w:rsid w:val="00723E1A"/>
    <w:rsid w:val="007242D2"/>
    <w:rsid w:val="0072430A"/>
    <w:rsid w:val="00724852"/>
    <w:rsid w:val="00724AF1"/>
    <w:rsid w:val="00724ED0"/>
    <w:rsid w:val="00724F48"/>
    <w:rsid w:val="00724F7A"/>
    <w:rsid w:val="007253C0"/>
    <w:rsid w:val="00725D6E"/>
    <w:rsid w:val="007261E8"/>
    <w:rsid w:val="00726228"/>
    <w:rsid w:val="0072637B"/>
    <w:rsid w:val="0072641B"/>
    <w:rsid w:val="00726580"/>
    <w:rsid w:val="00726906"/>
    <w:rsid w:val="00726D80"/>
    <w:rsid w:val="007270CC"/>
    <w:rsid w:val="007274BE"/>
    <w:rsid w:val="007275FE"/>
    <w:rsid w:val="007277FB"/>
    <w:rsid w:val="00727CEB"/>
    <w:rsid w:val="00727D05"/>
    <w:rsid w:val="00730C40"/>
    <w:rsid w:val="007315AB"/>
    <w:rsid w:val="007321BB"/>
    <w:rsid w:val="00733036"/>
    <w:rsid w:val="00733426"/>
    <w:rsid w:val="00733C16"/>
    <w:rsid w:val="00733D0F"/>
    <w:rsid w:val="00733D46"/>
    <w:rsid w:val="00734059"/>
    <w:rsid w:val="0073459D"/>
    <w:rsid w:val="00735E39"/>
    <w:rsid w:val="0073616B"/>
    <w:rsid w:val="0073634A"/>
    <w:rsid w:val="00736F72"/>
    <w:rsid w:val="007373A8"/>
    <w:rsid w:val="007373FC"/>
    <w:rsid w:val="0073744F"/>
    <w:rsid w:val="007375B0"/>
    <w:rsid w:val="0073765F"/>
    <w:rsid w:val="00737AC7"/>
    <w:rsid w:val="00737B4B"/>
    <w:rsid w:val="00740225"/>
    <w:rsid w:val="0074024F"/>
    <w:rsid w:val="00740317"/>
    <w:rsid w:val="00740523"/>
    <w:rsid w:val="007407EC"/>
    <w:rsid w:val="00740BFE"/>
    <w:rsid w:val="0074146E"/>
    <w:rsid w:val="00741881"/>
    <w:rsid w:val="007418A9"/>
    <w:rsid w:val="0074192C"/>
    <w:rsid w:val="00741BA6"/>
    <w:rsid w:val="00741F7D"/>
    <w:rsid w:val="00742058"/>
    <w:rsid w:val="0074209A"/>
    <w:rsid w:val="0074214A"/>
    <w:rsid w:val="00742275"/>
    <w:rsid w:val="00742E32"/>
    <w:rsid w:val="00742F1A"/>
    <w:rsid w:val="00742F23"/>
    <w:rsid w:val="00743F53"/>
    <w:rsid w:val="00744284"/>
    <w:rsid w:val="00744BE0"/>
    <w:rsid w:val="00745115"/>
    <w:rsid w:val="007451BC"/>
    <w:rsid w:val="007469A4"/>
    <w:rsid w:val="00747221"/>
    <w:rsid w:val="007475F7"/>
    <w:rsid w:val="007479AA"/>
    <w:rsid w:val="00747DCD"/>
    <w:rsid w:val="00747E39"/>
    <w:rsid w:val="00750924"/>
    <w:rsid w:val="00750CDB"/>
    <w:rsid w:val="00750DD3"/>
    <w:rsid w:val="00751F55"/>
    <w:rsid w:val="0075230A"/>
    <w:rsid w:val="007527B5"/>
    <w:rsid w:val="00752992"/>
    <w:rsid w:val="0075312B"/>
    <w:rsid w:val="00753377"/>
    <w:rsid w:val="00753468"/>
    <w:rsid w:val="007539D7"/>
    <w:rsid w:val="00754294"/>
    <w:rsid w:val="0075439A"/>
    <w:rsid w:val="00754543"/>
    <w:rsid w:val="00754FF2"/>
    <w:rsid w:val="00755208"/>
    <w:rsid w:val="007556F9"/>
    <w:rsid w:val="007558FF"/>
    <w:rsid w:val="00755A0C"/>
    <w:rsid w:val="00756284"/>
    <w:rsid w:val="0075636C"/>
    <w:rsid w:val="007566D6"/>
    <w:rsid w:val="00756B1E"/>
    <w:rsid w:val="00756EDD"/>
    <w:rsid w:val="00757166"/>
    <w:rsid w:val="007572F0"/>
    <w:rsid w:val="00757535"/>
    <w:rsid w:val="0075780A"/>
    <w:rsid w:val="0076004A"/>
    <w:rsid w:val="0076044C"/>
    <w:rsid w:val="0076143C"/>
    <w:rsid w:val="00761587"/>
    <w:rsid w:val="007618BB"/>
    <w:rsid w:val="00762231"/>
    <w:rsid w:val="0076260E"/>
    <w:rsid w:val="007628AA"/>
    <w:rsid w:val="007631D2"/>
    <w:rsid w:val="00763FD7"/>
    <w:rsid w:val="0076452B"/>
    <w:rsid w:val="007655D8"/>
    <w:rsid w:val="00765637"/>
    <w:rsid w:val="00765D56"/>
    <w:rsid w:val="00766A7C"/>
    <w:rsid w:val="00767F07"/>
    <w:rsid w:val="00770951"/>
    <w:rsid w:val="00770B6B"/>
    <w:rsid w:val="00771100"/>
    <w:rsid w:val="0077130B"/>
    <w:rsid w:val="00771697"/>
    <w:rsid w:val="00771CFA"/>
    <w:rsid w:val="00771DFC"/>
    <w:rsid w:val="007721FA"/>
    <w:rsid w:val="0077221E"/>
    <w:rsid w:val="007723B1"/>
    <w:rsid w:val="00772777"/>
    <w:rsid w:val="0077319E"/>
    <w:rsid w:val="007731E7"/>
    <w:rsid w:val="0077380E"/>
    <w:rsid w:val="0077420F"/>
    <w:rsid w:val="00774244"/>
    <w:rsid w:val="00774755"/>
    <w:rsid w:val="00774B25"/>
    <w:rsid w:val="00774C94"/>
    <w:rsid w:val="0077503A"/>
    <w:rsid w:val="00775832"/>
    <w:rsid w:val="007758E4"/>
    <w:rsid w:val="007759D8"/>
    <w:rsid w:val="00775A51"/>
    <w:rsid w:val="00775ADB"/>
    <w:rsid w:val="00776985"/>
    <w:rsid w:val="007770F7"/>
    <w:rsid w:val="00777539"/>
    <w:rsid w:val="00777A94"/>
    <w:rsid w:val="00777DCC"/>
    <w:rsid w:val="00777E67"/>
    <w:rsid w:val="00777F4A"/>
    <w:rsid w:val="00780086"/>
    <w:rsid w:val="00780381"/>
    <w:rsid w:val="00780758"/>
    <w:rsid w:val="00780CBD"/>
    <w:rsid w:val="00780D06"/>
    <w:rsid w:val="0078161E"/>
    <w:rsid w:val="00781666"/>
    <w:rsid w:val="00781805"/>
    <w:rsid w:val="00781A8D"/>
    <w:rsid w:val="00781F13"/>
    <w:rsid w:val="007822BC"/>
    <w:rsid w:val="0078246D"/>
    <w:rsid w:val="00783551"/>
    <w:rsid w:val="00783ECE"/>
    <w:rsid w:val="00783FB6"/>
    <w:rsid w:val="007846BD"/>
    <w:rsid w:val="007847FD"/>
    <w:rsid w:val="0078494D"/>
    <w:rsid w:val="007849D9"/>
    <w:rsid w:val="00784B56"/>
    <w:rsid w:val="00784EF6"/>
    <w:rsid w:val="00785BD6"/>
    <w:rsid w:val="0078674E"/>
    <w:rsid w:val="0078678D"/>
    <w:rsid w:val="00786E83"/>
    <w:rsid w:val="00790355"/>
    <w:rsid w:val="007904FD"/>
    <w:rsid w:val="00790861"/>
    <w:rsid w:val="00790FED"/>
    <w:rsid w:val="00791BDF"/>
    <w:rsid w:val="00791BE3"/>
    <w:rsid w:val="007925B7"/>
    <w:rsid w:val="0079285A"/>
    <w:rsid w:val="00792C13"/>
    <w:rsid w:val="00792D0F"/>
    <w:rsid w:val="00792EB8"/>
    <w:rsid w:val="00793102"/>
    <w:rsid w:val="0079318F"/>
    <w:rsid w:val="007932C4"/>
    <w:rsid w:val="0079336B"/>
    <w:rsid w:val="007933BF"/>
    <w:rsid w:val="00793675"/>
    <w:rsid w:val="00793902"/>
    <w:rsid w:val="00793A2E"/>
    <w:rsid w:val="00793DF8"/>
    <w:rsid w:val="00793FAC"/>
    <w:rsid w:val="007940A0"/>
    <w:rsid w:val="00794716"/>
    <w:rsid w:val="00794B7B"/>
    <w:rsid w:val="00795B04"/>
    <w:rsid w:val="0079605A"/>
    <w:rsid w:val="00796B36"/>
    <w:rsid w:val="00796E71"/>
    <w:rsid w:val="00797073"/>
    <w:rsid w:val="007971A3"/>
    <w:rsid w:val="0079758D"/>
    <w:rsid w:val="0079761E"/>
    <w:rsid w:val="00797901"/>
    <w:rsid w:val="00797A78"/>
    <w:rsid w:val="00797EC7"/>
    <w:rsid w:val="007A0385"/>
    <w:rsid w:val="007A0387"/>
    <w:rsid w:val="007A052B"/>
    <w:rsid w:val="007A08DB"/>
    <w:rsid w:val="007A0F0D"/>
    <w:rsid w:val="007A12F2"/>
    <w:rsid w:val="007A202B"/>
    <w:rsid w:val="007A384D"/>
    <w:rsid w:val="007A3E4E"/>
    <w:rsid w:val="007A538A"/>
    <w:rsid w:val="007A5468"/>
    <w:rsid w:val="007A58D5"/>
    <w:rsid w:val="007A5AB7"/>
    <w:rsid w:val="007A5F60"/>
    <w:rsid w:val="007A6275"/>
    <w:rsid w:val="007A6946"/>
    <w:rsid w:val="007A6BFE"/>
    <w:rsid w:val="007A6C37"/>
    <w:rsid w:val="007A6DB2"/>
    <w:rsid w:val="007A7097"/>
    <w:rsid w:val="007A7665"/>
    <w:rsid w:val="007B03BE"/>
    <w:rsid w:val="007B0815"/>
    <w:rsid w:val="007B0E28"/>
    <w:rsid w:val="007B0F68"/>
    <w:rsid w:val="007B0FFD"/>
    <w:rsid w:val="007B100B"/>
    <w:rsid w:val="007B1528"/>
    <w:rsid w:val="007B168E"/>
    <w:rsid w:val="007B1A43"/>
    <w:rsid w:val="007B1AAF"/>
    <w:rsid w:val="007B2566"/>
    <w:rsid w:val="007B2572"/>
    <w:rsid w:val="007B25A1"/>
    <w:rsid w:val="007B2F4E"/>
    <w:rsid w:val="007B3043"/>
    <w:rsid w:val="007B3877"/>
    <w:rsid w:val="007B4822"/>
    <w:rsid w:val="007B5114"/>
    <w:rsid w:val="007B515C"/>
    <w:rsid w:val="007B5740"/>
    <w:rsid w:val="007B678F"/>
    <w:rsid w:val="007B6EBC"/>
    <w:rsid w:val="007B7040"/>
    <w:rsid w:val="007B72F2"/>
    <w:rsid w:val="007B75AE"/>
    <w:rsid w:val="007B7988"/>
    <w:rsid w:val="007B7A9C"/>
    <w:rsid w:val="007C0770"/>
    <w:rsid w:val="007C0A31"/>
    <w:rsid w:val="007C0E50"/>
    <w:rsid w:val="007C0EE8"/>
    <w:rsid w:val="007C0F9F"/>
    <w:rsid w:val="007C0FE7"/>
    <w:rsid w:val="007C110D"/>
    <w:rsid w:val="007C1399"/>
    <w:rsid w:val="007C1A60"/>
    <w:rsid w:val="007C1CC6"/>
    <w:rsid w:val="007C1CE2"/>
    <w:rsid w:val="007C1EEA"/>
    <w:rsid w:val="007C3104"/>
    <w:rsid w:val="007C3292"/>
    <w:rsid w:val="007C3A12"/>
    <w:rsid w:val="007C3F51"/>
    <w:rsid w:val="007C4280"/>
    <w:rsid w:val="007C45C9"/>
    <w:rsid w:val="007C4C4E"/>
    <w:rsid w:val="007C4EE9"/>
    <w:rsid w:val="007C4F37"/>
    <w:rsid w:val="007C505D"/>
    <w:rsid w:val="007C520B"/>
    <w:rsid w:val="007C53FF"/>
    <w:rsid w:val="007C5A86"/>
    <w:rsid w:val="007C5B46"/>
    <w:rsid w:val="007C6698"/>
    <w:rsid w:val="007C69B8"/>
    <w:rsid w:val="007C69EB"/>
    <w:rsid w:val="007C7278"/>
    <w:rsid w:val="007C78B9"/>
    <w:rsid w:val="007C7DF8"/>
    <w:rsid w:val="007D0D76"/>
    <w:rsid w:val="007D1748"/>
    <w:rsid w:val="007D1A7F"/>
    <w:rsid w:val="007D1B5A"/>
    <w:rsid w:val="007D1DC8"/>
    <w:rsid w:val="007D2711"/>
    <w:rsid w:val="007D2BBE"/>
    <w:rsid w:val="007D3438"/>
    <w:rsid w:val="007D36C8"/>
    <w:rsid w:val="007D37FD"/>
    <w:rsid w:val="007D3C5A"/>
    <w:rsid w:val="007D41FF"/>
    <w:rsid w:val="007D4578"/>
    <w:rsid w:val="007D465A"/>
    <w:rsid w:val="007D4815"/>
    <w:rsid w:val="007D4A94"/>
    <w:rsid w:val="007D50BE"/>
    <w:rsid w:val="007D54DC"/>
    <w:rsid w:val="007D556D"/>
    <w:rsid w:val="007D5BC6"/>
    <w:rsid w:val="007D603C"/>
    <w:rsid w:val="007D624F"/>
    <w:rsid w:val="007D661D"/>
    <w:rsid w:val="007D6B19"/>
    <w:rsid w:val="007D6B6A"/>
    <w:rsid w:val="007D6C55"/>
    <w:rsid w:val="007D7666"/>
    <w:rsid w:val="007D7FD5"/>
    <w:rsid w:val="007E0490"/>
    <w:rsid w:val="007E0B20"/>
    <w:rsid w:val="007E246B"/>
    <w:rsid w:val="007E2676"/>
    <w:rsid w:val="007E3703"/>
    <w:rsid w:val="007E3A68"/>
    <w:rsid w:val="007E40C5"/>
    <w:rsid w:val="007E4295"/>
    <w:rsid w:val="007E4BC9"/>
    <w:rsid w:val="007E4C53"/>
    <w:rsid w:val="007E4C63"/>
    <w:rsid w:val="007E503B"/>
    <w:rsid w:val="007E55C6"/>
    <w:rsid w:val="007E5723"/>
    <w:rsid w:val="007E6087"/>
    <w:rsid w:val="007E6414"/>
    <w:rsid w:val="007E6456"/>
    <w:rsid w:val="007E7E89"/>
    <w:rsid w:val="007E7EA9"/>
    <w:rsid w:val="007E7F7E"/>
    <w:rsid w:val="007F0879"/>
    <w:rsid w:val="007F08C6"/>
    <w:rsid w:val="007F0ECD"/>
    <w:rsid w:val="007F0F02"/>
    <w:rsid w:val="007F200D"/>
    <w:rsid w:val="007F262E"/>
    <w:rsid w:val="007F2850"/>
    <w:rsid w:val="007F3042"/>
    <w:rsid w:val="007F3372"/>
    <w:rsid w:val="007F339D"/>
    <w:rsid w:val="007F3BE2"/>
    <w:rsid w:val="007F45E2"/>
    <w:rsid w:val="007F49DA"/>
    <w:rsid w:val="007F5801"/>
    <w:rsid w:val="007F6A9D"/>
    <w:rsid w:val="007F6AE0"/>
    <w:rsid w:val="007F6B74"/>
    <w:rsid w:val="007F7465"/>
    <w:rsid w:val="007F77DB"/>
    <w:rsid w:val="007F7F04"/>
    <w:rsid w:val="0080028D"/>
    <w:rsid w:val="008005BE"/>
    <w:rsid w:val="008017C9"/>
    <w:rsid w:val="00801AEC"/>
    <w:rsid w:val="00801B62"/>
    <w:rsid w:val="00801E2C"/>
    <w:rsid w:val="00802224"/>
    <w:rsid w:val="008023DF"/>
    <w:rsid w:val="0080241A"/>
    <w:rsid w:val="008024B7"/>
    <w:rsid w:val="00802601"/>
    <w:rsid w:val="0080271E"/>
    <w:rsid w:val="008029D6"/>
    <w:rsid w:val="00802F1B"/>
    <w:rsid w:val="008036C7"/>
    <w:rsid w:val="00803719"/>
    <w:rsid w:val="008037E3"/>
    <w:rsid w:val="0080382C"/>
    <w:rsid w:val="00803A1D"/>
    <w:rsid w:val="00803B86"/>
    <w:rsid w:val="00803C8B"/>
    <w:rsid w:val="00803CDE"/>
    <w:rsid w:val="00804070"/>
    <w:rsid w:val="0080408C"/>
    <w:rsid w:val="008045F2"/>
    <w:rsid w:val="0080464F"/>
    <w:rsid w:val="00804B54"/>
    <w:rsid w:val="00804DC7"/>
    <w:rsid w:val="0080511D"/>
    <w:rsid w:val="0080536E"/>
    <w:rsid w:val="008054F2"/>
    <w:rsid w:val="00805556"/>
    <w:rsid w:val="0080555B"/>
    <w:rsid w:val="00805BDA"/>
    <w:rsid w:val="00805BF7"/>
    <w:rsid w:val="0080600F"/>
    <w:rsid w:val="00806242"/>
    <w:rsid w:val="0080662E"/>
    <w:rsid w:val="008067AC"/>
    <w:rsid w:val="008075EA"/>
    <w:rsid w:val="00807C38"/>
    <w:rsid w:val="00810664"/>
    <w:rsid w:val="00810A92"/>
    <w:rsid w:val="00810ACE"/>
    <w:rsid w:val="00810DAC"/>
    <w:rsid w:val="008110FC"/>
    <w:rsid w:val="008111A3"/>
    <w:rsid w:val="0081144B"/>
    <w:rsid w:val="00811608"/>
    <w:rsid w:val="00811672"/>
    <w:rsid w:val="00811841"/>
    <w:rsid w:val="00811A57"/>
    <w:rsid w:val="00811B48"/>
    <w:rsid w:val="00811CA8"/>
    <w:rsid w:val="00811CA9"/>
    <w:rsid w:val="0081213D"/>
    <w:rsid w:val="00812249"/>
    <w:rsid w:val="00812575"/>
    <w:rsid w:val="00812889"/>
    <w:rsid w:val="00812C48"/>
    <w:rsid w:val="00812CCF"/>
    <w:rsid w:val="00812E6E"/>
    <w:rsid w:val="00813257"/>
    <w:rsid w:val="008133E7"/>
    <w:rsid w:val="008134CC"/>
    <w:rsid w:val="008138D3"/>
    <w:rsid w:val="00814039"/>
    <w:rsid w:val="00814559"/>
    <w:rsid w:val="008145CC"/>
    <w:rsid w:val="0081464A"/>
    <w:rsid w:val="008146EF"/>
    <w:rsid w:val="0081471E"/>
    <w:rsid w:val="00814809"/>
    <w:rsid w:val="00814CB2"/>
    <w:rsid w:val="00815B63"/>
    <w:rsid w:val="00815FB9"/>
    <w:rsid w:val="008168BF"/>
    <w:rsid w:val="00816DA6"/>
    <w:rsid w:val="00816FDA"/>
    <w:rsid w:val="008172D0"/>
    <w:rsid w:val="008177E6"/>
    <w:rsid w:val="00817853"/>
    <w:rsid w:val="00817A39"/>
    <w:rsid w:val="0082018D"/>
    <w:rsid w:val="008201DB"/>
    <w:rsid w:val="00820225"/>
    <w:rsid w:val="008202B8"/>
    <w:rsid w:val="00820997"/>
    <w:rsid w:val="00820A5E"/>
    <w:rsid w:val="00820ED0"/>
    <w:rsid w:val="00821555"/>
    <w:rsid w:val="0082168B"/>
    <w:rsid w:val="008219B7"/>
    <w:rsid w:val="00821A38"/>
    <w:rsid w:val="008223E1"/>
    <w:rsid w:val="00822426"/>
    <w:rsid w:val="008224A4"/>
    <w:rsid w:val="0082253F"/>
    <w:rsid w:val="00822770"/>
    <w:rsid w:val="00822DBD"/>
    <w:rsid w:val="008232A0"/>
    <w:rsid w:val="008239A8"/>
    <w:rsid w:val="008239D8"/>
    <w:rsid w:val="008241F7"/>
    <w:rsid w:val="0082464F"/>
    <w:rsid w:val="00824903"/>
    <w:rsid w:val="00824B1E"/>
    <w:rsid w:val="008252C6"/>
    <w:rsid w:val="0082552C"/>
    <w:rsid w:val="00825A7C"/>
    <w:rsid w:val="00825DAB"/>
    <w:rsid w:val="00825E8C"/>
    <w:rsid w:val="00826013"/>
    <w:rsid w:val="0082631D"/>
    <w:rsid w:val="0082691B"/>
    <w:rsid w:val="008269BE"/>
    <w:rsid w:val="00826B84"/>
    <w:rsid w:val="00826E33"/>
    <w:rsid w:val="00827012"/>
    <w:rsid w:val="0082714F"/>
    <w:rsid w:val="00827329"/>
    <w:rsid w:val="0082752D"/>
    <w:rsid w:val="00827811"/>
    <w:rsid w:val="00827968"/>
    <w:rsid w:val="0083041B"/>
    <w:rsid w:val="008306ED"/>
    <w:rsid w:val="00830E6A"/>
    <w:rsid w:val="008313AC"/>
    <w:rsid w:val="00831A3F"/>
    <w:rsid w:val="008322C0"/>
    <w:rsid w:val="00832D10"/>
    <w:rsid w:val="00832E5E"/>
    <w:rsid w:val="008339C1"/>
    <w:rsid w:val="00833DD1"/>
    <w:rsid w:val="00833F3B"/>
    <w:rsid w:val="00834427"/>
    <w:rsid w:val="008344AC"/>
    <w:rsid w:val="00834595"/>
    <w:rsid w:val="00834CB7"/>
    <w:rsid w:val="00834CDB"/>
    <w:rsid w:val="00834FBC"/>
    <w:rsid w:val="008352AD"/>
    <w:rsid w:val="008354AA"/>
    <w:rsid w:val="00836230"/>
    <w:rsid w:val="00836397"/>
    <w:rsid w:val="00837160"/>
    <w:rsid w:val="0083734C"/>
    <w:rsid w:val="008378B3"/>
    <w:rsid w:val="0083792E"/>
    <w:rsid w:val="00840B07"/>
    <w:rsid w:val="00840B08"/>
    <w:rsid w:val="00840BD2"/>
    <w:rsid w:val="00841541"/>
    <w:rsid w:val="00841D4F"/>
    <w:rsid w:val="00842F27"/>
    <w:rsid w:val="00842FC2"/>
    <w:rsid w:val="008434F1"/>
    <w:rsid w:val="00843928"/>
    <w:rsid w:val="00843D24"/>
    <w:rsid w:val="00844279"/>
    <w:rsid w:val="00844AE9"/>
    <w:rsid w:val="008453AC"/>
    <w:rsid w:val="00845650"/>
    <w:rsid w:val="00845A30"/>
    <w:rsid w:val="008463FF"/>
    <w:rsid w:val="00846819"/>
    <w:rsid w:val="00846FAC"/>
    <w:rsid w:val="008472BE"/>
    <w:rsid w:val="008475AD"/>
    <w:rsid w:val="00847EBF"/>
    <w:rsid w:val="00850015"/>
    <w:rsid w:val="0085020B"/>
    <w:rsid w:val="00850561"/>
    <w:rsid w:val="00850997"/>
    <w:rsid w:val="008509B5"/>
    <w:rsid w:val="00850EE6"/>
    <w:rsid w:val="00850F76"/>
    <w:rsid w:val="008511CF"/>
    <w:rsid w:val="00851209"/>
    <w:rsid w:val="008512BE"/>
    <w:rsid w:val="00851343"/>
    <w:rsid w:val="0085135C"/>
    <w:rsid w:val="008518D0"/>
    <w:rsid w:val="00852607"/>
    <w:rsid w:val="0085299C"/>
    <w:rsid w:val="00852F2A"/>
    <w:rsid w:val="00852FA7"/>
    <w:rsid w:val="0085308F"/>
    <w:rsid w:val="008534EF"/>
    <w:rsid w:val="00853634"/>
    <w:rsid w:val="00853972"/>
    <w:rsid w:val="00853B68"/>
    <w:rsid w:val="00853C60"/>
    <w:rsid w:val="00853FF6"/>
    <w:rsid w:val="008541FF"/>
    <w:rsid w:val="00854365"/>
    <w:rsid w:val="00854537"/>
    <w:rsid w:val="00854ACF"/>
    <w:rsid w:val="00854F65"/>
    <w:rsid w:val="00855943"/>
    <w:rsid w:val="0085599E"/>
    <w:rsid w:val="008559D7"/>
    <w:rsid w:val="00855A3C"/>
    <w:rsid w:val="00855C84"/>
    <w:rsid w:val="008560D9"/>
    <w:rsid w:val="0085613C"/>
    <w:rsid w:val="0085654F"/>
    <w:rsid w:val="0085657B"/>
    <w:rsid w:val="008574DA"/>
    <w:rsid w:val="008577AA"/>
    <w:rsid w:val="00860287"/>
    <w:rsid w:val="00860347"/>
    <w:rsid w:val="0086095A"/>
    <w:rsid w:val="008609A5"/>
    <w:rsid w:val="00861186"/>
    <w:rsid w:val="0086155E"/>
    <w:rsid w:val="008618C5"/>
    <w:rsid w:val="00861C25"/>
    <w:rsid w:val="00861D80"/>
    <w:rsid w:val="00861D98"/>
    <w:rsid w:val="00862068"/>
    <w:rsid w:val="0086264C"/>
    <w:rsid w:val="008627F5"/>
    <w:rsid w:val="00862A49"/>
    <w:rsid w:val="0086438B"/>
    <w:rsid w:val="00864471"/>
    <w:rsid w:val="008647CA"/>
    <w:rsid w:val="00864C33"/>
    <w:rsid w:val="00864C52"/>
    <w:rsid w:val="008654FA"/>
    <w:rsid w:val="00865A00"/>
    <w:rsid w:val="008667FB"/>
    <w:rsid w:val="00866B8D"/>
    <w:rsid w:val="00866BC1"/>
    <w:rsid w:val="00866CCD"/>
    <w:rsid w:val="0086703F"/>
    <w:rsid w:val="0086732B"/>
    <w:rsid w:val="008674B0"/>
    <w:rsid w:val="0086771C"/>
    <w:rsid w:val="00867769"/>
    <w:rsid w:val="00867798"/>
    <w:rsid w:val="008677BA"/>
    <w:rsid w:val="0087026E"/>
    <w:rsid w:val="008707AC"/>
    <w:rsid w:val="00870D86"/>
    <w:rsid w:val="00870F5B"/>
    <w:rsid w:val="00870FC3"/>
    <w:rsid w:val="008711F2"/>
    <w:rsid w:val="0087137C"/>
    <w:rsid w:val="008714C4"/>
    <w:rsid w:val="00871889"/>
    <w:rsid w:val="008729F8"/>
    <w:rsid w:val="00872B0F"/>
    <w:rsid w:val="008730C4"/>
    <w:rsid w:val="008735BB"/>
    <w:rsid w:val="00873978"/>
    <w:rsid w:val="008739FC"/>
    <w:rsid w:val="00873A15"/>
    <w:rsid w:val="008740E2"/>
    <w:rsid w:val="008741BF"/>
    <w:rsid w:val="008745EB"/>
    <w:rsid w:val="00874C5F"/>
    <w:rsid w:val="00874D70"/>
    <w:rsid w:val="008759DA"/>
    <w:rsid w:val="00875B95"/>
    <w:rsid w:val="00875F79"/>
    <w:rsid w:val="00875F96"/>
    <w:rsid w:val="00876932"/>
    <w:rsid w:val="0087693B"/>
    <w:rsid w:val="008769D9"/>
    <w:rsid w:val="00877929"/>
    <w:rsid w:val="00877D91"/>
    <w:rsid w:val="00877E09"/>
    <w:rsid w:val="00880BB3"/>
    <w:rsid w:val="00880D7D"/>
    <w:rsid w:val="008814AC"/>
    <w:rsid w:val="00881788"/>
    <w:rsid w:val="00882328"/>
    <w:rsid w:val="008825BE"/>
    <w:rsid w:val="008829C6"/>
    <w:rsid w:val="008831FF"/>
    <w:rsid w:val="008835E2"/>
    <w:rsid w:val="0088438B"/>
    <w:rsid w:val="0088491F"/>
    <w:rsid w:val="00884BFC"/>
    <w:rsid w:val="00885041"/>
    <w:rsid w:val="00885E42"/>
    <w:rsid w:val="0088651C"/>
    <w:rsid w:val="00886A7F"/>
    <w:rsid w:val="00886D0E"/>
    <w:rsid w:val="00887423"/>
    <w:rsid w:val="008875A8"/>
    <w:rsid w:val="008879C0"/>
    <w:rsid w:val="00890A70"/>
    <w:rsid w:val="00891563"/>
    <w:rsid w:val="00891B81"/>
    <w:rsid w:val="00891D08"/>
    <w:rsid w:val="0089210E"/>
    <w:rsid w:val="008924A4"/>
    <w:rsid w:val="0089288A"/>
    <w:rsid w:val="008929FD"/>
    <w:rsid w:val="00892AD7"/>
    <w:rsid w:val="00892C5A"/>
    <w:rsid w:val="0089313F"/>
    <w:rsid w:val="008935FC"/>
    <w:rsid w:val="00893786"/>
    <w:rsid w:val="008937F1"/>
    <w:rsid w:val="00893BB9"/>
    <w:rsid w:val="00894188"/>
    <w:rsid w:val="00895370"/>
    <w:rsid w:val="00895668"/>
    <w:rsid w:val="008957E4"/>
    <w:rsid w:val="00895E4D"/>
    <w:rsid w:val="008962E7"/>
    <w:rsid w:val="00896574"/>
    <w:rsid w:val="008969A7"/>
    <w:rsid w:val="0089705E"/>
    <w:rsid w:val="008970F1"/>
    <w:rsid w:val="008976E5"/>
    <w:rsid w:val="00897704"/>
    <w:rsid w:val="00897FFD"/>
    <w:rsid w:val="008A0373"/>
    <w:rsid w:val="008A06A8"/>
    <w:rsid w:val="008A0D57"/>
    <w:rsid w:val="008A150D"/>
    <w:rsid w:val="008A1704"/>
    <w:rsid w:val="008A2BB6"/>
    <w:rsid w:val="008A30E4"/>
    <w:rsid w:val="008A3F4D"/>
    <w:rsid w:val="008A4682"/>
    <w:rsid w:val="008A49C6"/>
    <w:rsid w:val="008A4EC3"/>
    <w:rsid w:val="008A4F0D"/>
    <w:rsid w:val="008A5318"/>
    <w:rsid w:val="008A53E0"/>
    <w:rsid w:val="008A5406"/>
    <w:rsid w:val="008A561F"/>
    <w:rsid w:val="008A5827"/>
    <w:rsid w:val="008A59C4"/>
    <w:rsid w:val="008A5DCE"/>
    <w:rsid w:val="008A66C6"/>
    <w:rsid w:val="008A6780"/>
    <w:rsid w:val="008A6AA8"/>
    <w:rsid w:val="008A772B"/>
    <w:rsid w:val="008A7DF0"/>
    <w:rsid w:val="008B05B1"/>
    <w:rsid w:val="008B0DD1"/>
    <w:rsid w:val="008B11FD"/>
    <w:rsid w:val="008B1355"/>
    <w:rsid w:val="008B23F4"/>
    <w:rsid w:val="008B24C3"/>
    <w:rsid w:val="008B272B"/>
    <w:rsid w:val="008B2C4E"/>
    <w:rsid w:val="008B449F"/>
    <w:rsid w:val="008B5677"/>
    <w:rsid w:val="008B57B4"/>
    <w:rsid w:val="008B59B3"/>
    <w:rsid w:val="008B5F0D"/>
    <w:rsid w:val="008B6220"/>
    <w:rsid w:val="008B63B2"/>
    <w:rsid w:val="008B6C92"/>
    <w:rsid w:val="008B744B"/>
    <w:rsid w:val="008B7A31"/>
    <w:rsid w:val="008B7A63"/>
    <w:rsid w:val="008B7C02"/>
    <w:rsid w:val="008C05D4"/>
    <w:rsid w:val="008C0E31"/>
    <w:rsid w:val="008C23C0"/>
    <w:rsid w:val="008C2867"/>
    <w:rsid w:val="008C2CED"/>
    <w:rsid w:val="008C316A"/>
    <w:rsid w:val="008C341E"/>
    <w:rsid w:val="008C3CEE"/>
    <w:rsid w:val="008C3D60"/>
    <w:rsid w:val="008C40EA"/>
    <w:rsid w:val="008C45EF"/>
    <w:rsid w:val="008C57CA"/>
    <w:rsid w:val="008C5874"/>
    <w:rsid w:val="008C5AD6"/>
    <w:rsid w:val="008C68F6"/>
    <w:rsid w:val="008C7610"/>
    <w:rsid w:val="008C7BB7"/>
    <w:rsid w:val="008D0876"/>
    <w:rsid w:val="008D0C53"/>
    <w:rsid w:val="008D0CB8"/>
    <w:rsid w:val="008D1053"/>
    <w:rsid w:val="008D124B"/>
    <w:rsid w:val="008D1912"/>
    <w:rsid w:val="008D19EC"/>
    <w:rsid w:val="008D205E"/>
    <w:rsid w:val="008D2827"/>
    <w:rsid w:val="008D290D"/>
    <w:rsid w:val="008D2B18"/>
    <w:rsid w:val="008D309F"/>
    <w:rsid w:val="008D352E"/>
    <w:rsid w:val="008D3745"/>
    <w:rsid w:val="008D3CC4"/>
    <w:rsid w:val="008D4019"/>
    <w:rsid w:val="008D4307"/>
    <w:rsid w:val="008D539E"/>
    <w:rsid w:val="008D55F5"/>
    <w:rsid w:val="008D57A4"/>
    <w:rsid w:val="008D5B02"/>
    <w:rsid w:val="008D666F"/>
    <w:rsid w:val="008D6832"/>
    <w:rsid w:val="008D68E8"/>
    <w:rsid w:val="008D6F6B"/>
    <w:rsid w:val="008D7091"/>
    <w:rsid w:val="008D7180"/>
    <w:rsid w:val="008D7DCA"/>
    <w:rsid w:val="008D7FAA"/>
    <w:rsid w:val="008D7FEB"/>
    <w:rsid w:val="008E014C"/>
    <w:rsid w:val="008E09D3"/>
    <w:rsid w:val="008E0A79"/>
    <w:rsid w:val="008E1AC2"/>
    <w:rsid w:val="008E1C70"/>
    <w:rsid w:val="008E21A9"/>
    <w:rsid w:val="008E2ADF"/>
    <w:rsid w:val="008E2F97"/>
    <w:rsid w:val="008E32E0"/>
    <w:rsid w:val="008E33DE"/>
    <w:rsid w:val="008E346A"/>
    <w:rsid w:val="008E3621"/>
    <w:rsid w:val="008E37C6"/>
    <w:rsid w:val="008E3A7D"/>
    <w:rsid w:val="008E3CF1"/>
    <w:rsid w:val="008E4403"/>
    <w:rsid w:val="008E4637"/>
    <w:rsid w:val="008E48B9"/>
    <w:rsid w:val="008E4977"/>
    <w:rsid w:val="008E4BBC"/>
    <w:rsid w:val="008E4C85"/>
    <w:rsid w:val="008E5118"/>
    <w:rsid w:val="008E59FC"/>
    <w:rsid w:val="008E60B7"/>
    <w:rsid w:val="008E6125"/>
    <w:rsid w:val="008E6137"/>
    <w:rsid w:val="008E67AC"/>
    <w:rsid w:val="008E6B4D"/>
    <w:rsid w:val="008E6E3C"/>
    <w:rsid w:val="008E6E49"/>
    <w:rsid w:val="008E72BC"/>
    <w:rsid w:val="008E760B"/>
    <w:rsid w:val="008E771B"/>
    <w:rsid w:val="008E782C"/>
    <w:rsid w:val="008E784A"/>
    <w:rsid w:val="008F0214"/>
    <w:rsid w:val="008F0339"/>
    <w:rsid w:val="008F04D7"/>
    <w:rsid w:val="008F04DE"/>
    <w:rsid w:val="008F0968"/>
    <w:rsid w:val="008F0ED7"/>
    <w:rsid w:val="008F1930"/>
    <w:rsid w:val="008F1F5B"/>
    <w:rsid w:val="008F2380"/>
    <w:rsid w:val="008F26E2"/>
    <w:rsid w:val="008F2CD0"/>
    <w:rsid w:val="008F3380"/>
    <w:rsid w:val="008F3EC0"/>
    <w:rsid w:val="008F4252"/>
    <w:rsid w:val="008F4974"/>
    <w:rsid w:val="008F4BF4"/>
    <w:rsid w:val="008F5720"/>
    <w:rsid w:val="008F6B2C"/>
    <w:rsid w:val="008F6B51"/>
    <w:rsid w:val="008F6BD5"/>
    <w:rsid w:val="008F6CDE"/>
    <w:rsid w:val="008F6EB4"/>
    <w:rsid w:val="008F6F00"/>
    <w:rsid w:val="008F72E6"/>
    <w:rsid w:val="008F7C2D"/>
    <w:rsid w:val="009001AD"/>
    <w:rsid w:val="00900519"/>
    <w:rsid w:val="00900573"/>
    <w:rsid w:val="00900725"/>
    <w:rsid w:val="009007E0"/>
    <w:rsid w:val="00900879"/>
    <w:rsid w:val="009009EF"/>
    <w:rsid w:val="00900C8D"/>
    <w:rsid w:val="00901444"/>
    <w:rsid w:val="00901A00"/>
    <w:rsid w:val="00901A1D"/>
    <w:rsid w:val="0090247B"/>
    <w:rsid w:val="00902676"/>
    <w:rsid w:val="00902CAF"/>
    <w:rsid w:val="0090318D"/>
    <w:rsid w:val="00903369"/>
    <w:rsid w:val="00903460"/>
    <w:rsid w:val="00903795"/>
    <w:rsid w:val="00904B31"/>
    <w:rsid w:val="00904D43"/>
    <w:rsid w:val="00904D85"/>
    <w:rsid w:val="0090551A"/>
    <w:rsid w:val="009056AE"/>
    <w:rsid w:val="009060DD"/>
    <w:rsid w:val="0090666D"/>
    <w:rsid w:val="00906717"/>
    <w:rsid w:val="00906C10"/>
    <w:rsid w:val="00906F1D"/>
    <w:rsid w:val="00907207"/>
    <w:rsid w:val="009076D2"/>
    <w:rsid w:val="00907806"/>
    <w:rsid w:val="00907D7A"/>
    <w:rsid w:val="00907F2A"/>
    <w:rsid w:val="00910521"/>
    <w:rsid w:val="00910CF4"/>
    <w:rsid w:val="00910E45"/>
    <w:rsid w:val="009113BB"/>
    <w:rsid w:val="00911B2E"/>
    <w:rsid w:val="009133A0"/>
    <w:rsid w:val="00913F29"/>
    <w:rsid w:val="00913FD3"/>
    <w:rsid w:val="009141C8"/>
    <w:rsid w:val="009142FA"/>
    <w:rsid w:val="00914384"/>
    <w:rsid w:val="00914590"/>
    <w:rsid w:val="009147DF"/>
    <w:rsid w:val="00914CE7"/>
    <w:rsid w:val="00914ED1"/>
    <w:rsid w:val="009152B4"/>
    <w:rsid w:val="00915826"/>
    <w:rsid w:val="00916230"/>
    <w:rsid w:val="00916447"/>
    <w:rsid w:val="00916601"/>
    <w:rsid w:val="0091672F"/>
    <w:rsid w:val="00916852"/>
    <w:rsid w:val="00916C58"/>
    <w:rsid w:val="00917590"/>
    <w:rsid w:val="009177A7"/>
    <w:rsid w:val="0091796F"/>
    <w:rsid w:val="00917A33"/>
    <w:rsid w:val="00917AFA"/>
    <w:rsid w:val="00917CAC"/>
    <w:rsid w:val="00917CAF"/>
    <w:rsid w:val="00917F47"/>
    <w:rsid w:val="00920248"/>
    <w:rsid w:val="00920482"/>
    <w:rsid w:val="00921E46"/>
    <w:rsid w:val="00921FC2"/>
    <w:rsid w:val="009223FA"/>
    <w:rsid w:val="009224E0"/>
    <w:rsid w:val="00922719"/>
    <w:rsid w:val="00922C96"/>
    <w:rsid w:val="0092355F"/>
    <w:rsid w:val="00923738"/>
    <w:rsid w:val="00923805"/>
    <w:rsid w:val="00923E37"/>
    <w:rsid w:val="009242E4"/>
    <w:rsid w:val="00924657"/>
    <w:rsid w:val="00924693"/>
    <w:rsid w:val="009247FE"/>
    <w:rsid w:val="00925105"/>
    <w:rsid w:val="00925467"/>
    <w:rsid w:val="009256F1"/>
    <w:rsid w:val="009260D2"/>
    <w:rsid w:val="0092661C"/>
    <w:rsid w:val="009279D9"/>
    <w:rsid w:val="00927A57"/>
    <w:rsid w:val="00927C56"/>
    <w:rsid w:val="00927CF7"/>
    <w:rsid w:val="00927F96"/>
    <w:rsid w:val="00930135"/>
    <w:rsid w:val="009304A4"/>
    <w:rsid w:val="00930B2F"/>
    <w:rsid w:val="00931172"/>
    <w:rsid w:val="00931371"/>
    <w:rsid w:val="00931C01"/>
    <w:rsid w:val="00932DE8"/>
    <w:rsid w:val="00933018"/>
    <w:rsid w:val="0093325C"/>
    <w:rsid w:val="009336E1"/>
    <w:rsid w:val="00933760"/>
    <w:rsid w:val="00933BA0"/>
    <w:rsid w:val="009346BD"/>
    <w:rsid w:val="009346D8"/>
    <w:rsid w:val="00934D8C"/>
    <w:rsid w:val="0093509C"/>
    <w:rsid w:val="009356BC"/>
    <w:rsid w:val="009359CE"/>
    <w:rsid w:val="00935B74"/>
    <w:rsid w:val="00936C89"/>
    <w:rsid w:val="00937CB4"/>
    <w:rsid w:val="009400FE"/>
    <w:rsid w:val="00940960"/>
    <w:rsid w:val="00940AB8"/>
    <w:rsid w:val="00940B9D"/>
    <w:rsid w:val="00940BEB"/>
    <w:rsid w:val="00941FCD"/>
    <w:rsid w:val="009430C4"/>
    <w:rsid w:val="009432E0"/>
    <w:rsid w:val="009439DE"/>
    <w:rsid w:val="009443C2"/>
    <w:rsid w:val="00944450"/>
    <w:rsid w:val="00944483"/>
    <w:rsid w:val="00944734"/>
    <w:rsid w:val="00944754"/>
    <w:rsid w:val="009454AE"/>
    <w:rsid w:val="009459DC"/>
    <w:rsid w:val="0094762F"/>
    <w:rsid w:val="00947848"/>
    <w:rsid w:val="00947EE6"/>
    <w:rsid w:val="00950332"/>
    <w:rsid w:val="009505C5"/>
    <w:rsid w:val="00950C77"/>
    <w:rsid w:val="0095105E"/>
    <w:rsid w:val="00951202"/>
    <w:rsid w:val="00951326"/>
    <w:rsid w:val="009518CA"/>
    <w:rsid w:val="00951B21"/>
    <w:rsid w:val="00951B83"/>
    <w:rsid w:val="00951F95"/>
    <w:rsid w:val="00952AC2"/>
    <w:rsid w:val="009533D1"/>
    <w:rsid w:val="0095406A"/>
    <w:rsid w:val="009548CA"/>
    <w:rsid w:val="00954B4C"/>
    <w:rsid w:val="0095509A"/>
    <w:rsid w:val="0095511F"/>
    <w:rsid w:val="00955C1F"/>
    <w:rsid w:val="00955C4C"/>
    <w:rsid w:val="00955DA3"/>
    <w:rsid w:val="00955F4A"/>
    <w:rsid w:val="00956311"/>
    <w:rsid w:val="00956328"/>
    <w:rsid w:val="009564D6"/>
    <w:rsid w:val="00956663"/>
    <w:rsid w:val="00956A8D"/>
    <w:rsid w:val="00956BFC"/>
    <w:rsid w:val="009575D6"/>
    <w:rsid w:val="00957B4A"/>
    <w:rsid w:val="00957F9F"/>
    <w:rsid w:val="009601C5"/>
    <w:rsid w:val="0096034E"/>
    <w:rsid w:val="009614DF"/>
    <w:rsid w:val="009619D1"/>
    <w:rsid w:val="009628E8"/>
    <w:rsid w:val="00962DEB"/>
    <w:rsid w:val="009630AC"/>
    <w:rsid w:val="009630F0"/>
    <w:rsid w:val="009634E6"/>
    <w:rsid w:val="00963E0A"/>
    <w:rsid w:val="009640A1"/>
    <w:rsid w:val="0096499D"/>
    <w:rsid w:val="00964CFF"/>
    <w:rsid w:val="00964DF7"/>
    <w:rsid w:val="00964E6F"/>
    <w:rsid w:val="00965592"/>
    <w:rsid w:val="00965830"/>
    <w:rsid w:val="00966571"/>
    <w:rsid w:val="00966A8C"/>
    <w:rsid w:val="00966C73"/>
    <w:rsid w:val="00966E7B"/>
    <w:rsid w:val="00967F00"/>
    <w:rsid w:val="009703ED"/>
    <w:rsid w:val="00970E80"/>
    <w:rsid w:val="00970EF8"/>
    <w:rsid w:val="00970F5F"/>
    <w:rsid w:val="009710BA"/>
    <w:rsid w:val="0097170F"/>
    <w:rsid w:val="00971A76"/>
    <w:rsid w:val="0097240A"/>
    <w:rsid w:val="00972488"/>
    <w:rsid w:val="00972BCA"/>
    <w:rsid w:val="009731E4"/>
    <w:rsid w:val="009738A3"/>
    <w:rsid w:val="00973D78"/>
    <w:rsid w:val="0097409F"/>
    <w:rsid w:val="0097417A"/>
    <w:rsid w:val="009741FA"/>
    <w:rsid w:val="00974C8C"/>
    <w:rsid w:val="00975157"/>
    <w:rsid w:val="00975381"/>
    <w:rsid w:val="009756A6"/>
    <w:rsid w:val="009763A4"/>
    <w:rsid w:val="00976B90"/>
    <w:rsid w:val="00977050"/>
    <w:rsid w:val="00980085"/>
    <w:rsid w:val="00980D07"/>
    <w:rsid w:val="00980D5C"/>
    <w:rsid w:val="00980EC0"/>
    <w:rsid w:val="009811FC"/>
    <w:rsid w:val="00982423"/>
    <w:rsid w:val="0098292A"/>
    <w:rsid w:val="00982D2F"/>
    <w:rsid w:val="00982E42"/>
    <w:rsid w:val="0098333D"/>
    <w:rsid w:val="0098374B"/>
    <w:rsid w:val="00983B55"/>
    <w:rsid w:val="00983D47"/>
    <w:rsid w:val="0098419F"/>
    <w:rsid w:val="00984269"/>
    <w:rsid w:val="009842B2"/>
    <w:rsid w:val="0098450A"/>
    <w:rsid w:val="009846A4"/>
    <w:rsid w:val="009846F1"/>
    <w:rsid w:val="00985729"/>
    <w:rsid w:val="00985F42"/>
    <w:rsid w:val="00986622"/>
    <w:rsid w:val="00987E06"/>
    <w:rsid w:val="00987FD5"/>
    <w:rsid w:val="00990581"/>
    <w:rsid w:val="00990B13"/>
    <w:rsid w:val="0099116B"/>
    <w:rsid w:val="00991198"/>
    <w:rsid w:val="00991271"/>
    <w:rsid w:val="009912E4"/>
    <w:rsid w:val="00991613"/>
    <w:rsid w:val="00991EA5"/>
    <w:rsid w:val="009923E8"/>
    <w:rsid w:val="00992AE1"/>
    <w:rsid w:val="009934BB"/>
    <w:rsid w:val="00993A71"/>
    <w:rsid w:val="00993C3C"/>
    <w:rsid w:val="00994656"/>
    <w:rsid w:val="009947FB"/>
    <w:rsid w:val="00994C36"/>
    <w:rsid w:val="00994ECD"/>
    <w:rsid w:val="0099513B"/>
    <w:rsid w:val="00995987"/>
    <w:rsid w:val="009964C8"/>
    <w:rsid w:val="009964CF"/>
    <w:rsid w:val="0099666D"/>
    <w:rsid w:val="00996774"/>
    <w:rsid w:val="00997432"/>
    <w:rsid w:val="00997ABA"/>
    <w:rsid w:val="00997D58"/>
    <w:rsid w:val="009A02BF"/>
    <w:rsid w:val="009A0579"/>
    <w:rsid w:val="009A06DE"/>
    <w:rsid w:val="009A0A01"/>
    <w:rsid w:val="009A1735"/>
    <w:rsid w:val="009A1834"/>
    <w:rsid w:val="009A1991"/>
    <w:rsid w:val="009A1B2E"/>
    <w:rsid w:val="009A2768"/>
    <w:rsid w:val="009A27E3"/>
    <w:rsid w:val="009A2AC2"/>
    <w:rsid w:val="009A2C02"/>
    <w:rsid w:val="009A2E4F"/>
    <w:rsid w:val="009A2F24"/>
    <w:rsid w:val="009A3EE2"/>
    <w:rsid w:val="009A4F49"/>
    <w:rsid w:val="009A56C3"/>
    <w:rsid w:val="009A5799"/>
    <w:rsid w:val="009A61A3"/>
    <w:rsid w:val="009A6296"/>
    <w:rsid w:val="009A6371"/>
    <w:rsid w:val="009A68FC"/>
    <w:rsid w:val="009A6B1E"/>
    <w:rsid w:val="009A71DC"/>
    <w:rsid w:val="009A7350"/>
    <w:rsid w:val="009A7874"/>
    <w:rsid w:val="009A79E9"/>
    <w:rsid w:val="009A7E07"/>
    <w:rsid w:val="009B00DE"/>
    <w:rsid w:val="009B05A5"/>
    <w:rsid w:val="009B0AA3"/>
    <w:rsid w:val="009B0D38"/>
    <w:rsid w:val="009B0EF6"/>
    <w:rsid w:val="009B0F82"/>
    <w:rsid w:val="009B10FE"/>
    <w:rsid w:val="009B1231"/>
    <w:rsid w:val="009B15F5"/>
    <w:rsid w:val="009B1B02"/>
    <w:rsid w:val="009B1BD6"/>
    <w:rsid w:val="009B1CD6"/>
    <w:rsid w:val="009B1D8F"/>
    <w:rsid w:val="009B259A"/>
    <w:rsid w:val="009B2700"/>
    <w:rsid w:val="009B2F30"/>
    <w:rsid w:val="009B4271"/>
    <w:rsid w:val="009B43F1"/>
    <w:rsid w:val="009B4F90"/>
    <w:rsid w:val="009B503B"/>
    <w:rsid w:val="009B54F2"/>
    <w:rsid w:val="009B552F"/>
    <w:rsid w:val="009B570B"/>
    <w:rsid w:val="009B5DEA"/>
    <w:rsid w:val="009B624F"/>
    <w:rsid w:val="009B63C2"/>
    <w:rsid w:val="009B7ACB"/>
    <w:rsid w:val="009B7E3E"/>
    <w:rsid w:val="009C01F5"/>
    <w:rsid w:val="009C0F5C"/>
    <w:rsid w:val="009C100B"/>
    <w:rsid w:val="009C1233"/>
    <w:rsid w:val="009C18EA"/>
    <w:rsid w:val="009C1B90"/>
    <w:rsid w:val="009C1FEF"/>
    <w:rsid w:val="009C24AE"/>
    <w:rsid w:val="009C287F"/>
    <w:rsid w:val="009C2967"/>
    <w:rsid w:val="009C2F81"/>
    <w:rsid w:val="009C34C9"/>
    <w:rsid w:val="009C38F0"/>
    <w:rsid w:val="009C3956"/>
    <w:rsid w:val="009C3EDE"/>
    <w:rsid w:val="009C3F0B"/>
    <w:rsid w:val="009C408A"/>
    <w:rsid w:val="009C4351"/>
    <w:rsid w:val="009C4F0B"/>
    <w:rsid w:val="009C50C9"/>
    <w:rsid w:val="009C55A2"/>
    <w:rsid w:val="009C5EEE"/>
    <w:rsid w:val="009C5F77"/>
    <w:rsid w:val="009C60D6"/>
    <w:rsid w:val="009C6255"/>
    <w:rsid w:val="009C635E"/>
    <w:rsid w:val="009C6C2D"/>
    <w:rsid w:val="009C6C57"/>
    <w:rsid w:val="009C73D4"/>
    <w:rsid w:val="009C75BC"/>
    <w:rsid w:val="009C762F"/>
    <w:rsid w:val="009C765A"/>
    <w:rsid w:val="009C7A59"/>
    <w:rsid w:val="009C7D7F"/>
    <w:rsid w:val="009C7ED1"/>
    <w:rsid w:val="009D01DD"/>
    <w:rsid w:val="009D0F66"/>
    <w:rsid w:val="009D11A1"/>
    <w:rsid w:val="009D1242"/>
    <w:rsid w:val="009D1940"/>
    <w:rsid w:val="009D19AD"/>
    <w:rsid w:val="009D20BA"/>
    <w:rsid w:val="009D24D1"/>
    <w:rsid w:val="009D2871"/>
    <w:rsid w:val="009D2CCC"/>
    <w:rsid w:val="009D303C"/>
    <w:rsid w:val="009D3080"/>
    <w:rsid w:val="009D328D"/>
    <w:rsid w:val="009D328E"/>
    <w:rsid w:val="009D3479"/>
    <w:rsid w:val="009D3D56"/>
    <w:rsid w:val="009D472E"/>
    <w:rsid w:val="009D5384"/>
    <w:rsid w:val="009D5D8A"/>
    <w:rsid w:val="009D5EA5"/>
    <w:rsid w:val="009D62AA"/>
    <w:rsid w:val="009D6B36"/>
    <w:rsid w:val="009D6C1F"/>
    <w:rsid w:val="009D6FA0"/>
    <w:rsid w:val="009D73D5"/>
    <w:rsid w:val="009D7B25"/>
    <w:rsid w:val="009D7FF1"/>
    <w:rsid w:val="009E02FD"/>
    <w:rsid w:val="009E070C"/>
    <w:rsid w:val="009E0AF5"/>
    <w:rsid w:val="009E0E89"/>
    <w:rsid w:val="009E11B8"/>
    <w:rsid w:val="009E11BD"/>
    <w:rsid w:val="009E1435"/>
    <w:rsid w:val="009E1549"/>
    <w:rsid w:val="009E1697"/>
    <w:rsid w:val="009E1998"/>
    <w:rsid w:val="009E1A1D"/>
    <w:rsid w:val="009E2229"/>
    <w:rsid w:val="009E24D2"/>
    <w:rsid w:val="009E2A2F"/>
    <w:rsid w:val="009E30EE"/>
    <w:rsid w:val="009E3396"/>
    <w:rsid w:val="009E3E03"/>
    <w:rsid w:val="009E411A"/>
    <w:rsid w:val="009E46FA"/>
    <w:rsid w:val="009E4962"/>
    <w:rsid w:val="009E4F39"/>
    <w:rsid w:val="009E5019"/>
    <w:rsid w:val="009E515D"/>
    <w:rsid w:val="009E58BF"/>
    <w:rsid w:val="009E59D3"/>
    <w:rsid w:val="009E5BD4"/>
    <w:rsid w:val="009E5E44"/>
    <w:rsid w:val="009E60AA"/>
    <w:rsid w:val="009E68C4"/>
    <w:rsid w:val="009E6EE7"/>
    <w:rsid w:val="009E735D"/>
    <w:rsid w:val="009E7F07"/>
    <w:rsid w:val="009F09FD"/>
    <w:rsid w:val="009F0D63"/>
    <w:rsid w:val="009F15C6"/>
    <w:rsid w:val="009F1627"/>
    <w:rsid w:val="009F174C"/>
    <w:rsid w:val="009F17DF"/>
    <w:rsid w:val="009F1D5F"/>
    <w:rsid w:val="009F1DD4"/>
    <w:rsid w:val="009F1ECD"/>
    <w:rsid w:val="009F25E2"/>
    <w:rsid w:val="009F2FD2"/>
    <w:rsid w:val="009F3334"/>
    <w:rsid w:val="009F3807"/>
    <w:rsid w:val="009F3993"/>
    <w:rsid w:val="009F3C79"/>
    <w:rsid w:val="009F3D89"/>
    <w:rsid w:val="009F41BC"/>
    <w:rsid w:val="009F424B"/>
    <w:rsid w:val="009F4E2F"/>
    <w:rsid w:val="009F5377"/>
    <w:rsid w:val="009F54D5"/>
    <w:rsid w:val="009F59AA"/>
    <w:rsid w:val="009F59C5"/>
    <w:rsid w:val="009F59CD"/>
    <w:rsid w:val="009F62C2"/>
    <w:rsid w:val="009F6334"/>
    <w:rsid w:val="009F640B"/>
    <w:rsid w:val="009F6715"/>
    <w:rsid w:val="009F6D71"/>
    <w:rsid w:val="009F716D"/>
    <w:rsid w:val="009F7672"/>
    <w:rsid w:val="009F776B"/>
    <w:rsid w:val="009F79E1"/>
    <w:rsid w:val="009F7AB4"/>
    <w:rsid w:val="00A00499"/>
    <w:rsid w:val="00A00874"/>
    <w:rsid w:val="00A00C20"/>
    <w:rsid w:val="00A00E21"/>
    <w:rsid w:val="00A00F00"/>
    <w:rsid w:val="00A0148A"/>
    <w:rsid w:val="00A0156D"/>
    <w:rsid w:val="00A018E3"/>
    <w:rsid w:val="00A023E3"/>
    <w:rsid w:val="00A0310C"/>
    <w:rsid w:val="00A03335"/>
    <w:rsid w:val="00A03519"/>
    <w:rsid w:val="00A035F3"/>
    <w:rsid w:val="00A037EB"/>
    <w:rsid w:val="00A03D00"/>
    <w:rsid w:val="00A043FF"/>
    <w:rsid w:val="00A04A9E"/>
    <w:rsid w:val="00A058FD"/>
    <w:rsid w:val="00A05B39"/>
    <w:rsid w:val="00A05B94"/>
    <w:rsid w:val="00A05B9A"/>
    <w:rsid w:val="00A05FA3"/>
    <w:rsid w:val="00A06DB7"/>
    <w:rsid w:val="00A06EAF"/>
    <w:rsid w:val="00A073A9"/>
    <w:rsid w:val="00A07BAE"/>
    <w:rsid w:val="00A07CA3"/>
    <w:rsid w:val="00A10190"/>
    <w:rsid w:val="00A103DF"/>
    <w:rsid w:val="00A10A6F"/>
    <w:rsid w:val="00A10C31"/>
    <w:rsid w:val="00A1185A"/>
    <w:rsid w:val="00A120A8"/>
    <w:rsid w:val="00A137E8"/>
    <w:rsid w:val="00A13D63"/>
    <w:rsid w:val="00A13F6F"/>
    <w:rsid w:val="00A14580"/>
    <w:rsid w:val="00A14C1A"/>
    <w:rsid w:val="00A15352"/>
    <w:rsid w:val="00A1561C"/>
    <w:rsid w:val="00A15891"/>
    <w:rsid w:val="00A1624B"/>
    <w:rsid w:val="00A1660F"/>
    <w:rsid w:val="00A1667D"/>
    <w:rsid w:val="00A168F8"/>
    <w:rsid w:val="00A17321"/>
    <w:rsid w:val="00A175B8"/>
    <w:rsid w:val="00A17E55"/>
    <w:rsid w:val="00A17F1B"/>
    <w:rsid w:val="00A2036B"/>
    <w:rsid w:val="00A20B77"/>
    <w:rsid w:val="00A20B79"/>
    <w:rsid w:val="00A20BAE"/>
    <w:rsid w:val="00A20BCE"/>
    <w:rsid w:val="00A20C8F"/>
    <w:rsid w:val="00A20FBD"/>
    <w:rsid w:val="00A2111D"/>
    <w:rsid w:val="00A213A1"/>
    <w:rsid w:val="00A21E6A"/>
    <w:rsid w:val="00A228DE"/>
    <w:rsid w:val="00A22A84"/>
    <w:rsid w:val="00A231A9"/>
    <w:rsid w:val="00A2323C"/>
    <w:rsid w:val="00A23E76"/>
    <w:rsid w:val="00A2415C"/>
    <w:rsid w:val="00A243A5"/>
    <w:rsid w:val="00A24795"/>
    <w:rsid w:val="00A248BC"/>
    <w:rsid w:val="00A24DEC"/>
    <w:rsid w:val="00A251CB"/>
    <w:rsid w:val="00A258AB"/>
    <w:rsid w:val="00A26311"/>
    <w:rsid w:val="00A265BC"/>
    <w:rsid w:val="00A2660F"/>
    <w:rsid w:val="00A2689A"/>
    <w:rsid w:val="00A26B71"/>
    <w:rsid w:val="00A26E3D"/>
    <w:rsid w:val="00A27462"/>
    <w:rsid w:val="00A274B6"/>
    <w:rsid w:val="00A27A03"/>
    <w:rsid w:val="00A27BC7"/>
    <w:rsid w:val="00A27C2A"/>
    <w:rsid w:val="00A27D49"/>
    <w:rsid w:val="00A27EA5"/>
    <w:rsid w:val="00A307E4"/>
    <w:rsid w:val="00A30C67"/>
    <w:rsid w:val="00A30CF8"/>
    <w:rsid w:val="00A31495"/>
    <w:rsid w:val="00A31525"/>
    <w:rsid w:val="00A316C7"/>
    <w:rsid w:val="00A31E22"/>
    <w:rsid w:val="00A31E51"/>
    <w:rsid w:val="00A326BC"/>
    <w:rsid w:val="00A32C90"/>
    <w:rsid w:val="00A3371E"/>
    <w:rsid w:val="00A339FB"/>
    <w:rsid w:val="00A33C0D"/>
    <w:rsid w:val="00A34939"/>
    <w:rsid w:val="00A34A5D"/>
    <w:rsid w:val="00A34B98"/>
    <w:rsid w:val="00A35576"/>
    <w:rsid w:val="00A35A5E"/>
    <w:rsid w:val="00A35C78"/>
    <w:rsid w:val="00A35D0B"/>
    <w:rsid w:val="00A361E3"/>
    <w:rsid w:val="00A362ED"/>
    <w:rsid w:val="00A36310"/>
    <w:rsid w:val="00A366E7"/>
    <w:rsid w:val="00A367DF"/>
    <w:rsid w:val="00A36BDB"/>
    <w:rsid w:val="00A36FE0"/>
    <w:rsid w:val="00A37745"/>
    <w:rsid w:val="00A37B5B"/>
    <w:rsid w:val="00A37BBA"/>
    <w:rsid w:val="00A37D3C"/>
    <w:rsid w:val="00A37E5D"/>
    <w:rsid w:val="00A4009D"/>
    <w:rsid w:val="00A404BE"/>
    <w:rsid w:val="00A40CC8"/>
    <w:rsid w:val="00A418C8"/>
    <w:rsid w:val="00A41B84"/>
    <w:rsid w:val="00A41E04"/>
    <w:rsid w:val="00A42377"/>
    <w:rsid w:val="00A42450"/>
    <w:rsid w:val="00A425B6"/>
    <w:rsid w:val="00A427F6"/>
    <w:rsid w:val="00A42CB0"/>
    <w:rsid w:val="00A43454"/>
    <w:rsid w:val="00A43509"/>
    <w:rsid w:val="00A43585"/>
    <w:rsid w:val="00A436C3"/>
    <w:rsid w:val="00A43807"/>
    <w:rsid w:val="00A43BA5"/>
    <w:rsid w:val="00A4498D"/>
    <w:rsid w:val="00A44BFB"/>
    <w:rsid w:val="00A4551B"/>
    <w:rsid w:val="00A45EFB"/>
    <w:rsid w:val="00A45F3D"/>
    <w:rsid w:val="00A4623D"/>
    <w:rsid w:val="00A46469"/>
    <w:rsid w:val="00A466D1"/>
    <w:rsid w:val="00A4690B"/>
    <w:rsid w:val="00A47117"/>
    <w:rsid w:val="00A4789F"/>
    <w:rsid w:val="00A50039"/>
    <w:rsid w:val="00A50075"/>
    <w:rsid w:val="00A506F5"/>
    <w:rsid w:val="00A510B3"/>
    <w:rsid w:val="00A515B6"/>
    <w:rsid w:val="00A51603"/>
    <w:rsid w:val="00A51911"/>
    <w:rsid w:val="00A51E66"/>
    <w:rsid w:val="00A51F7C"/>
    <w:rsid w:val="00A52128"/>
    <w:rsid w:val="00A521A1"/>
    <w:rsid w:val="00A529E4"/>
    <w:rsid w:val="00A52BD2"/>
    <w:rsid w:val="00A5330C"/>
    <w:rsid w:val="00A5477C"/>
    <w:rsid w:val="00A55732"/>
    <w:rsid w:val="00A56988"/>
    <w:rsid w:val="00A569C4"/>
    <w:rsid w:val="00A56D6C"/>
    <w:rsid w:val="00A57532"/>
    <w:rsid w:val="00A57F3B"/>
    <w:rsid w:val="00A60178"/>
    <w:rsid w:val="00A60481"/>
    <w:rsid w:val="00A610D8"/>
    <w:rsid w:val="00A61212"/>
    <w:rsid w:val="00A61A2F"/>
    <w:rsid w:val="00A61E39"/>
    <w:rsid w:val="00A62797"/>
    <w:rsid w:val="00A62C7E"/>
    <w:rsid w:val="00A62CFF"/>
    <w:rsid w:val="00A631F9"/>
    <w:rsid w:val="00A636F0"/>
    <w:rsid w:val="00A63E9A"/>
    <w:rsid w:val="00A64539"/>
    <w:rsid w:val="00A6466D"/>
    <w:rsid w:val="00A64A49"/>
    <w:rsid w:val="00A6522E"/>
    <w:rsid w:val="00A65434"/>
    <w:rsid w:val="00A65754"/>
    <w:rsid w:val="00A65978"/>
    <w:rsid w:val="00A65C45"/>
    <w:rsid w:val="00A65F6A"/>
    <w:rsid w:val="00A66063"/>
    <w:rsid w:val="00A66721"/>
    <w:rsid w:val="00A667D2"/>
    <w:rsid w:val="00A66B28"/>
    <w:rsid w:val="00A66BA5"/>
    <w:rsid w:val="00A66C2A"/>
    <w:rsid w:val="00A66EC5"/>
    <w:rsid w:val="00A67AE1"/>
    <w:rsid w:val="00A7061B"/>
    <w:rsid w:val="00A71369"/>
    <w:rsid w:val="00A713CA"/>
    <w:rsid w:val="00A719C8"/>
    <w:rsid w:val="00A71B3D"/>
    <w:rsid w:val="00A721F2"/>
    <w:rsid w:val="00A722E5"/>
    <w:rsid w:val="00A72A7A"/>
    <w:rsid w:val="00A72BE9"/>
    <w:rsid w:val="00A72EB0"/>
    <w:rsid w:val="00A73042"/>
    <w:rsid w:val="00A73492"/>
    <w:rsid w:val="00A73A0C"/>
    <w:rsid w:val="00A7441D"/>
    <w:rsid w:val="00A74712"/>
    <w:rsid w:val="00A74806"/>
    <w:rsid w:val="00A74D40"/>
    <w:rsid w:val="00A75097"/>
    <w:rsid w:val="00A752C5"/>
    <w:rsid w:val="00A75445"/>
    <w:rsid w:val="00A75719"/>
    <w:rsid w:val="00A75E38"/>
    <w:rsid w:val="00A7632F"/>
    <w:rsid w:val="00A7663F"/>
    <w:rsid w:val="00A76702"/>
    <w:rsid w:val="00A76EC4"/>
    <w:rsid w:val="00A77106"/>
    <w:rsid w:val="00A77172"/>
    <w:rsid w:val="00A77F3E"/>
    <w:rsid w:val="00A77FDB"/>
    <w:rsid w:val="00A80494"/>
    <w:rsid w:val="00A809FE"/>
    <w:rsid w:val="00A8163A"/>
    <w:rsid w:val="00A81A09"/>
    <w:rsid w:val="00A81C2C"/>
    <w:rsid w:val="00A821F9"/>
    <w:rsid w:val="00A822A0"/>
    <w:rsid w:val="00A822F1"/>
    <w:rsid w:val="00A8239D"/>
    <w:rsid w:val="00A825F5"/>
    <w:rsid w:val="00A8276A"/>
    <w:rsid w:val="00A82F40"/>
    <w:rsid w:val="00A82FA0"/>
    <w:rsid w:val="00A830E9"/>
    <w:rsid w:val="00A833CD"/>
    <w:rsid w:val="00A8344C"/>
    <w:rsid w:val="00A83C17"/>
    <w:rsid w:val="00A83C7D"/>
    <w:rsid w:val="00A840E4"/>
    <w:rsid w:val="00A8481F"/>
    <w:rsid w:val="00A84B5F"/>
    <w:rsid w:val="00A84BDB"/>
    <w:rsid w:val="00A84C8C"/>
    <w:rsid w:val="00A84F40"/>
    <w:rsid w:val="00A858FA"/>
    <w:rsid w:val="00A86318"/>
    <w:rsid w:val="00A86BFC"/>
    <w:rsid w:val="00A86F8B"/>
    <w:rsid w:val="00A874B4"/>
    <w:rsid w:val="00A879A7"/>
    <w:rsid w:val="00A87B64"/>
    <w:rsid w:val="00A87C13"/>
    <w:rsid w:val="00A87F6C"/>
    <w:rsid w:val="00A904E3"/>
    <w:rsid w:val="00A908F6"/>
    <w:rsid w:val="00A91131"/>
    <w:rsid w:val="00A9154E"/>
    <w:rsid w:val="00A918AA"/>
    <w:rsid w:val="00A91A0D"/>
    <w:rsid w:val="00A92503"/>
    <w:rsid w:val="00A93102"/>
    <w:rsid w:val="00A93BFA"/>
    <w:rsid w:val="00A9480F"/>
    <w:rsid w:val="00A94B67"/>
    <w:rsid w:val="00A94BD4"/>
    <w:rsid w:val="00A94DBE"/>
    <w:rsid w:val="00A9514E"/>
    <w:rsid w:val="00A9533F"/>
    <w:rsid w:val="00A9541F"/>
    <w:rsid w:val="00A960D3"/>
    <w:rsid w:val="00A967F4"/>
    <w:rsid w:val="00A96C7D"/>
    <w:rsid w:val="00A96EAD"/>
    <w:rsid w:val="00A970EA"/>
    <w:rsid w:val="00A97FB5"/>
    <w:rsid w:val="00AA0063"/>
    <w:rsid w:val="00AA0B28"/>
    <w:rsid w:val="00AA0BFF"/>
    <w:rsid w:val="00AA0C8C"/>
    <w:rsid w:val="00AA0D78"/>
    <w:rsid w:val="00AA12F2"/>
    <w:rsid w:val="00AA144B"/>
    <w:rsid w:val="00AA1D14"/>
    <w:rsid w:val="00AA1E62"/>
    <w:rsid w:val="00AA200B"/>
    <w:rsid w:val="00AA21B6"/>
    <w:rsid w:val="00AA21D0"/>
    <w:rsid w:val="00AA323F"/>
    <w:rsid w:val="00AA3595"/>
    <w:rsid w:val="00AA41C0"/>
    <w:rsid w:val="00AA43EF"/>
    <w:rsid w:val="00AA444E"/>
    <w:rsid w:val="00AA46BD"/>
    <w:rsid w:val="00AA4A32"/>
    <w:rsid w:val="00AA4F13"/>
    <w:rsid w:val="00AA52AB"/>
    <w:rsid w:val="00AA540F"/>
    <w:rsid w:val="00AA5736"/>
    <w:rsid w:val="00AA5D5C"/>
    <w:rsid w:val="00AA6543"/>
    <w:rsid w:val="00AA65BC"/>
    <w:rsid w:val="00AA690C"/>
    <w:rsid w:val="00AA73E1"/>
    <w:rsid w:val="00AA7AA1"/>
    <w:rsid w:val="00AA7C38"/>
    <w:rsid w:val="00AB1B0D"/>
    <w:rsid w:val="00AB1B33"/>
    <w:rsid w:val="00AB1B8A"/>
    <w:rsid w:val="00AB1D7D"/>
    <w:rsid w:val="00AB2038"/>
    <w:rsid w:val="00AB210A"/>
    <w:rsid w:val="00AB268B"/>
    <w:rsid w:val="00AB2EBE"/>
    <w:rsid w:val="00AB2FD7"/>
    <w:rsid w:val="00AB3589"/>
    <w:rsid w:val="00AB3995"/>
    <w:rsid w:val="00AB3AD8"/>
    <w:rsid w:val="00AB3EC1"/>
    <w:rsid w:val="00AB3F7F"/>
    <w:rsid w:val="00AB495C"/>
    <w:rsid w:val="00AB4C99"/>
    <w:rsid w:val="00AB4F28"/>
    <w:rsid w:val="00AB4F3A"/>
    <w:rsid w:val="00AB502B"/>
    <w:rsid w:val="00AB5198"/>
    <w:rsid w:val="00AB55AA"/>
    <w:rsid w:val="00AB588E"/>
    <w:rsid w:val="00AB7265"/>
    <w:rsid w:val="00AC0520"/>
    <w:rsid w:val="00AC0DF1"/>
    <w:rsid w:val="00AC121C"/>
    <w:rsid w:val="00AC12DD"/>
    <w:rsid w:val="00AC12DF"/>
    <w:rsid w:val="00AC18D0"/>
    <w:rsid w:val="00AC1E7E"/>
    <w:rsid w:val="00AC2F90"/>
    <w:rsid w:val="00AC393E"/>
    <w:rsid w:val="00AC3E50"/>
    <w:rsid w:val="00AC4056"/>
    <w:rsid w:val="00AC422B"/>
    <w:rsid w:val="00AC426F"/>
    <w:rsid w:val="00AC43B5"/>
    <w:rsid w:val="00AC4EE2"/>
    <w:rsid w:val="00AC53E5"/>
    <w:rsid w:val="00AC5411"/>
    <w:rsid w:val="00AC556C"/>
    <w:rsid w:val="00AC585B"/>
    <w:rsid w:val="00AC5EC5"/>
    <w:rsid w:val="00AC628F"/>
    <w:rsid w:val="00AC631D"/>
    <w:rsid w:val="00AC6528"/>
    <w:rsid w:val="00AC67F5"/>
    <w:rsid w:val="00AC69E3"/>
    <w:rsid w:val="00AC6B30"/>
    <w:rsid w:val="00AC724C"/>
    <w:rsid w:val="00AC7D81"/>
    <w:rsid w:val="00AC7DEA"/>
    <w:rsid w:val="00AD0170"/>
    <w:rsid w:val="00AD0240"/>
    <w:rsid w:val="00AD0933"/>
    <w:rsid w:val="00AD0CA3"/>
    <w:rsid w:val="00AD0E6E"/>
    <w:rsid w:val="00AD1594"/>
    <w:rsid w:val="00AD1827"/>
    <w:rsid w:val="00AD1B97"/>
    <w:rsid w:val="00AD2B32"/>
    <w:rsid w:val="00AD2BD1"/>
    <w:rsid w:val="00AD2D98"/>
    <w:rsid w:val="00AD30B1"/>
    <w:rsid w:val="00AD38A6"/>
    <w:rsid w:val="00AD4233"/>
    <w:rsid w:val="00AD5342"/>
    <w:rsid w:val="00AD5656"/>
    <w:rsid w:val="00AD5897"/>
    <w:rsid w:val="00AD64DA"/>
    <w:rsid w:val="00AD65EA"/>
    <w:rsid w:val="00AD6BAC"/>
    <w:rsid w:val="00AD7057"/>
    <w:rsid w:val="00AD7D39"/>
    <w:rsid w:val="00AE00AA"/>
    <w:rsid w:val="00AE054B"/>
    <w:rsid w:val="00AE0792"/>
    <w:rsid w:val="00AE07B7"/>
    <w:rsid w:val="00AE08F2"/>
    <w:rsid w:val="00AE0F9C"/>
    <w:rsid w:val="00AE1746"/>
    <w:rsid w:val="00AE19AC"/>
    <w:rsid w:val="00AE1A8A"/>
    <w:rsid w:val="00AE2487"/>
    <w:rsid w:val="00AE2603"/>
    <w:rsid w:val="00AE3D2F"/>
    <w:rsid w:val="00AE3D8D"/>
    <w:rsid w:val="00AE403B"/>
    <w:rsid w:val="00AE46B6"/>
    <w:rsid w:val="00AE4BCF"/>
    <w:rsid w:val="00AE533B"/>
    <w:rsid w:val="00AE5B67"/>
    <w:rsid w:val="00AE6334"/>
    <w:rsid w:val="00AE63ED"/>
    <w:rsid w:val="00AE72A7"/>
    <w:rsid w:val="00AE73F6"/>
    <w:rsid w:val="00AE776A"/>
    <w:rsid w:val="00AE79DB"/>
    <w:rsid w:val="00AE7DEE"/>
    <w:rsid w:val="00AF0E1A"/>
    <w:rsid w:val="00AF1402"/>
    <w:rsid w:val="00AF154D"/>
    <w:rsid w:val="00AF2450"/>
    <w:rsid w:val="00AF3640"/>
    <w:rsid w:val="00AF36D6"/>
    <w:rsid w:val="00AF3C37"/>
    <w:rsid w:val="00AF3E01"/>
    <w:rsid w:val="00AF4C58"/>
    <w:rsid w:val="00AF5064"/>
    <w:rsid w:val="00AF5639"/>
    <w:rsid w:val="00AF5F58"/>
    <w:rsid w:val="00AF614B"/>
    <w:rsid w:val="00AF6678"/>
    <w:rsid w:val="00AF6726"/>
    <w:rsid w:val="00AF6BB2"/>
    <w:rsid w:val="00AF6E9E"/>
    <w:rsid w:val="00AF7975"/>
    <w:rsid w:val="00B000F1"/>
    <w:rsid w:val="00B00532"/>
    <w:rsid w:val="00B00D81"/>
    <w:rsid w:val="00B011BF"/>
    <w:rsid w:val="00B01229"/>
    <w:rsid w:val="00B01331"/>
    <w:rsid w:val="00B01446"/>
    <w:rsid w:val="00B01CD5"/>
    <w:rsid w:val="00B01D0C"/>
    <w:rsid w:val="00B01F5E"/>
    <w:rsid w:val="00B0271F"/>
    <w:rsid w:val="00B0281E"/>
    <w:rsid w:val="00B02DFD"/>
    <w:rsid w:val="00B02E43"/>
    <w:rsid w:val="00B0317D"/>
    <w:rsid w:val="00B031B3"/>
    <w:rsid w:val="00B03585"/>
    <w:rsid w:val="00B038DA"/>
    <w:rsid w:val="00B03B7D"/>
    <w:rsid w:val="00B0459B"/>
    <w:rsid w:val="00B04973"/>
    <w:rsid w:val="00B04E13"/>
    <w:rsid w:val="00B04EEA"/>
    <w:rsid w:val="00B05551"/>
    <w:rsid w:val="00B0558D"/>
    <w:rsid w:val="00B05989"/>
    <w:rsid w:val="00B0685E"/>
    <w:rsid w:val="00B06977"/>
    <w:rsid w:val="00B06EFB"/>
    <w:rsid w:val="00B06F89"/>
    <w:rsid w:val="00B0726F"/>
    <w:rsid w:val="00B07309"/>
    <w:rsid w:val="00B10119"/>
    <w:rsid w:val="00B10452"/>
    <w:rsid w:val="00B10727"/>
    <w:rsid w:val="00B10956"/>
    <w:rsid w:val="00B10A3A"/>
    <w:rsid w:val="00B10E15"/>
    <w:rsid w:val="00B113AD"/>
    <w:rsid w:val="00B11571"/>
    <w:rsid w:val="00B11CC3"/>
    <w:rsid w:val="00B12925"/>
    <w:rsid w:val="00B129BA"/>
    <w:rsid w:val="00B1364B"/>
    <w:rsid w:val="00B137E6"/>
    <w:rsid w:val="00B14CF0"/>
    <w:rsid w:val="00B14CF7"/>
    <w:rsid w:val="00B155B1"/>
    <w:rsid w:val="00B15A03"/>
    <w:rsid w:val="00B15CB9"/>
    <w:rsid w:val="00B15D2D"/>
    <w:rsid w:val="00B161F2"/>
    <w:rsid w:val="00B16A67"/>
    <w:rsid w:val="00B16C92"/>
    <w:rsid w:val="00B16E9B"/>
    <w:rsid w:val="00B170C8"/>
    <w:rsid w:val="00B178A6"/>
    <w:rsid w:val="00B178CA"/>
    <w:rsid w:val="00B17B7A"/>
    <w:rsid w:val="00B202F1"/>
    <w:rsid w:val="00B20606"/>
    <w:rsid w:val="00B20AFA"/>
    <w:rsid w:val="00B20B25"/>
    <w:rsid w:val="00B210EE"/>
    <w:rsid w:val="00B21D15"/>
    <w:rsid w:val="00B21E22"/>
    <w:rsid w:val="00B22367"/>
    <w:rsid w:val="00B22464"/>
    <w:rsid w:val="00B23602"/>
    <w:rsid w:val="00B236BD"/>
    <w:rsid w:val="00B237C4"/>
    <w:rsid w:val="00B2468B"/>
    <w:rsid w:val="00B26153"/>
    <w:rsid w:val="00B2642D"/>
    <w:rsid w:val="00B267C6"/>
    <w:rsid w:val="00B269E4"/>
    <w:rsid w:val="00B26C4A"/>
    <w:rsid w:val="00B27B27"/>
    <w:rsid w:val="00B307C2"/>
    <w:rsid w:val="00B30832"/>
    <w:rsid w:val="00B30A30"/>
    <w:rsid w:val="00B31092"/>
    <w:rsid w:val="00B31437"/>
    <w:rsid w:val="00B31549"/>
    <w:rsid w:val="00B3265A"/>
    <w:rsid w:val="00B32721"/>
    <w:rsid w:val="00B33C4D"/>
    <w:rsid w:val="00B34508"/>
    <w:rsid w:val="00B34EF4"/>
    <w:rsid w:val="00B35868"/>
    <w:rsid w:val="00B3599A"/>
    <w:rsid w:val="00B3623E"/>
    <w:rsid w:val="00B36272"/>
    <w:rsid w:val="00B3669B"/>
    <w:rsid w:val="00B372DB"/>
    <w:rsid w:val="00B37489"/>
    <w:rsid w:val="00B374AB"/>
    <w:rsid w:val="00B375C0"/>
    <w:rsid w:val="00B37DCA"/>
    <w:rsid w:val="00B40397"/>
    <w:rsid w:val="00B404F1"/>
    <w:rsid w:val="00B412AA"/>
    <w:rsid w:val="00B413A6"/>
    <w:rsid w:val="00B41B6A"/>
    <w:rsid w:val="00B41C12"/>
    <w:rsid w:val="00B41C31"/>
    <w:rsid w:val="00B42101"/>
    <w:rsid w:val="00B4220C"/>
    <w:rsid w:val="00B423AF"/>
    <w:rsid w:val="00B42569"/>
    <w:rsid w:val="00B42D1F"/>
    <w:rsid w:val="00B4317C"/>
    <w:rsid w:val="00B437EB"/>
    <w:rsid w:val="00B43873"/>
    <w:rsid w:val="00B43B3F"/>
    <w:rsid w:val="00B444EB"/>
    <w:rsid w:val="00B445FA"/>
    <w:rsid w:val="00B44AC1"/>
    <w:rsid w:val="00B44AF5"/>
    <w:rsid w:val="00B44C8C"/>
    <w:rsid w:val="00B44EDC"/>
    <w:rsid w:val="00B45163"/>
    <w:rsid w:val="00B459C4"/>
    <w:rsid w:val="00B46562"/>
    <w:rsid w:val="00B46997"/>
    <w:rsid w:val="00B46E0D"/>
    <w:rsid w:val="00B46EB8"/>
    <w:rsid w:val="00B4717A"/>
    <w:rsid w:val="00B47243"/>
    <w:rsid w:val="00B472AB"/>
    <w:rsid w:val="00B4765B"/>
    <w:rsid w:val="00B477CC"/>
    <w:rsid w:val="00B478BF"/>
    <w:rsid w:val="00B5008F"/>
    <w:rsid w:val="00B505C8"/>
    <w:rsid w:val="00B50A2F"/>
    <w:rsid w:val="00B51B06"/>
    <w:rsid w:val="00B52BC1"/>
    <w:rsid w:val="00B53214"/>
    <w:rsid w:val="00B53BC0"/>
    <w:rsid w:val="00B53D9D"/>
    <w:rsid w:val="00B53DA6"/>
    <w:rsid w:val="00B53E78"/>
    <w:rsid w:val="00B54CDA"/>
    <w:rsid w:val="00B54D6A"/>
    <w:rsid w:val="00B557E2"/>
    <w:rsid w:val="00B558E4"/>
    <w:rsid w:val="00B55A49"/>
    <w:rsid w:val="00B55ABA"/>
    <w:rsid w:val="00B55B7C"/>
    <w:rsid w:val="00B55F8A"/>
    <w:rsid w:val="00B56D3E"/>
    <w:rsid w:val="00B61087"/>
    <w:rsid w:val="00B61C43"/>
    <w:rsid w:val="00B61D35"/>
    <w:rsid w:val="00B623ED"/>
    <w:rsid w:val="00B62C6F"/>
    <w:rsid w:val="00B62CA3"/>
    <w:rsid w:val="00B6378F"/>
    <w:rsid w:val="00B63BC3"/>
    <w:rsid w:val="00B63F3F"/>
    <w:rsid w:val="00B64079"/>
    <w:rsid w:val="00B642E2"/>
    <w:rsid w:val="00B64392"/>
    <w:rsid w:val="00B64A71"/>
    <w:rsid w:val="00B64C13"/>
    <w:rsid w:val="00B65063"/>
    <w:rsid w:val="00B6657C"/>
    <w:rsid w:val="00B6728D"/>
    <w:rsid w:val="00B677D4"/>
    <w:rsid w:val="00B6792C"/>
    <w:rsid w:val="00B70A79"/>
    <w:rsid w:val="00B70B13"/>
    <w:rsid w:val="00B71288"/>
    <w:rsid w:val="00B71323"/>
    <w:rsid w:val="00B7164C"/>
    <w:rsid w:val="00B716F5"/>
    <w:rsid w:val="00B718D5"/>
    <w:rsid w:val="00B72849"/>
    <w:rsid w:val="00B729B4"/>
    <w:rsid w:val="00B729B9"/>
    <w:rsid w:val="00B7304F"/>
    <w:rsid w:val="00B736DE"/>
    <w:rsid w:val="00B7399B"/>
    <w:rsid w:val="00B74A88"/>
    <w:rsid w:val="00B752C4"/>
    <w:rsid w:val="00B75353"/>
    <w:rsid w:val="00B7557A"/>
    <w:rsid w:val="00B7697D"/>
    <w:rsid w:val="00B76E5E"/>
    <w:rsid w:val="00B7706B"/>
    <w:rsid w:val="00B77375"/>
    <w:rsid w:val="00B77490"/>
    <w:rsid w:val="00B80A74"/>
    <w:rsid w:val="00B8145D"/>
    <w:rsid w:val="00B818A3"/>
    <w:rsid w:val="00B81AE6"/>
    <w:rsid w:val="00B81BEE"/>
    <w:rsid w:val="00B81E38"/>
    <w:rsid w:val="00B81FB3"/>
    <w:rsid w:val="00B82017"/>
    <w:rsid w:val="00B82C84"/>
    <w:rsid w:val="00B82CD9"/>
    <w:rsid w:val="00B83FF9"/>
    <w:rsid w:val="00B84B12"/>
    <w:rsid w:val="00B8510B"/>
    <w:rsid w:val="00B85525"/>
    <w:rsid w:val="00B85737"/>
    <w:rsid w:val="00B85C44"/>
    <w:rsid w:val="00B85FCF"/>
    <w:rsid w:val="00B86140"/>
    <w:rsid w:val="00B86525"/>
    <w:rsid w:val="00B86B8E"/>
    <w:rsid w:val="00B87162"/>
    <w:rsid w:val="00B875A7"/>
    <w:rsid w:val="00B87685"/>
    <w:rsid w:val="00B8791A"/>
    <w:rsid w:val="00B8791F"/>
    <w:rsid w:val="00B879A0"/>
    <w:rsid w:val="00B9004B"/>
    <w:rsid w:val="00B9043B"/>
    <w:rsid w:val="00B9173A"/>
    <w:rsid w:val="00B91D1F"/>
    <w:rsid w:val="00B92032"/>
    <w:rsid w:val="00B9234A"/>
    <w:rsid w:val="00B92401"/>
    <w:rsid w:val="00B926B4"/>
    <w:rsid w:val="00B92ADA"/>
    <w:rsid w:val="00B931B4"/>
    <w:rsid w:val="00B93213"/>
    <w:rsid w:val="00B932BE"/>
    <w:rsid w:val="00B93CC2"/>
    <w:rsid w:val="00B93FE3"/>
    <w:rsid w:val="00B94133"/>
    <w:rsid w:val="00B94199"/>
    <w:rsid w:val="00B9436F"/>
    <w:rsid w:val="00B94EDB"/>
    <w:rsid w:val="00B960A7"/>
    <w:rsid w:val="00B963F4"/>
    <w:rsid w:val="00B96953"/>
    <w:rsid w:val="00B97578"/>
    <w:rsid w:val="00B97C92"/>
    <w:rsid w:val="00BA0380"/>
    <w:rsid w:val="00BA05A7"/>
    <w:rsid w:val="00BA0732"/>
    <w:rsid w:val="00BA1809"/>
    <w:rsid w:val="00BA27B4"/>
    <w:rsid w:val="00BA2AF0"/>
    <w:rsid w:val="00BA3044"/>
    <w:rsid w:val="00BA3045"/>
    <w:rsid w:val="00BA339E"/>
    <w:rsid w:val="00BA39E6"/>
    <w:rsid w:val="00BA3B8E"/>
    <w:rsid w:val="00BA3CB4"/>
    <w:rsid w:val="00BA3EA1"/>
    <w:rsid w:val="00BA3F3A"/>
    <w:rsid w:val="00BA409D"/>
    <w:rsid w:val="00BA463E"/>
    <w:rsid w:val="00BA4A27"/>
    <w:rsid w:val="00BA552E"/>
    <w:rsid w:val="00BA5930"/>
    <w:rsid w:val="00BA5E12"/>
    <w:rsid w:val="00BA6929"/>
    <w:rsid w:val="00BA71CA"/>
    <w:rsid w:val="00BA763C"/>
    <w:rsid w:val="00BA79D9"/>
    <w:rsid w:val="00BA7EBD"/>
    <w:rsid w:val="00BA7F9B"/>
    <w:rsid w:val="00BB02E3"/>
    <w:rsid w:val="00BB0312"/>
    <w:rsid w:val="00BB03C9"/>
    <w:rsid w:val="00BB0AB4"/>
    <w:rsid w:val="00BB0AFE"/>
    <w:rsid w:val="00BB0E28"/>
    <w:rsid w:val="00BB1406"/>
    <w:rsid w:val="00BB1BBE"/>
    <w:rsid w:val="00BB1CE7"/>
    <w:rsid w:val="00BB1EF0"/>
    <w:rsid w:val="00BB2107"/>
    <w:rsid w:val="00BB2368"/>
    <w:rsid w:val="00BB2A46"/>
    <w:rsid w:val="00BB2A97"/>
    <w:rsid w:val="00BB2B2F"/>
    <w:rsid w:val="00BB2CAB"/>
    <w:rsid w:val="00BB2D05"/>
    <w:rsid w:val="00BB3890"/>
    <w:rsid w:val="00BB3988"/>
    <w:rsid w:val="00BB3B85"/>
    <w:rsid w:val="00BB3EBE"/>
    <w:rsid w:val="00BB42D0"/>
    <w:rsid w:val="00BB454F"/>
    <w:rsid w:val="00BB45F7"/>
    <w:rsid w:val="00BB49DB"/>
    <w:rsid w:val="00BB4E7A"/>
    <w:rsid w:val="00BB54CB"/>
    <w:rsid w:val="00BB5872"/>
    <w:rsid w:val="00BB5C7B"/>
    <w:rsid w:val="00BB5E40"/>
    <w:rsid w:val="00BB677A"/>
    <w:rsid w:val="00BB6CD1"/>
    <w:rsid w:val="00BB7AFA"/>
    <w:rsid w:val="00BB7D7A"/>
    <w:rsid w:val="00BC033E"/>
    <w:rsid w:val="00BC16BE"/>
    <w:rsid w:val="00BC1853"/>
    <w:rsid w:val="00BC188A"/>
    <w:rsid w:val="00BC1B46"/>
    <w:rsid w:val="00BC1BED"/>
    <w:rsid w:val="00BC1DF7"/>
    <w:rsid w:val="00BC1EC6"/>
    <w:rsid w:val="00BC208C"/>
    <w:rsid w:val="00BC255D"/>
    <w:rsid w:val="00BC2666"/>
    <w:rsid w:val="00BC2A09"/>
    <w:rsid w:val="00BC2DCC"/>
    <w:rsid w:val="00BC3280"/>
    <w:rsid w:val="00BC33B3"/>
    <w:rsid w:val="00BC3CCB"/>
    <w:rsid w:val="00BC3F00"/>
    <w:rsid w:val="00BC4118"/>
    <w:rsid w:val="00BC43DD"/>
    <w:rsid w:val="00BC4806"/>
    <w:rsid w:val="00BC4B32"/>
    <w:rsid w:val="00BC4E03"/>
    <w:rsid w:val="00BC509F"/>
    <w:rsid w:val="00BC50F6"/>
    <w:rsid w:val="00BC5572"/>
    <w:rsid w:val="00BC5584"/>
    <w:rsid w:val="00BC6034"/>
    <w:rsid w:val="00BC6220"/>
    <w:rsid w:val="00BC670C"/>
    <w:rsid w:val="00BC6E48"/>
    <w:rsid w:val="00BC747C"/>
    <w:rsid w:val="00BC76BA"/>
    <w:rsid w:val="00BC7E35"/>
    <w:rsid w:val="00BD0083"/>
    <w:rsid w:val="00BD0512"/>
    <w:rsid w:val="00BD0F05"/>
    <w:rsid w:val="00BD18CA"/>
    <w:rsid w:val="00BD2072"/>
    <w:rsid w:val="00BD2214"/>
    <w:rsid w:val="00BD227D"/>
    <w:rsid w:val="00BD2C76"/>
    <w:rsid w:val="00BD2C93"/>
    <w:rsid w:val="00BD2D66"/>
    <w:rsid w:val="00BD32B8"/>
    <w:rsid w:val="00BD3DFA"/>
    <w:rsid w:val="00BD3E8D"/>
    <w:rsid w:val="00BD407D"/>
    <w:rsid w:val="00BD485E"/>
    <w:rsid w:val="00BD4DB0"/>
    <w:rsid w:val="00BD5B91"/>
    <w:rsid w:val="00BD605F"/>
    <w:rsid w:val="00BD613E"/>
    <w:rsid w:val="00BD6ECC"/>
    <w:rsid w:val="00BD6F84"/>
    <w:rsid w:val="00BD747A"/>
    <w:rsid w:val="00BD792C"/>
    <w:rsid w:val="00BD7D0E"/>
    <w:rsid w:val="00BD7F45"/>
    <w:rsid w:val="00BD7FBF"/>
    <w:rsid w:val="00BE1C82"/>
    <w:rsid w:val="00BE20B6"/>
    <w:rsid w:val="00BE2AF6"/>
    <w:rsid w:val="00BE34CC"/>
    <w:rsid w:val="00BE354F"/>
    <w:rsid w:val="00BE35A1"/>
    <w:rsid w:val="00BE49D7"/>
    <w:rsid w:val="00BE5D40"/>
    <w:rsid w:val="00BE6BBC"/>
    <w:rsid w:val="00BE73FF"/>
    <w:rsid w:val="00BE7C42"/>
    <w:rsid w:val="00BF0D24"/>
    <w:rsid w:val="00BF1182"/>
    <w:rsid w:val="00BF1685"/>
    <w:rsid w:val="00BF1989"/>
    <w:rsid w:val="00BF1F60"/>
    <w:rsid w:val="00BF21AB"/>
    <w:rsid w:val="00BF2266"/>
    <w:rsid w:val="00BF31A0"/>
    <w:rsid w:val="00BF39FC"/>
    <w:rsid w:val="00BF3A75"/>
    <w:rsid w:val="00BF3D99"/>
    <w:rsid w:val="00BF3DC6"/>
    <w:rsid w:val="00BF4057"/>
    <w:rsid w:val="00BF4080"/>
    <w:rsid w:val="00BF4892"/>
    <w:rsid w:val="00BF4A27"/>
    <w:rsid w:val="00BF4A82"/>
    <w:rsid w:val="00BF50E4"/>
    <w:rsid w:val="00BF5198"/>
    <w:rsid w:val="00BF5781"/>
    <w:rsid w:val="00BF57A5"/>
    <w:rsid w:val="00BF57D2"/>
    <w:rsid w:val="00BF5978"/>
    <w:rsid w:val="00BF62F0"/>
    <w:rsid w:val="00BF6B84"/>
    <w:rsid w:val="00BF73EF"/>
    <w:rsid w:val="00BF7B47"/>
    <w:rsid w:val="00C001BD"/>
    <w:rsid w:val="00C003A5"/>
    <w:rsid w:val="00C005DF"/>
    <w:rsid w:val="00C0083E"/>
    <w:rsid w:val="00C01587"/>
    <w:rsid w:val="00C01766"/>
    <w:rsid w:val="00C01B14"/>
    <w:rsid w:val="00C02027"/>
    <w:rsid w:val="00C02846"/>
    <w:rsid w:val="00C02977"/>
    <w:rsid w:val="00C02E49"/>
    <w:rsid w:val="00C0308A"/>
    <w:rsid w:val="00C035EB"/>
    <w:rsid w:val="00C0374F"/>
    <w:rsid w:val="00C03916"/>
    <w:rsid w:val="00C0402B"/>
    <w:rsid w:val="00C04833"/>
    <w:rsid w:val="00C04A66"/>
    <w:rsid w:val="00C04EE0"/>
    <w:rsid w:val="00C05656"/>
    <w:rsid w:val="00C05F91"/>
    <w:rsid w:val="00C06038"/>
    <w:rsid w:val="00C060AD"/>
    <w:rsid w:val="00C060CC"/>
    <w:rsid w:val="00C06363"/>
    <w:rsid w:val="00C06916"/>
    <w:rsid w:val="00C0692F"/>
    <w:rsid w:val="00C06C88"/>
    <w:rsid w:val="00C06D40"/>
    <w:rsid w:val="00C0733D"/>
    <w:rsid w:val="00C0779E"/>
    <w:rsid w:val="00C079C8"/>
    <w:rsid w:val="00C10445"/>
    <w:rsid w:val="00C10967"/>
    <w:rsid w:val="00C10B3A"/>
    <w:rsid w:val="00C10BEE"/>
    <w:rsid w:val="00C110FC"/>
    <w:rsid w:val="00C119E3"/>
    <w:rsid w:val="00C11B2B"/>
    <w:rsid w:val="00C11EA3"/>
    <w:rsid w:val="00C120D2"/>
    <w:rsid w:val="00C12225"/>
    <w:rsid w:val="00C12AD0"/>
    <w:rsid w:val="00C12D4C"/>
    <w:rsid w:val="00C12DA9"/>
    <w:rsid w:val="00C1307E"/>
    <w:rsid w:val="00C13394"/>
    <w:rsid w:val="00C13578"/>
    <w:rsid w:val="00C1370A"/>
    <w:rsid w:val="00C13C90"/>
    <w:rsid w:val="00C14658"/>
    <w:rsid w:val="00C14898"/>
    <w:rsid w:val="00C14CBD"/>
    <w:rsid w:val="00C1564B"/>
    <w:rsid w:val="00C15748"/>
    <w:rsid w:val="00C15E2A"/>
    <w:rsid w:val="00C15EFD"/>
    <w:rsid w:val="00C16937"/>
    <w:rsid w:val="00C16B81"/>
    <w:rsid w:val="00C16C49"/>
    <w:rsid w:val="00C17617"/>
    <w:rsid w:val="00C17D14"/>
    <w:rsid w:val="00C17FA9"/>
    <w:rsid w:val="00C209A9"/>
    <w:rsid w:val="00C21013"/>
    <w:rsid w:val="00C21358"/>
    <w:rsid w:val="00C21ABF"/>
    <w:rsid w:val="00C21B0C"/>
    <w:rsid w:val="00C21DF0"/>
    <w:rsid w:val="00C220B3"/>
    <w:rsid w:val="00C2217F"/>
    <w:rsid w:val="00C223C5"/>
    <w:rsid w:val="00C226A9"/>
    <w:rsid w:val="00C2276A"/>
    <w:rsid w:val="00C22BB0"/>
    <w:rsid w:val="00C22FF0"/>
    <w:rsid w:val="00C238B0"/>
    <w:rsid w:val="00C239B5"/>
    <w:rsid w:val="00C23C95"/>
    <w:rsid w:val="00C23D86"/>
    <w:rsid w:val="00C23D99"/>
    <w:rsid w:val="00C24439"/>
    <w:rsid w:val="00C245C5"/>
    <w:rsid w:val="00C24F70"/>
    <w:rsid w:val="00C25AB2"/>
    <w:rsid w:val="00C2602A"/>
    <w:rsid w:val="00C261BB"/>
    <w:rsid w:val="00C263A5"/>
    <w:rsid w:val="00C264AD"/>
    <w:rsid w:val="00C265CA"/>
    <w:rsid w:val="00C26C23"/>
    <w:rsid w:val="00C27090"/>
    <w:rsid w:val="00C303CA"/>
    <w:rsid w:val="00C30555"/>
    <w:rsid w:val="00C3059D"/>
    <w:rsid w:val="00C30778"/>
    <w:rsid w:val="00C30D24"/>
    <w:rsid w:val="00C30E69"/>
    <w:rsid w:val="00C30E8F"/>
    <w:rsid w:val="00C30FB7"/>
    <w:rsid w:val="00C310DF"/>
    <w:rsid w:val="00C3121D"/>
    <w:rsid w:val="00C315CA"/>
    <w:rsid w:val="00C32985"/>
    <w:rsid w:val="00C329E1"/>
    <w:rsid w:val="00C3348F"/>
    <w:rsid w:val="00C33B09"/>
    <w:rsid w:val="00C34298"/>
    <w:rsid w:val="00C34602"/>
    <w:rsid w:val="00C34642"/>
    <w:rsid w:val="00C34771"/>
    <w:rsid w:val="00C347E6"/>
    <w:rsid w:val="00C349D0"/>
    <w:rsid w:val="00C3617E"/>
    <w:rsid w:val="00C36687"/>
    <w:rsid w:val="00C3699F"/>
    <w:rsid w:val="00C36E66"/>
    <w:rsid w:val="00C3761C"/>
    <w:rsid w:val="00C37A01"/>
    <w:rsid w:val="00C37BC5"/>
    <w:rsid w:val="00C40B80"/>
    <w:rsid w:val="00C40C4E"/>
    <w:rsid w:val="00C4111F"/>
    <w:rsid w:val="00C4138A"/>
    <w:rsid w:val="00C41875"/>
    <w:rsid w:val="00C419BF"/>
    <w:rsid w:val="00C41DA5"/>
    <w:rsid w:val="00C41DAF"/>
    <w:rsid w:val="00C4219F"/>
    <w:rsid w:val="00C42AA7"/>
    <w:rsid w:val="00C42D54"/>
    <w:rsid w:val="00C42EA4"/>
    <w:rsid w:val="00C4341A"/>
    <w:rsid w:val="00C435AD"/>
    <w:rsid w:val="00C4374B"/>
    <w:rsid w:val="00C438A3"/>
    <w:rsid w:val="00C43D05"/>
    <w:rsid w:val="00C445A6"/>
    <w:rsid w:val="00C44A40"/>
    <w:rsid w:val="00C44F02"/>
    <w:rsid w:val="00C45131"/>
    <w:rsid w:val="00C4587E"/>
    <w:rsid w:val="00C47040"/>
    <w:rsid w:val="00C470B0"/>
    <w:rsid w:val="00C50760"/>
    <w:rsid w:val="00C5079A"/>
    <w:rsid w:val="00C513ED"/>
    <w:rsid w:val="00C51C3F"/>
    <w:rsid w:val="00C51EC8"/>
    <w:rsid w:val="00C525A9"/>
    <w:rsid w:val="00C5314B"/>
    <w:rsid w:val="00C53491"/>
    <w:rsid w:val="00C53ABA"/>
    <w:rsid w:val="00C53CA6"/>
    <w:rsid w:val="00C53CC2"/>
    <w:rsid w:val="00C5431D"/>
    <w:rsid w:val="00C54688"/>
    <w:rsid w:val="00C54C81"/>
    <w:rsid w:val="00C55A02"/>
    <w:rsid w:val="00C55A23"/>
    <w:rsid w:val="00C5602A"/>
    <w:rsid w:val="00C5672F"/>
    <w:rsid w:val="00C5741E"/>
    <w:rsid w:val="00C57AD3"/>
    <w:rsid w:val="00C606B1"/>
    <w:rsid w:val="00C61090"/>
    <w:rsid w:val="00C61971"/>
    <w:rsid w:val="00C6245F"/>
    <w:rsid w:val="00C62505"/>
    <w:rsid w:val="00C62529"/>
    <w:rsid w:val="00C6255F"/>
    <w:rsid w:val="00C628E0"/>
    <w:rsid w:val="00C6367E"/>
    <w:rsid w:val="00C63CF3"/>
    <w:rsid w:val="00C63F76"/>
    <w:rsid w:val="00C6428A"/>
    <w:rsid w:val="00C643B9"/>
    <w:rsid w:val="00C64615"/>
    <w:rsid w:val="00C64730"/>
    <w:rsid w:val="00C64949"/>
    <w:rsid w:val="00C64F3E"/>
    <w:rsid w:val="00C65E07"/>
    <w:rsid w:val="00C664F9"/>
    <w:rsid w:val="00C67A7D"/>
    <w:rsid w:val="00C700FE"/>
    <w:rsid w:val="00C707BB"/>
    <w:rsid w:val="00C707E9"/>
    <w:rsid w:val="00C70B61"/>
    <w:rsid w:val="00C711F7"/>
    <w:rsid w:val="00C712AF"/>
    <w:rsid w:val="00C7138A"/>
    <w:rsid w:val="00C714B0"/>
    <w:rsid w:val="00C72017"/>
    <w:rsid w:val="00C72747"/>
    <w:rsid w:val="00C72910"/>
    <w:rsid w:val="00C72BC6"/>
    <w:rsid w:val="00C72C79"/>
    <w:rsid w:val="00C72E02"/>
    <w:rsid w:val="00C73171"/>
    <w:rsid w:val="00C7349B"/>
    <w:rsid w:val="00C73530"/>
    <w:rsid w:val="00C738E7"/>
    <w:rsid w:val="00C73903"/>
    <w:rsid w:val="00C73D01"/>
    <w:rsid w:val="00C74C21"/>
    <w:rsid w:val="00C755AE"/>
    <w:rsid w:val="00C75991"/>
    <w:rsid w:val="00C75ED3"/>
    <w:rsid w:val="00C75EDA"/>
    <w:rsid w:val="00C76BAE"/>
    <w:rsid w:val="00C773B8"/>
    <w:rsid w:val="00C806C6"/>
    <w:rsid w:val="00C81954"/>
    <w:rsid w:val="00C81A79"/>
    <w:rsid w:val="00C81CBE"/>
    <w:rsid w:val="00C820FA"/>
    <w:rsid w:val="00C82C5F"/>
    <w:rsid w:val="00C82D1B"/>
    <w:rsid w:val="00C82DB7"/>
    <w:rsid w:val="00C82F05"/>
    <w:rsid w:val="00C82F97"/>
    <w:rsid w:val="00C83083"/>
    <w:rsid w:val="00C83351"/>
    <w:rsid w:val="00C83580"/>
    <w:rsid w:val="00C83693"/>
    <w:rsid w:val="00C839FF"/>
    <w:rsid w:val="00C83DC7"/>
    <w:rsid w:val="00C83F7C"/>
    <w:rsid w:val="00C84301"/>
    <w:rsid w:val="00C8436C"/>
    <w:rsid w:val="00C84C07"/>
    <w:rsid w:val="00C859DD"/>
    <w:rsid w:val="00C877DC"/>
    <w:rsid w:val="00C879F8"/>
    <w:rsid w:val="00C87A05"/>
    <w:rsid w:val="00C9070A"/>
    <w:rsid w:val="00C9071F"/>
    <w:rsid w:val="00C90D84"/>
    <w:rsid w:val="00C90F91"/>
    <w:rsid w:val="00C91634"/>
    <w:rsid w:val="00C91B74"/>
    <w:rsid w:val="00C9243B"/>
    <w:rsid w:val="00C92C5C"/>
    <w:rsid w:val="00C93015"/>
    <w:rsid w:val="00C936AF"/>
    <w:rsid w:val="00C93A75"/>
    <w:rsid w:val="00C94449"/>
    <w:rsid w:val="00C94B65"/>
    <w:rsid w:val="00C95559"/>
    <w:rsid w:val="00C95F91"/>
    <w:rsid w:val="00C963D2"/>
    <w:rsid w:val="00C96BB3"/>
    <w:rsid w:val="00C9743B"/>
    <w:rsid w:val="00C974FB"/>
    <w:rsid w:val="00C97690"/>
    <w:rsid w:val="00CA0208"/>
    <w:rsid w:val="00CA0592"/>
    <w:rsid w:val="00CA0900"/>
    <w:rsid w:val="00CA1466"/>
    <w:rsid w:val="00CA14AC"/>
    <w:rsid w:val="00CA174E"/>
    <w:rsid w:val="00CA194E"/>
    <w:rsid w:val="00CA1989"/>
    <w:rsid w:val="00CA20E1"/>
    <w:rsid w:val="00CA2879"/>
    <w:rsid w:val="00CA2CD4"/>
    <w:rsid w:val="00CA3018"/>
    <w:rsid w:val="00CA308A"/>
    <w:rsid w:val="00CA4FBF"/>
    <w:rsid w:val="00CA4FF5"/>
    <w:rsid w:val="00CA558E"/>
    <w:rsid w:val="00CA55C8"/>
    <w:rsid w:val="00CA5BA5"/>
    <w:rsid w:val="00CA5F32"/>
    <w:rsid w:val="00CA639C"/>
    <w:rsid w:val="00CA647D"/>
    <w:rsid w:val="00CA6626"/>
    <w:rsid w:val="00CA6A96"/>
    <w:rsid w:val="00CA6BA1"/>
    <w:rsid w:val="00CA70B8"/>
    <w:rsid w:val="00CA741F"/>
    <w:rsid w:val="00CA7450"/>
    <w:rsid w:val="00CA753C"/>
    <w:rsid w:val="00CB0754"/>
    <w:rsid w:val="00CB1266"/>
    <w:rsid w:val="00CB16F1"/>
    <w:rsid w:val="00CB1FC4"/>
    <w:rsid w:val="00CB20C0"/>
    <w:rsid w:val="00CB21A7"/>
    <w:rsid w:val="00CB2252"/>
    <w:rsid w:val="00CB2548"/>
    <w:rsid w:val="00CB2CA0"/>
    <w:rsid w:val="00CB2CD5"/>
    <w:rsid w:val="00CB38BF"/>
    <w:rsid w:val="00CB3A75"/>
    <w:rsid w:val="00CB3BD8"/>
    <w:rsid w:val="00CB4093"/>
    <w:rsid w:val="00CB4272"/>
    <w:rsid w:val="00CB4564"/>
    <w:rsid w:val="00CB4D54"/>
    <w:rsid w:val="00CB4F6B"/>
    <w:rsid w:val="00CB53AB"/>
    <w:rsid w:val="00CB5428"/>
    <w:rsid w:val="00CB5727"/>
    <w:rsid w:val="00CB5FAB"/>
    <w:rsid w:val="00CB5FAE"/>
    <w:rsid w:val="00CB6376"/>
    <w:rsid w:val="00CB654D"/>
    <w:rsid w:val="00CB65FC"/>
    <w:rsid w:val="00CB6B16"/>
    <w:rsid w:val="00CB6C53"/>
    <w:rsid w:val="00CB6EC5"/>
    <w:rsid w:val="00CB7480"/>
    <w:rsid w:val="00CB76A7"/>
    <w:rsid w:val="00CB7727"/>
    <w:rsid w:val="00CB7D25"/>
    <w:rsid w:val="00CB7D2F"/>
    <w:rsid w:val="00CB7E5E"/>
    <w:rsid w:val="00CC0353"/>
    <w:rsid w:val="00CC0499"/>
    <w:rsid w:val="00CC0971"/>
    <w:rsid w:val="00CC0A45"/>
    <w:rsid w:val="00CC1241"/>
    <w:rsid w:val="00CC1470"/>
    <w:rsid w:val="00CC1590"/>
    <w:rsid w:val="00CC17B9"/>
    <w:rsid w:val="00CC1894"/>
    <w:rsid w:val="00CC189E"/>
    <w:rsid w:val="00CC238F"/>
    <w:rsid w:val="00CC2B6C"/>
    <w:rsid w:val="00CC31C9"/>
    <w:rsid w:val="00CC3318"/>
    <w:rsid w:val="00CC35A1"/>
    <w:rsid w:val="00CC457D"/>
    <w:rsid w:val="00CC46CC"/>
    <w:rsid w:val="00CC5C3C"/>
    <w:rsid w:val="00CC5DC0"/>
    <w:rsid w:val="00CC5E7F"/>
    <w:rsid w:val="00CC6430"/>
    <w:rsid w:val="00CC6D35"/>
    <w:rsid w:val="00CC7807"/>
    <w:rsid w:val="00CC79B8"/>
    <w:rsid w:val="00CD00AF"/>
    <w:rsid w:val="00CD015D"/>
    <w:rsid w:val="00CD0371"/>
    <w:rsid w:val="00CD0FDD"/>
    <w:rsid w:val="00CD1410"/>
    <w:rsid w:val="00CD1EA7"/>
    <w:rsid w:val="00CD2BCE"/>
    <w:rsid w:val="00CD2F29"/>
    <w:rsid w:val="00CD3265"/>
    <w:rsid w:val="00CD3668"/>
    <w:rsid w:val="00CD388E"/>
    <w:rsid w:val="00CD3FA2"/>
    <w:rsid w:val="00CD47DF"/>
    <w:rsid w:val="00CD4B20"/>
    <w:rsid w:val="00CD4CAD"/>
    <w:rsid w:val="00CD510F"/>
    <w:rsid w:val="00CD535F"/>
    <w:rsid w:val="00CD578B"/>
    <w:rsid w:val="00CD58AD"/>
    <w:rsid w:val="00CD5AD8"/>
    <w:rsid w:val="00CD6258"/>
    <w:rsid w:val="00CD629D"/>
    <w:rsid w:val="00CD66F9"/>
    <w:rsid w:val="00CD67E6"/>
    <w:rsid w:val="00CD6B3A"/>
    <w:rsid w:val="00CD6C7A"/>
    <w:rsid w:val="00CD7305"/>
    <w:rsid w:val="00CD76BC"/>
    <w:rsid w:val="00CD7711"/>
    <w:rsid w:val="00CD77E2"/>
    <w:rsid w:val="00CD7820"/>
    <w:rsid w:val="00CD7A98"/>
    <w:rsid w:val="00CE0A5B"/>
    <w:rsid w:val="00CE0DAB"/>
    <w:rsid w:val="00CE1BE7"/>
    <w:rsid w:val="00CE204E"/>
    <w:rsid w:val="00CE21F7"/>
    <w:rsid w:val="00CE2412"/>
    <w:rsid w:val="00CE2798"/>
    <w:rsid w:val="00CE287F"/>
    <w:rsid w:val="00CE2B52"/>
    <w:rsid w:val="00CE3728"/>
    <w:rsid w:val="00CE3EAA"/>
    <w:rsid w:val="00CE4095"/>
    <w:rsid w:val="00CE4574"/>
    <w:rsid w:val="00CE4E76"/>
    <w:rsid w:val="00CE563C"/>
    <w:rsid w:val="00CE574B"/>
    <w:rsid w:val="00CE5EA4"/>
    <w:rsid w:val="00CE5F60"/>
    <w:rsid w:val="00CE60E8"/>
    <w:rsid w:val="00CE6136"/>
    <w:rsid w:val="00CE61C8"/>
    <w:rsid w:val="00CE6B8B"/>
    <w:rsid w:val="00CE6D20"/>
    <w:rsid w:val="00CE6EB0"/>
    <w:rsid w:val="00CE7379"/>
    <w:rsid w:val="00CE74B0"/>
    <w:rsid w:val="00CE7A4B"/>
    <w:rsid w:val="00CE7BFE"/>
    <w:rsid w:val="00CE7CB0"/>
    <w:rsid w:val="00CF072E"/>
    <w:rsid w:val="00CF08CE"/>
    <w:rsid w:val="00CF0AB8"/>
    <w:rsid w:val="00CF1102"/>
    <w:rsid w:val="00CF1833"/>
    <w:rsid w:val="00CF1903"/>
    <w:rsid w:val="00CF1C8A"/>
    <w:rsid w:val="00CF1CBF"/>
    <w:rsid w:val="00CF1DF4"/>
    <w:rsid w:val="00CF21A8"/>
    <w:rsid w:val="00CF260D"/>
    <w:rsid w:val="00CF2B9F"/>
    <w:rsid w:val="00CF34B1"/>
    <w:rsid w:val="00CF3959"/>
    <w:rsid w:val="00CF3EA1"/>
    <w:rsid w:val="00CF3FAD"/>
    <w:rsid w:val="00CF3FEC"/>
    <w:rsid w:val="00CF4526"/>
    <w:rsid w:val="00CF5364"/>
    <w:rsid w:val="00CF55FC"/>
    <w:rsid w:val="00CF56F1"/>
    <w:rsid w:val="00CF57B8"/>
    <w:rsid w:val="00CF6032"/>
    <w:rsid w:val="00CF62AD"/>
    <w:rsid w:val="00CF63BE"/>
    <w:rsid w:val="00CF6682"/>
    <w:rsid w:val="00CF66B2"/>
    <w:rsid w:val="00CF702A"/>
    <w:rsid w:val="00CF70A0"/>
    <w:rsid w:val="00CF7300"/>
    <w:rsid w:val="00CF77DC"/>
    <w:rsid w:val="00CF79E8"/>
    <w:rsid w:val="00CF7E9E"/>
    <w:rsid w:val="00CF7F5D"/>
    <w:rsid w:val="00D0007B"/>
    <w:rsid w:val="00D007F2"/>
    <w:rsid w:val="00D00C3C"/>
    <w:rsid w:val="00D00F3C"/>
    <w:rsid w:val="00D01066"/>
    <w:rsid w:val="00D01644"/>
    <w:rsid w:val="00D01666"/>
    <w:rsid w:val="00D01855"/>
    <w:rsid w:val="00D01B62"/>
    <w:rsid w:val="00D01C67"/>
    <w:rsid w:val="00D0261A"/>
    <w:rsid w:val="00D0300E"/>
    <w:rsid w:val="00D03531"/>
    <w:rsid w:val="00D036DD"/>
    <w:rsid w:val="00D03B8E"/>
    <w:rsid w:val="00D03DC7"/>
    <w:rsid w:val="00D03DD9"/>
    <w:rsid w:val="00D043BF"/>
    <w:rsid w:val="00D044D8"/>
    <w:rsid w:val="00D048DF"/>
    <w:rsid w:val="00D049B5"/>
    <w:rsid w:val="00D04CB8"/>
    <w:rsid w:val="00D05507"/>
    <w:rsid w:val="00D05A09"/>
    <w:rsid w:val="00D05E93"/>
    <w:rsid w:val="00D06801"/>
    <w:rsid w:val="00D06B97"/>
    <w:rsid w:val="00D07A69"/>
    <w:rsid w:val="00D1000B"/>
    <w:rsid w:val="00D101FE"/>
    <w:rsid w:val="00D1039B"/>
    <w:rsid w:val="00D10A3A"/>
    <w:rsid w:val="00D1105E"/>
    <w:rsid w:val="00D1116F"/>
    <w:rsid w:val="00D1178C"/>
    <w:rsid w:val="00D11D64"/>
    <w:rsid w:val="00D11F68"/>
    <w:rsid w:val="00D11F94"/>
    <w:rsid w:val="00D12E9B"/>
    <w:rsid w:val="00D137C6"/>
    <w:rsid w:val="00D1431B"/>
    <w:rsid w:val="00D1493D"/>
    <w:rsid w:val="00D14CDC"/>
    <w:rsid w:val="00D14FD0"/>
    <w:rsid w:val="00D15355"/>
    <w:rsid w:val="00D159A7"/>
    <w:rsid w:val="00D15E37"/>
    <w:rsid w:val="00D15EA4"/>
    <w:rsid w:val="00D16604"/>
    <w:rsid w:val="00D166B2"/>
    <w:rsid w:val="00D16785"/>
    <w:rsid w:val="00D16824"/>
    <w:rsid w:val="00D169CD"/>
    <w:rsid w:val="00D16D6F"/>
    <w:rsid w:val="00D17022"/>
    <w:rsid w:val="00D173CD"/>
    <w:rsid w:val="00D17616"/>
    <w:rsid w:val="00D17B60"/>
    <w:rsid w:val="00D202DA"/>
    <w:rsid w:val="00D20715"/>
    <w:rsid w:val="00D207F3"/>
    <w:rsid w:val="00D20A2B"/>
    <w:rsid w:val="00D20D8C"/>
    <w:rsid w:val="00D213A6"/>
    <w:rsid w:val="00D218BD"/>
    <w:rsid w:val="00D2268B"/>
    <w:rsid w:val="00D226AF"/>
    <w:rsid w:val="00D24913"/>
    <w:rsid w:val="00D2492C"/>
    <w:rsid w:val="00D24C09"/>
    <w:rsid w:val="00D24EFB"/>
    <w:rsid w:val="00D25073"/>
    <w:rsid w:val="00D25097"/>
    <w:rsid w:val="00D2539A"/>
    <w:rsid w:val="00D2584A"/>
    <w:rsid w:val="00D25C1E"/>
    <w:rsid w:val="00D26204"/>
    <w:rsid w:val="00D26269"/>
    <w:rsid w:val="00D26B51"/>
    <w:rsid w:val="00D26D7E"/>
    <w:rsid w:val="00D26FB5"/>
    <w:rsid w:val="00D27059"/>
    <w:rsid w:val="00D273AA"/>
    <w:rsid w:val="00D2763D"/>
    <w:rsid w:val="00D27C14"/>
    <w:rsid w:val="00D300A7"/>
    <w:rsid w:val="00D30439"/>
    <w:rsid w:val="00D304F2"/>
    <w:rsid w:val="00D305EE"/>
    <w:rsid w:val="00D307FD"/>
    <w:rsid w:val="00D31323"/>
    <w:rsid w:val="00D31B21"/>
    <w:rsid w:val="00D320C1"/>
    <w:rsid w:val="00D32437"/>
    <w:rsid w:val="00D32D81"/>
    <w:rsid w:val="00D32E25"/>
    <w:rsid w:val="00D337D4"/>
    <w:rsid w:val="00D33C01"/>
    <w:rsid w:val="00D34E17"/>
    <w:rsid w:val="00D34E2A"/>
    <w:rsid w:val="00D359ED"/>
    <w:rsid w:val="00D35DD2"/>
    <w:rsid w:val="00D36724"/>
    <w:rsid w:val="00D36AC3"/>
    <w:rsid w:val="00D36E17"/>
    <w:rsid w:val="00D37925"/>
    <w:rsid w:val="00D37A6F"/>
    <w:rsid w:val="00D37B21"/>
    <w:rsid w:val="00D37BBB"/>
    <w:rsid w:val="00D4048C"/>
    <w:rsid w:val="00D40A68"/>
    <w:rsid w:val="00D40C02"/>
    <w:rsid w:val="00D41115"/>
    <w:rsid w:val="00D4216F"/>
    <w:rsid w:val="00D422B6"/>
    <w:rsid w:val="00D4255C"/>
    <w:rsid w:val="00D43956"/>
    <w:rsid w:val="00D439B8"/>
    <w:rsid w:val="00D439C7"/>
    <w:rsid w:val="00D439CE"/>
    <w:rsid w:val="00D44689"/>
    <w:rsid w:val="00D446EE"/>
    <w:rsid w:val="00D45057"/>
    <w:rsid w:val="00D45870"/>
    <w:rsid w:val="00D45B4D"/>
    <w:rsid w:val="00D45C02"/>
    <w:rsid w:val="00D45D0B"/>
    <w:rsid w:val="00D46950"/>
    <w:rsid w:val="00D46E37"/>
    <w:rsid w:val="00D46EC1"/>
    <w:rsid w:val="00D47EDC"/>
    <w:rsid w:val="00D50379"/>
    <w:rsid w:val="00D503E3"/>
    <w:rsid w:val="00D5045F"/>
    <w:rsid w:val="00D5092F"/>
    <w:rsid w:val="00D511F3"/>
    <w:rsid w:val="00D51E2B"/>
    <w:rsid w:val="00D51F50"/>
    <w:rsid w:val="00D525C0"/>
    <w:rsid w:val="00D52833"/>
    <w:rsid w:val="00D52A59"/>
    <w:rsid w:val="00D53276"/>
    <w:rsid w:val="00D53457"/>
    <w:rsid w:val="00D53499"/>
    <w:rsid w:val="00D5372D"/>
    <w:rsid w:val="00D537B1"/>
    <w:rsid w:val="00D537C4"/>
    <w:rsid w:val="00D53897"/>
    <w:rsid w:val="00D53BA2"/>
    <w:rsid w:val="00D53D86"/>
    <w:rsid w:val="00D5502D"/>
    <w:rsid w:val="00D551A6"/>
    <w:rsid w:val="00D55285"/>
    <w:rsid w:val="00D553E0"/>
    <w:rsid w:val="00D55976"/>
    <w:rsid w:val="00D55D14"/>
    <w:rsid w:val="00D55E87"/>
    <w:rsid w:val="00D56024"/>
    <w:rsid w:val="00D560BE"/>
    <w:rsid w:val="00D567EB"/>
    <w:rsid w:val="00D56C56"/>
    <w:rsid w:val="00D56F12"/>
    <w:rsid w:val="00D57A5F"/>
    <w:rsid w:val="00D57BF0"/>
    <w:rsid w:val="00D60725"/>
    <w:rsid w:val="00D60E8F"/>
    <w:rsid w:val="00D6146C"/>
    <w:rsid w:val="00D61488"/>
    <w:rsid w:val="00D61E14"/>
    <w:rsid w:val="00D61FA7"/>
    <w:rsid w:val="00D62347"/>
    <w:rsid w:val="00D626ED"/>
    <w:rsid w:val="00D62809"/>
    <w:rsid w:val="00D62A29"/>
    <w:rsid w:val="00D62CB6"/>
    <w:rsid w:val="00D63BF9"/>
    <w:rsid w:val="00D63D6E"/>
    <w:rsid w:val="00D63DAD"/>
    <w:rsid w:val="00D64342"/>
    <w:rsid w:val="00D6447F"/>
    <w:rsid w:val="00D646FB"/>
    <w:rsid w:val="00D647AF"/>
    <w:rsid w:val="00D64866"/>
    <w:rsid w:val="00D64970"/>
    <w:rsid w:val="00D651DF"/>
    <w:rsid w:val="00D65628"/>
    <w:rsid w:val="00D65B2B"/>
    <w:rsid w:val="00D65ECC"/>
    <w:rsid w:val="00D662B8"/>
    <w:rsid w:val="00D6655C"/>
    <w:rsid w:val="00D6669D"/>
    <w:rsid w:val="00D667FD"/>
    <w:rsid w:val="00D66936"/>
    <w:rsid w:val="00D6698F"/>
    <w:rsid w:val="00D67EA9"/>
    <w:rsid w:val="00D70366"/>
    <w:rsid w:val="00D70607"/>
    <w:rsid w:val="00D708E1"/>
    <w:rsid w:val="00D70FCE"/>
    <w:rsid w:val="00D70FF5"/>
    <w:rsid w:val="00D7124B"/>
    <w:rsid w:val="00D7136E"/>
    <w:rsid w:val="00D715C4"/>
    <w:rsid w:val="00D71BD1"/>
    <w:rsid w:val="00D71CB7"/>
    <w:rsid w:val="00D726E4"/>
    <w:rsid w:val="00D72B88"/>
    <w:rsid w:val="00D72D26"/>
    <w:rsid w:val="00D735F6"/>
    <w:rsid w:val="00D739EC"/>
    <w:rsid w:val="00D73C01"/>
    <w:rsid w:val="00D740C4"/>
    <w:rsid w:val="00D742F1"/>
    <w:rsid w:val="00D747AF"/>
    <w:rsid w:val="00D74C3B"/>
    <w:rsid w:val="00D74EE5"/>
    <w:rsid w:val="00D75028"/>
    <w:rsid w:val="00D75796"/>
    <w:rsid w:val="00D75EE9"/>
    <w:rsid w:val="00D762D4"/>
    <w:rsid w:val="00D768C2"/>
    <w:rsid w:val="00D77BC3"/>
    <w:rsid w:val="00D77E69"/>
    <w:rsid w:val="00D80226"/>
    <w:rsid w:val="00D80832"/>
    <w:rsid w:val="00D80D17"/>
    <w:rsid w:val="00D81296"/>
    <w:rsid w:val="00D81AEF"/>
    <w:rsid w:val="00D81CB0"/>
    <w:rsid w:val="00D81E1C"/>
    <w:rsid w:val="00D82FFB"/>
    <w:rsid w:val="00D83051"/>
    <w:rsid w:val="00D835E5"/>
    <w:rsid w:val="00D837A7"/>
    <w:rsid w:val="00D83C6F"/>
    <w:rsid w:val="00D83E0B"/>
    <w:rsid w:val="00D8426D"/>
    <w:rsid w:val="00D84ADD"/>
    <w:rsid w:val="00D8523F"/>
    <w:rsid w:val="00D853C8"/>
    <w:rsid w:val="00D85415"/>
    <w:rsid w:val="00D85698"/>
    <w:rsid w:val="00D85A5F"/>
    <w:rsid w:val="00D85F20"/>
    <w:rsid w:val="00D85FF3"/>
    <w:rsid w:val="00D861A7"/>
    <w:rsid w:val="00D86210"/>
    <w:rsid w:val="00D86493"/>
    <w:rsid w:val="00D86972"/>
    <w:rsid w:val="00D86E1E"/>
    <w:rsid w:val="00D87324"/>
    <w:rsid w:val="00D87399"/>
    <w:rsid w:val="00D87602"/>
    <w:rsid w:val="00D8796C"/>
    <w:rsid w:val="00D87D87"/>
    <w:rsid w:val="00D87FA2"/>
    <w:rsid w:val="00D9076C"/>
    <w:rsid w:val="00D9092D"/>
    <w:rsid w:val="00D90AB4"/>
    <w:rsid w:val="00D90D0C"/>
    <w:rsid w:val="00D912D7"/>
    <w:rsid w:val="00D91854"/>
    <w:rsid w:val="00D91C5C"/>
    <w:rsid w:val="00D91C8A"/>
    <w:rsid w:val="00D9207D"/>
    <w:rsid w:val="00D921CC"/>
    <w:rsid w:val="00D9286E"/>
    <w:rsid w:val="00D92DB7"/>
    <w:rsid w:val="00D92EEE"/>
    <w:rsid w:val="00D93404"/>
    <w:rsid w:val="00D93A90"/>
    <w:rsid w:val="00D93AA6"/>
    <w:rsid w:val="00D93ADB"/>
    <w:rsid w:val="00D94049"/>
    <w:rsid w:val="00D9466A"/>
    <w:rsid w:val="00D948D1"/>
    <w:rsid w:val="00D94C60"/>
    <w:rsid w:val="00D94E08"/>
    <w:rsid w:val="00D94EE8"/>
    <w:rsid w:val="00D951AE"/>
    <w:rsid w:val="00D957CC"/>
    <w:rsid w:val="00D957D8"/>
    <w:rsid w:val="00D95820"/>
    <w:rsid w:val="00D95C10"/>
    <w:rsid w:val="00D95C11"/>
    <w:rsid w:val="00D95E20"/>
    <w:rsid w:val="00D97068"/>
    <w:rsid w:val="00D9721F"/>
    <w:rsid w:val="00D97523"/>
    <w:rsid w:val="00D976B2"/>
    <w:rsid w:val="00D976EC"/>
    <w:rsid w:val="00D978CB"/>
    <w:rsid w:val="00DA0F20"/>
    <w:rsid w:val="00DA12D7"/>
    <w:rsid w:val="00DA2097"/>
    <w:rsid w:val="00DA234B"/>
    <w:rsid w:val="00DA2432"/>
    <w:rsid w:val="00DA2745"/>
    <w:rsid w:val="00DA2E5E"/>
    <w:rsid w:val="00DA32DB"/>
    <w:rsid w:val="00DA34B3"/>
    <w:rsid w:val="00DA375A"/>
    <w:rsid w:val="00DA37B2"/>
    <w:rsid w:val="00DA3CCF"/>
    <w:rsid w:val="00DA48FB"/>
    <w:rsid w:val="00DA57F0"/>
    <w:rsid w:val="00DA60D2"/>
    <w:rsid w:val="00DA6162"/>
    <w:rsid w:val="00DA6621"/>
    <w:rsid w:val="00DA70F8"/>
    <w:rsid w:val="00DA710D"/>
    <w:rsid w:val="00DA72B8"/>
    <w:rsid w:val="00DB02DC"/>
    <w:rsid w:val="00DB07D6"/>
    <w:rsid w:val="00DB1874"/>
    <w:rsid w:val="00DB1E33"/>
    <w:rsid w:val="00DB1E6A"/>
    <w:rsid w:val="00DB1EF5"/>
    <w:rsid w:val="00DB21E3"/>
    <w:rsid w:val="00DB249F"/>
    <w:rsid w:val="00DB2C43"/>
    <w:rsid w:val="00DB3092"/>
    <w:rsid w:val="00DB311C"/>
    <w:rsid w:val="00DB3B30"/>
    <w:rsid w:val="00DB4296"/>
    <w:rsid w:val="00DB42D3"/>
    <w:rsid w:val="00DB42FA"/>
    <w:rsid w:val="00DB4B50"/>
    <w:rsid w:val="00DB4E2B"/>
    <w:rsid w:val="00DB505B"/>
    <w:rsid w:val="00DB523D"/>
    <w:rsid w:val="00DB577B"/>
    <w:rsid w:val="00DB5F19"/>
    <w:rsid w:val="00DB63E7"/>
    <w:rsid w:val="00DB67E1"/>
    <w:rsid w:val="00DB7F54"/>
    <w:rsid w:val="00DC0487"/>
    <w:rsid w:val="00DC0584"/>
    <w:rsid w:val="00DC0922"/>
    <w:rsid w:val="00DC0933"/>
    <w:rsid w:val="00DC0ACA"/>
    <w:rsid w:val="00DC1245"/>
    <w:rsid w:val="00DC1CC6"/>
    <w:rsid w:val="00DC2838"/>
    <w:rsid w:val="00DC28E4"/>
    <w:rsid w:val="00DC2A2C"/>
    <w:rsid w:val="00DC2C0C"/>
    <w:rsid w:val="00DC2C9D"/>
    <w:rsid w:val="00DC2CFD"/>
    <w:rsid w:val="00DC3A2D"/>
    <w:rsid w:val="00DC3AB6"/>
    <w:rsid w:val="00DC3BD0"/>
    <w:rsid w:val="00DC3F58"/>
    <w:rsid w:val="00DC58AD"/>
    <w:rsid w:val="00DC5D61"/>
    <w:rsid w:val="00DC6145"/>
    <w:rsid w:val="00DC65A5"/>
    <w:rsid w:val="00DC6853"/>
    <w:rsid w:val="00DC6FE4"/>
    <w:rsid w:val="00DC7799"/>
    <w:rsid w:val="00DD00D2"/>
    <w:rsid w:val="00DD0796"/>
    <w:rsid w:val="00DD096C"/>
    <w:rsid w:val="00DD0DC3"/>
    <w:rsid w:val="00DD0FCC"/>
    <w:rsid w:val="00DD149B"/>
    <w:rsid w:val="00DD1AED"/>
    <w:rsid w:val="00DD1E1B"/>
    <w:rsid w:val="00DD243B"/>
    <w:rsid w:val="00DD2CC3"/>
    <w:rsid w:val="00DD2CD7"/>
    <w:rsid w:val="00DD30F8"/>
    <w:rsid w:val="00DD3615"/>
    <w:rsid w:val="00DD3D70"/>
    <w:rsid w:val="00DD41F7"/>
    <w:rsid w:val="00DD48CA"/>
    <w:rsid w:val="00DD4958"/>
    <w:rsid w:val="00DD5166"/>
    <w:rsid w:val="00DD55DC"/>
    <w:rsid w:val="00DD5638"/>
    <w:rsid w:val="00DD5B5C"/>
    <w:rsid w:val="00DD5FD3"/>
    <w:rsid w:val="00DD62CB"/>
    <w:rsid w:val="00DD63EC"/>
    <w:rsid w:val="00DD662A"/>
    <w:rsid w:val="00DD725F"/>
    <w:rsid w:val="00DD780C"/>
    <w:rsid w:val="00DD7834"/>
    <w:rsid w:val="00DD7B4D"/>
    <w:rsid w:val="00DD7B60"/>
    <w:rsid w:val="00DD7BB0"/>
    <w:rsid w:val="00DD7CB0"/>
    <w:rsid w:val="00DD7CD9"/>
    <w:rsid w:val="00DE0429"/>
    <w:rsid w:val="00DE0D80"/>
    <w:rsid w:val="00DE169C"/>
    <w:rsid w:val="00DE1781"/>
    <w:rsid w:val="00DE1815"/>
    <w:rsid w:val="00DE1F55"/>
    <w:rsid w:val="00DE22FE"/>
    <w:rsid w:val="00DE393F"/>
    <w:rsid w:val="00DE3C5E"/>
    <w:rsid w:val="00DE3F2F"/>
    <w:rsid w:val="00DE3F3F"/>
    <w:rsid w:val="00DE4395"/>
    <w:rsid w:val="00DE4616"/>
    <w:rsid w:val="00DE478D"/>
    <w:rsid w:val="00DE4F3B"/>
    <w:rsid w:val="00DE5157"/>
    <w:rsid w:val="00DE57C2"/>
    <w:rsid w:val="00DE5A84"/>
    <w:rsid w:val="00DE5BA8"/>
    <w:rsid w:val="00DE6072"/>
    <w:rsid w:val="00DE641D"/>
    <w:rsid w:val="00DE6715"/>
    <w:rsid w:val="00DE6CAD"/>
    <w:rsid w:val="00DE753D"/>
    <w:rsid w:val="00DE757B"/>
    <w:rsid w:val="00DE75AE"/>
    <w:rsid w:val="00DE769D"/>
    <w:rsid w:val="00DE7957"/>
    <w:rsid w:val="00DE7CA6"/>
    <w:rsid w:val="00DF057F"/>
    <w:rsid w:val="00DF082D"/>
    <w:rsid w:val="00DF089E"/>
    <w:rsid w:val="00DF0BB7"/>
    <w:rsid w:val="00DF0C28"/>
    <w:rsid w:val="00DF16F4"/>
    <w:rsid w:val="00DF1E3E"/>
    <w:rsid w:val="00DF24D1"/>
    <w:rsid w:val="00DF2981"/>
    <w:rsid w:val="00DF2A95"/>
    <w:rsid w:val="00DF347A"/>
    <w:rsid w:val="00DF45F1"/>
    <w:rsid w:val="00DF5143"/>
    <w:rsid w:val="00DF5318"/>
    <w:rsid w:val="00DF5554"/>
    <w:rsid w:val="00DF59DD"/>
    <w:rsid w:val="00DF6CC9"/>
    <w:rsid w:val="00DF6CDF"/>
    <w:rsid w:val="00DF6F73"/>
    <w:rsid w:val="00DF70E1"/>
    <w:rsid w:val="00DF76CD"/>
    <w:rsid w:val="00DF77B9"/>
    <w:rsid w:val="00DF7A21"/>
    <w:rsid w:val="00DF7BA9"/>
    <w:rsid w:val="00DF7BFB"/>
    <w:rsid w:val="00E00AFC"/>
    <w:rsid w:val="00E00CE0"/>
    <w:rsid w:val="00E016DE"/>
    <w:rsid w:val="00E0183D"/>
    <w:rsid w:val="00E018BA"/>
    <w:rsid w:val="00E01CC7"/>
    <w:rsid w:val="00E02062"/>
    <w:rsid w:val="00E020CE"/>
    <w:rsid w:val="00E02DDE"/>
    <w:rsid w:val="00E02FAF"/>
    <w:rsid w:val="00E03698"/>
    <w:rsid w:val="00E0385D"/>
    <w:rsid w:val="00E03860"/>
    <w:rsid w:val="00E03993"/>
    <w:rsid w:val="00E03DDB"/>
    <w:rsid w:val="00E04C58"/>
    <w:rsid w:val="00E04C74"/>
    <w:rsid w:val="00E0580B"/>
    <w:rsid w:val="00E05973"/>
    <w:rsid w:val="00E05FCE"/>
    <w:rsid w:val="00E063EF"/>
    <w:rsid w:val="00E065B4"/>
    <w:rsid w:val="00E066AF"/>
    <w:rsid w:val="00E067D2"/>
    <w:rsid w:val="00E069F5"/>
    <w:rsid w:val="00E06B97"/>
    <w:rsid w:val="00E06F26"/>
    <w:rsid w:val="00E07124"/>
    <w:rsid w:val="00E07A9C"/>
    <w:rsid w:val="00E07F40"/>
    <w:rsid w:val="00E1075E"/>
    <w:rsid w:val="00E11572"/>
    <w:rsid w:val="00E11AF4"/>
    <w:rsid w:val="00E12333"/>
    <w:rsid w:val="00E125C4"/>
    <w:rsid w:val="00E12796"/>
    <w:rsid w:val="00E13263"/>
    <w:rsid w:val="00E135C7"/>
    <w:rsid w:val="00E13B78"/>
    <w:rsid w:val="00E1450D"/>
    <w:rsid w:val="00E14A01"/>
    <w:rsid w:val="00E150EC"/>
    <w:rsid w:val="00E1557D"/>
    <w:rsid w:val="00E168C3"/>
    <w:rsid w:val="00E16B02"/>
    <w:rsid w:val="00E16DF6"/>
    <w:rsid w:val="00E173AA"/>
    <w:rsid w:val="00E173EC"/>
    <w:rsid w:val="00E179F1"/>
    <w:rsid w:val="00E17C16"/>
    <w:rsid w:val="00E17DD6"/>
    <w:rsid w:val="00E17F60"/>
    <w:rsid w:val="00E20102"/>
    <w:rsid w:val="00E20C3B"/>
    <w:rsid w:val="00E2157A"/>
    <w:rsid w:val="00E21ACE"/>
    <w:rsid w:val="00E21F8D"/>
    <w:rsid w:val="00E22123"/>
    <w:rsid w:val="00E23FC7"/>
    <w:rsid w:val="00E2430A"/>
    <w:rsid w:val="00E2450E"/>
    <w:rsid w:val="00E253E6"/>
    <w:rsid w:val="00E254CD"/>
    <w:rsid w:val="00E25A13"/>
    <w:rsid w:val="00E25C4F"/>
    <w:rsid w:val="00E25DE1"/>
    <w:rsid w:val="00E25EC5"/>
    <w:rsid w:val="00E264C6"/>
    <w:rsid w:val="00E268B3"/>
    <w:rsid w:val="00E26959"/>
    <w:rsid w:val="00E26C54"/>
    <w:rsid w:val="00E270B2"/>
    <w:rsid w:val="00E27164"/>
    <w:rsid w:val="00E27680"/>
    <w:rsid w:val="00E27CBC"/>
    <w:rsid w:val="00E27D67"/>
    <w:rsid w:val="00E3063A"/>
    <w:rsid w:val="00E30CD0"/>
    <w:rsid w:val="00E317B0"/>
    <w:rsid w:val="00E31E44"/>
    <w:rsid w:val="00E32191"/>
    <w:rsid w:val="00E322D3"/>
    <w:rsid w:val="00E3348D"/>
    <w:rsid w:val="00E337FD"/>
    <w:rsid w:val="00E33B1B"/>
    <w:rsid w:val="00E33F8C"/>
    <w:rsid w:val="00E3410A"/>
    <w:rsid w:val="00E34BFB"/>
    <w:rsid w:val="00E352EA"/>
    <w:rsid w:val="00E35541"/>
    <w:rsid w:val="00E35C20"/>
    <w:rsid w:val="00E367F4"/>
    <w:rsid w:val="00E368A6"/>
    <w:rsid w:val="00E36CAB"/>
    <w:rsid w:val="00E37460"/>
    <w:rsid w:val="00E3758C"/>
    <w:rsid w:val="00E37706"/>
    <w:rsid w:val="00E37DAF"/>
    <w:rsid w:val="00E40031"/>
    <w:rsid w:val="00E405C2"/>
    <w:rsid w:val="00E405F0"/>
    <w:rsid w:val="00E40723"/>
    <w:rsid w:val="00E41389"/>
    <w:rsid w:val="00E413F0"/>
    <w:rsid w:val="00E416C7"/>
    <w:rsid w:val="00E41890"/>
    <w:rsid w:val="00E41910"/>
    <w:rsid w:val="00E4196D"/>
    <w:rsid w:val="00E41F66"/>
    <w:rsid w:val="00E4261E"/>
    <w:rsid w:val="00E42DE1"/>
    <w:rsid w:val="00E434F5"/>
    <w:rsid w:val="00E43585"/>
    <w:rsid w:val="00E437E7"/>
    <w:rsid w:val="00E43B85"/>
    <w:rsid w:val="00E4445B"/>
    <w:rsid w:val="00E44D45"/>
    <w:rsid w:val="00E44D49"/>
    <w:rsid w:val="00E450AA"/>
    <w:rsid w:val="00E45451"/>
    <w:rsid w:val="00E4557A"/>
    <w:rsid w:val="00E459F4"/>
    <w:rsid w:val="00E45B63"/>
    <w:rsid w:val="00E45D2D"/>
    <w:rsid w:val="00E45FDD"/>
    <w:rsid w:val="00E46582"/>
    <w:rsid w:val="00E4672A"/>
    <w:rsid w:val="00E46D1F"/>
    <w:rsid w:val="00E46EBE"/>
    <w:rsid w:val="00E473FB"/>
    <w:rsid w:val="00E50249"/>
    <w:rsid w:val="00E50673"/>
    <w:rsid w:val="00E50E9D"/>
    <w:rsid w:val="00E52997"/>
    <w:rsid w:val="00E52E72"/>
    <w:rsid w:val="00E530EE"/>
    <w:rsid w:val="00E53236"/>
    <w:rsid w:val="00E534ED"/>
    <w:rsid w:val="00E53B85"/>
    <w:rsid w:val="00E53F23"/>
    <w:rsid w:val="00E53F85"/>
    <w:rsid w:val="00E545ED"/>
    <w:rsid w:val="00E5462D"/>
    <w:rsid w:val="00E54837"/>
    <w:rsid w:val="00E54E54"/>
    <w:rsid w:val="00E54F3E"/>
    <w:rsid w:val="00E54FC6"/>
    <w:rsid w:val="00E55035"/>
    <w:rsid w:val="00E55732"/>
    <w:rsid w:val="00E55A1C"/>
    <w:rsid w:val="00E55D3D"/>
    <w:rsid w:val="00E55DB7"/>
    <w:rsid w:val="00E5600D"/>
    <w:rsid w:val="00E56069"/>
    <w:rsid w:val="00E562F6"/>
    <w:rsid w:val="00E564B6"/>
    <w:rsid w:val="00E564E0"/>
    <w:rsid w:val="00E5663B"/>
    <w:rsid w:val="00E56F3D"/>
    <w:rsid w:val="00E57A52"/>
    <w:rsid w:val="00E60390"/>
    <w:rsid w:val="00E60C44"/>
    <w:rsid w:val="00E61822"/>
    <w:rsid w:val="00E624EB"/>
    <w:rsid w:val="00E6266B"/>
    <w:rsid w:val="00E62695"/>
    <w:rsid w:val="00E62A97"/>
    <w:rsid w:val="00E62B1B"/>
    <w:rsid w:val="00E62FC1"/>
    <w:rsid w:val="00E63CA8"/>
    <w:rsid w:val="00E6411C"/>
    <w:rsid w:val="00E64767"/>
    <w:rsid w:val="00E647C0"/>
    <w:rsid w:val="00E64881"/>
    <w:rsid w:val="00E651CB"/>
    <w:rsid w:val="00E65793"/>
    <w:rsid w:val="00E658CB"/>
    <w:rsid w:val="00E658F8"/>
    <w:rsid w:val="00E65B27"/>
    <w:rsid w:val="00E65B63"/>
    <w:rsid w:val="00E65F90"/>
    <w:rsid w:val="00E6641F"/>
    <w:rsid w:val="00E664B0"/>
    <w:rsid w:val="00E66591"/>
    <w:rsid w:val="00E66849"/>
    <w:rsid w:val="00E70811"/>
    <w:rsid w:val="00E70DE9"/>
    <w:rsid w:val="00E70F1A"/>
    <w:rsid w:val="00E71D0F"/>
    <w:rsid w:val="00E727D5"/>
    <w:rsid w:val="00E72BDB"/>
    <w:rsid w:val="00E73500"/>
    <w:rsid w:val="00E73646"/>
    <w:rsid w:val="00E73F66"/>
    <w:rsid w:val="00E74333"/>
    <w:rsid w:val="00E74C09"/>
    <w:rsid w:val="00E74F82"/>
    <w:rsid w:val="00E75199"/>
    <w:rsid w:val="00E75832"/>
    <w:rsid w:val="00E75A90"/>
    <w:rsid w:val="00E760B1"/>
    <w:rsid w:val="00E76223"/>
    <w:rsid w:val="00E76689"/>
    <w:rsid w:val="00E76E10"/>
    <w:rsid w:val="00E76F62"/>
    <w:rsid w:val="00E7744B"/>
    <w:rsid w:val="00E80414"/>
    <w:rsid w:val="00E809CF"/>
    <w:rsid w:val="00E80B7A"/>
    <w:rsid w:val="00E80F4A"/>
    <w:rsid w:val="00E81024"/>
    <w:rsid w:val="00E81451"/>
    <w:rsid w:val="00E81F3D"/>
    <w:rsid w:val="00E828F0"/>
    <w:rsid w:val="00E82B1A"/>
    <w:rsid w:val="00E82F33"/>
    <w:rsid w:val="00E831A1"/>
    <w:rsid w:val="00E834E2"/>
    <w:rsid w:val="00E83967"/>
    <w:rsid w:val="00E83D5D"/>
    <w:rsid w:val="00E8479D"/>
    <w:rsid w:val="00E84CD9"/>
    <w:rsid w:val="00E85422"/>
    <w:rsid w:val="00E85814"/>
    <w:rsid w:val="00E85B30"/>
    <w:rsid w:val="00E86174"/>
    <w:rsid w:val="00E862B7"/>
    <w:rsid w:val="00E86361"/>
    <w:rsid w:val="00E863E3"/>
    <w:rsid w:val="00E86DBD"/>
    <w:rsid w:val="00E87427"/>
    <w:rsid w:val="00E87A29"/>
    <w:rsid w:val="00E87CA5"/>
    <w:rsid w:val="00E90305"/>
    <w:rsid w:val="00E918F5"/>
    <w:rsid w:val="00E9194A"/>
    <w:rsid w:val="00E91E22"/>
    <w:rsid w:val="00E91F4A"/>
    <w:rsid w:val="00E933CF"/>
    <w:rsid w:val="00E93505"/>
    <w:rsid w:val="00E93657"/>
    <w:rsid w:val="00E93D08"/>
    <w:rsid w:val="00E93E02"/>
    <w:rsid w:val="00E94432"/>
    <w:rsid w:val="00E94927"/>
    <w:rsid w:val="00E94A96"/>
    <w:rsid w:val="00E951EC"/>
    <w:rsid w:val="00E954FC"/>
    <w:rsid w:val="00E960C0"/>
    <w:rsid w:val="00E9612C"/>
    <w:rsid w:val="00E96512"/>
    <w:rsid w:val="00E96FE8"/>
    <w:rsid w:val="00E97197"/>
    <w:rsid w:val="00E97212"/>
    <w:rsid w:val="00E97C21"/>
    <w:rsid w:val="00E97C40"/>
    <w:rsid w:val="00E97F3C"/>
    <w:rsid w:val="00EA085D"/>
    <w:rsid w:val="00EA0CF5"/>
    <w:rsid w:val="00EA0F6E"/>
    <w:rsid w:val="00EA1772"/>
    <w:rsid w:val="00EA1CFD"/>
    <w:rsid w:val="00EA1E13"/>
    <w:rsid w:val="00EA21D7"/>
    <w:rsid w:val="00EA25CD"/>
    <w:rsid w:val="00EA299C"/>
    <w:rsid w:val="00EA363C"/>
    <w:rsid w:val="00EA3D4F"/>
    <w:rsid w:val="00EA3DF4"/>
    <w:rsid w:val="00EA4715"/>
    <w:rsid w:val="00EA47D2"/>
    <w:rsid w:val="00EA4F3B"/>
    <w:rsid w:val="00EA52F5"/>
    <w:rsid w:val="00EA5849"/>
    <w:rsid w:val="00EA5D3D"/>
    <w:rsid w:val="00EA5E97"/>
    <w:rsid w:val="00EA647C"/>
    <w:rsid w:val="00EA73C8"/>
    <w:rsid w:val="00EA7671"/>
    <w:rsid w:val="00EA7855"/>
    <w:rsid w:val="00EA7D5F"/>
    <w:rsid w:val="00EA7ECA"/>
    <w:rsid w:val="00EB041D"/>
    <w:rsid w:val="00EB0812"/>
    <w:rsid w:val="00EB0911"/>
    <w:rsid w:val="00EB0E4F"/>
    <w:rsid w:val="00EB1211"/>
    <w:rsid w:val="00EB1403"/>
    <w:rsid w:val="00EB152C"/>
    <w:rsid w:val="00EB19F6"/>
    <w:rsid w:val="00EB26B1"/>
    <w:rsid w:val="00EB2A5C"/>
    <w:rsid w:val="00EB2DF1"/>
    <w:rsid w:val="00EB38E0"/>
    <w:rsid w:val="00EB3928"/>
    <w:rsid w:val="00EB3C7C"/>
    <w:rsid w:val="00EB4024"/>
    <w:rsid w:val="00EB4C6D"/>
    <w:rsid w:val="00EB55A5"/>
    <w:rsid w:val="00EB561D"/>
    <w:rsid w:val="00EB5703"/>
    <w:rsid w:val="00EB570F"/>
    <w:rsid w:val="00EB5C31"/>
    <w:rsid w:val="00EB670B"/>
    <w:rsid w:val="00EB673B"/>
    <w:rsid w:val="00EB73F7"/>
    <w:rsid w:val="00EB7670"/>
    <w:rsid w:val="00EB79EB"/>
    <w:rsid w:val="00EB7E88"/>
    <w:rsid w:val="00EC009B"/>
    <w:rsid w:val="00EC0103"/>
    <w:rsid w:val="00EC044B"/>
    <w:rsid w:val="00EC06F4"/>
    <w:rsid w:val="00EC08B9"/>
    <w:rsid w:val="00EC0A40"/>
    <w:rsid w:val="00EC155E"/>
    <w:rsid w:val="00EC1CAD"/>
    <w:rsid w:val="00EC1F72"/>
    <w:rsid w:val="00EC263E"/>
    <w:rsid w:val="00EC2A1D"/>
    <w:rsid w:val="00EC3630"/>
    <w:rsid w:val="00EC37BF"/>
    <w:rsid w:val="00EC3AB7"/>
    <w:rsid w:val="00EC3CDE"/>
    <w:rsid w:val="00EC3F8A"/>
    <w:rsid w:val="00EC4114"/>
    <w:rsid w:val="00EC4C23"/>
    <w:rsid w:val="00EC506F"/>
    <w:rsid w:val="00EC5500"/>
    <w:rsid w:val="00EC5B08"/>
    <w:rsid w:val="00EC5DAE"/>
    <w:rsid w:val="00EC5FE3"/>
    <w:rsid w:val="00EC6CCA"/>
    <w:rsid w:val="00EC7841"/>
    <w:rsid w:val="00EC7D21"/>
    <w:rsid w:val="00ED03DE"/>
    <w:rsid w:val="00ED0804"/>
    <w:rsid w:val="00ED0A6D"/>
    <w:rsid w:val="00ED0C27"/>
    <w:rsid w:val="00ED0F89"/>
    <w:rsid w:val="00ED14A2"/>
    <w:rsid w:val="00ED21B9"/>
    <w:rsid w:val="00ED2FF2"/>
    <w:rsid w:val="00ED3566"/>
    <w:rsid w:val="00ED37F3"/>
    <w:rsid w:val="00ED40EB"/>
    <w:rsid w:val="00ED4141"/>
    <w:rsid w:val="00ED4D88"/>
    <w:rsid w:val="00ED4F1C"/>
    <w:rsid w:val="00ED4F46"/>
    <w:rsid w:val="00ED4FF6"/>
    <w:rsid w:val="00ED532E"/>
    <w:rsid w:val="00ED5B3F"/>
    <w:rsid w:val="00ED677D"/>
    <w:rsid w:val="00ED6D8C"/>
    <w:rsid w:val="00EE0345"/>
    <w:rsid w:val="00EE0525"/>
    <w:rsid w:val="00EE0BDB"/>
    <w:rsid w:val="00EE1589"/>
    <w:rsid w:val="00EE1982"/>
    <w:rsid w:val="00EE19CC"/>
    <w:rsid w:val="00EE1A59"/>
    <w:rsid w:val="00EE1DE3"/>
    <w:rsid w:val="00EE1EA4"/>
    <w:rsid w:val="00EE250E"/>
    <w:rsid w:val="00EE334C"/>
    <w:rsid w:val="00EE34F9"/>
    <w:rsid w:val="00EE44E3"/>
    <w:rsid w:val="00EE4811"/>
    <w:rsid w:val="00EE4C6D"/>
    <w:rsid w:val="00EE5BC3"/>
    <w:rsid w:val="00EE5DA0"/>
    <w:rsid w:val="00EE6156"/>
    <w:rsid w:val="00EE6ABC"/>
    <w:rsid w:val="00EE6D92"/>
    <w:rsid w:val="00EE7081"/>
    <w:rsid w:val="00EE72CA"/>
    <w:rsid w:val="00EE7D4B"/>
    <w:rsid w:val="00EF0FF0"/>
    <w:rsid w:val="00EF11B6"/>
    <w:rsid w:val="00EF17E3"/>
    <w:rsid w:val="00EF1E39"/>
    <w:rsid w:val="00EF2015"/>
    <w:rsid w:val="00EF25EC"/>
    <w:rsid w:val="00EF382A"/>
    <w:rsid w:val="00EF3938"/>
    <w:rsid w:val="00EF3B7E"/>
    <w:rsid w:val="00EF4044"/>
    <w:rsid w:val="00EF419A"/>
    <w:rsid w:val="00EF42E9"/>
    <w:rsid w:val="00EF4A94"/>
    <w:rsid w:val="00EF5117"/>
    <w:rsid w:val="00EF6320"/>
    <w:rsid w:val="00EF64AC"/>
    <w:rsid w:val="00EF656D"/>
    <w:rsid w:val="00EF780C"/>
    <w:rsid w:val="00EF7D4A"/>
    <w:rsid w:val="00F00118"/>
    <w:rsid w:val="00F00195"/>
    <w:rsid w:val="00F0033F"/>
    <w:rsid w:val="00F00670"/>
    <w:rsid w:val="00F00B25"/>
    <w:rsid w:val="00F00EB8"/>
    <w:rsid w:val="00F01158"/>
    <w:rsid w:val="00F021F5"/>
    <w:rsid w:val="00F02556"/>
    <w:rsid w:val="00F02BDC"/>
    <w:rsid w:val="00F02D9E"/>
    <w:rsid w:val="00F02E33"/>
    <w:rsid w:val="00F03B59"/>
    <w:rsid w:val="00F04070"/>
    <w:rsid w:val="00F0429C"/>
    <w:rsid w:val="00F04FBC"/>
    <w:rsid w:val="00F0582D"/>
    <w:rsid w:val="00F06631"/>
    <w:rsid w:val="00F06958"/>
    <w:rsid w:val="00F06BAE"/>
    <w:rsid w:val="00F07376"/>
    <w:rsid w:val="00F07CED"/>
    <w:rsid w:val="00F07E40"/>
    <w:rsid w:val="00F1024F"/>
    <w:rsid w:val="00F10C12"/>
    <w:rsid w:val="00F11479"/>
    <w:rsid w:val="00F11AE7"/>
    <w:rsid w:val="00F1257F"/>
    <w:rsid w:val="00F1263E"/>
    <w:rsid w:val="00F1268F"/>
    <w:rsid w:val="00F1319F"/>
    <w:rsid w:val="00F13968"/>
    <w:rsid w:val="00F13E67"/>
    <w:rsid w:val="00F13F7D"/>
    <w:rsid w:val="00F143E0"/>
    <w:rsid w:val="00F14655"/>
    <w:rsid w:val="00F14BD0"/>
    <w:rsid w:val="00F14DA7"/>
    <w:rsid w:val="00F15472"/>
    <w:rsid w:val="00F156C6"/>
    <w:rsid w:val="00F15788"/>
    <w:rsid w:val="00F15D77"/>
    <w:rsid w:val="00F168C5"/>
    <w:rsid w:val="00F16F5D"/>
    <w:rsid w:val="00F178A9"/>
    <w:rsid w:val="00F1796E"/>
    <w:rsid w:val="00F17A43"/>
    <w:rsid w:val="00F20120"/>
    <w:rsid w:val="00F207AA"/>
    <w:rsid w:val="00F20CA1"/>
    <w:rsid w:val="00F21031"/>
    <w:rsid w:val="00F214B9"/>
    <w:rsid w:val="00F21E07"/>
    <w:rsid w:val="00F22050"/>
    <w:rsid w:val="00F22207"/>
    <w:rsid w:val="00F2232F"/>
    <w:rsid w:val="00F22565"/>
    <w:rsid w:val="00F22B7B"/>
    <w:rsid w:val="00F23201"/>
    <w:rsid w:val="00F23207"/>
    <w:rsid w:val="00F23266"/>
    <w:rsid w:val="00F23410"/>
    <w:rsid w:val="00F23C5C"/>
    <w:rsid w:val="00F25106"/>
    <w:rsid w:val="00F26A81"/>
    <w:rsid w:val="00F26DAC"/>
    <w:rsid w:val="00F279F2"/>
    <w:rsid w:val="00F27C03"/>
    <w:rsid w:val="00F27EEB"/>
    <w:rsid w:val="00F3015D"/>
    <w:rsid w:val="00F30164"/>
    <w:rsid w:val="00F3039A"/>
    <w:rsid w:val="00F30CDE"/>
    <w:rsid w:val="00F30F6B"/>
    <w:rsid w:val="00F314FC"/>
    <w:rsid w:val="00F31671"/>
    <w:rsid w:val="00F319E4"/>
    <w:rsid w:val="00F31C14"/>
    <w:rsid w:val="00F31E4F"/>
    <w:rsid w:val="00F32358"/>
    <w:rsid w:val="00F3354F"/>
    <w:rsid w:val="00F34442"/>
    <w:rsid w:val="00F35C58"/>
    <w:rsid w:val="00F35D6C"/>
    <w:rsid w:val="00F35F6D"/>
    <w:rsid w:val="00F360DF"/>
    <w:rsid w:val="00F364BA"/>
    <w:rsid w:val="00F36A92"/>
    <w:rsid w:val="00F36F9E"/>
    <w:rsid w:val="00F37411"/>
    <w:rsid w:val="00F3769A"/>
    <w:rsid w:val="00F378D9"/>
    <w:rsid w:val="00F37FF5"/>
    <w:rsid w:val="00F40544"/>
    <w:rsid w:val="00F40C1B"/>
    <w:rsid w:val="00F40C25"/>
    <w:rsid w:val="00F41291"/>
    <w:rsid w:val="00F412E5"/>
    <w:rsid w:val="00F41B60"/>
    <w:rsid w:val="00F41E6B"/>
    <w:rsid w:val="00F421C8"/>
    <w:rsid w:val="00F429DA"/>
    <w:rsid w:val="00F42AD7"/>
    <w:rsid w:val="00F42E52"/>
    <w:rsid w:val="00F4328A"/>
    <w:rsid w:val="00F4378E"/>
    <w:rsid w:val="00F438A2"/>
    <w:rsid w:val="00F43C47"/>
    <w:rsid w:val="00F43D9A"/>
    <w:rsid w:val="00F43D9D"/>
    <w:rsid w:val="00F44480"/>
    <w:rsid w:val="00F447B8"/>
    <w:rsid w:val="00F44F01"/>
    <w:rsid w:val="00F450E8"/>
    <w:rsid w:val="00F4547D"/>
    <w:rsid w:val="00F458C4"/>
    <w:rsid w:val="00F4594B"/>
    <w:rsid w:val="00F45DA8"/>
    <w:rsid w:val="00F4641E"/>
    <w:rsid w:val="00F46A68"/>
    <w:rsid w:val="00F47305"/>
    <w:rsid w:val="00F47482"/>
    <w:rsid w:val="00F475C1"/>
    <w:rsid w:val="00F47A6B"/>
    <w:rsid w:val="00F5041E"/>
    <w:rsid w:val="00F5089B"/>
    <w:rsid w:val="00F5099E"/>
    <w:rsid w:val="00F50E9D"/>
    <w:rsid w:val="00F50F0A"/>
    <w:rsid w:val="00F517C7"/>
    <w:rsid w:val="00F51861"/>
    <w:rsid w:val="00F51C91"/>
    <w:rsid w:val="00F521EF"/>
    <w:rsid w:val="00F5263B"/>
    <w:rsid w:val="00F532B7"/>
    <w:rsid w:val="00F53A9B"/>
    <w:rsid w:val="00F53FA1"/>
    <w:rsid w:val="00F54069"/>
    <w:rsid w:val="00F542EE"/>
    <w:rsid w:val="00F545A7"/>
    <w:rsid w:val="00F54978"/>
    <w:rsid w:val="00F556B6"/>
    <w:rsid w:val="00F5627E"/>
    <w:rsid w:val="00F56296"/>
    <w:rsid w:val="00F56CD4"/>
    <w:rsid w:val="00F57173"/>
    <w:rsid w:val="00F5753D"/>
    <w:rsid w:val="00F575D2"/>
    <w:rsid w:val="00F601B8"/>
    <w:rsid w:val="00F6027A"/>
    <w:rsid w:val="00F602E7"/>
    <w:rsid w:val="00F603CE"/>
    <w:rsid w:val="00F60990"/>
    <w:rsid w:val="00F60ABC"/>
    <w:rsid w:val="00F60B62"/>
    <w:rsid w:val="00F611BB"/>
    <w:rsid w:val="00F61211"/>
    <w:rsid w:val="00F614E2"/>
    <w:rsid w:val="00F6178C"/>
    <w:rsid w:val="00F61AC0"/>
    <w:rsid w:val="00F62BC7"/>
    <w:rsid w:val="00F62C89"/>
    <w:rsid w:val="00F62EF7"/>
    <w:rsid w:val="00F62F21"/>
    <w:rsid w:val="00F63BD6"/>
    <w:rsid w:val="00F64C9D"/>
    <w:rsid w:val="00F65393"/>
    <w:rsid w:val="00F6565A"/>
    <w:rsid w:val="00F659C2"/>
    <w:rsid w:val="00F65D0F"/>
    <w:rsid w:val="00F66673"/>
    <w:rsid w:val="00F6669A"/>
    <w:rsid w:val="00F66EDC"/>
    <w:rsid w:val="00F67173"/>
    <w:rsid w:val="00F67F4C"/>
    <w:rsid w:val="00F70228"/>
    <w:rsid w:val="00F70A11"/>
    <w:rsid w:val="00F70ACC"/>
    <w:rsid w:val="00F720FB"/>
    <w:rsid w:val="00F727F3"/>
    <w:rsid w:val="00F7390F"/>
    <w:rsid w:val="00F74670"/>
    <w:rsid w:val="00F74812"/>
    <w:rsid w:val="00F74A8D"/>
    <w:rsid w:val="00F75073"/>
    <w:rsid w:val="00F753CA"/>
    <w:rsid w:val="00F755E8"/>
    <w:rsid w:val="00F75E3A"/>
    <w:rsid w:val="00F761EC"/>
    <w:rsid w:val="00F76E90"/>
    <w:rsid w:val="00F770C1"/>
    <w:rsid w:val="00F771B4"/>
    <w:rsid w:val="00F77AEE"/>
    <w:rsid w:val="00F77C54"/>
    <w:rsid w:val="00F77EA7"/>
    <w:rsid w:val="00F80265"/>
    <w:rsid w:val="00F80A65"/>
    <w:rsid w:val="00F81E16"/>
    <w:rsid w:val="00F81E20"/>
    <w:rsid w:val="00F81F83"/>
    <w:rsid w:val="00F8219D"/>
    <w:rsid w:val="00F82221"/>
    <w:rsid w:val="00F82957"/>
    <w:rsid w:val="00F834F5"/>
    <w:rsid w:val="00F84382"/>
    <w:rsid w:val="00F843D3"/>
    <w:rsid w:val="00F84FBC"/>
    <w:rsid w:val="00F850C6"/>
    <w:rsid w:val="00F85BF7"/>
    <w:rsid w:val="00F85EF0"/>
    <w:rsid w:val="00F86736"/>
    <w:rsid w:val="00F86E76"/>
    <w:rsid w:val="00F87198"/>
    <w:rsid w:val="00F8744F"/>
    <w:rsid w:val="00F87D95"/>
    <w:rsid w:val="00F90355"/>
    <w:rsid w:val="00F905FF"/>
    <w:rsid w:val="00F90C9F"/>
    <w:rsid w:val="00F911E9"/>
    <w:rsid w:val="00F916C4"/>
    <w:rsid w:val="00F9222D"/>
    <w:rsid w:val="00F92405"/>
    <w:rsid w:val="00F93251"/>
    <w:rsid w:val="00F9353A"/>
    <w:rsid w:val="00F936BF"/>
    <w:rsid w:val="00F93AEA"/>
    <w:rsid w:val="00F943B9"/>
    <w:rsid w:val="00F948AC"/>
    <w:rsid w:val="00F94CE3"/>
    <w:rsid w:val="00F951C5"/>
    <w:rsid w:val="00F9537D"/>
    <w:rsid w:val="00F95457"/>
    <w:rsid w:val="00F9548B"/>
    <w:rsid w:val="00F95C8F"/>
    <w:rsid w:val="00F96433"/>
    <w:rsid w:val="00F968C9"/>
    <w:rsid w:val="00F97651"/>
    <w:rsid w:val="00F97847"/>
    <w:rsid w:val="00F97A16"/>
    <w:rsid w:val="00FA05C5"/>
    <w:rsid w:val="00FA06AC"/>
    <w:rsid w:val="00FA0BEF"/>
    <w:rsid w:val="00FA10F0"/>
    <w:rsid w:val="00FA164B"/>
    <w:rsid w:val="00FA1711"/>
    <w:rsid w:val="00FA1BC3"/>
    <w:rsid w:val="00FA2097"/>
    <w:rsid w:val="00FA277B"/>
    <w:rsid w:val="00FA2ACB"/>
    <w:rsid w:val="00FA2F8C"/>
    <w:rsid w:val="00FA3CF8"/>
    <w:rsid w:val="00FA3DD0"/>
    <w:rsid w:val="00FA45EB"/>
    <w:rsid w:val="00FA4826"/>
    <w:rsid w:val="00FA5034"/>
    <w:rsid w:val="00FA5B45"/>
    <w:rsid w:val="00FA5E4F"/>
    <w:rsid w:val="00FA6CBA"/>
    <w:rsid w:val="00FA7140"/>
    <w:rsid w:val="00FA755A"/>
    <w:rsid w:val="00FA758D"/>
    <w:rsid w:val="00FA7A34"/>
    <w:rsid w:val="00FA7E4F"/>
    <w:rsid w:val="00FA7FDF"/>
    <w:rsid w:val="00FB0618"/>
    <w:rsid w:val="00FB0D88"/>
    <w:rsid w:val="00FB11F2"/>
    <w:rsid w:val="00FB145F"/>
    <w:rsid w:val="00FB1479"/>
    <w:rsid w:val="00FB2437"/>
    <w:rsid w:val="00FB26BE"/>
    <w:rsid w:val="00FB2A87"/>
    <w:rsid w:val="00FB2BBB"/>
    <w:rsid w:val="00FB370B"/>
    <w:rsid w:val="00FB3768"/>
    <w:rsid w:val="00FB37BF"/>
    <w:rsid w:val="00FB4100"/>
    <w:rsid w:val="00FB4396"/>
    <w:rsid w:val="00FB4739"/>
    <w:rsid w:val="00FB4A93"/>
    <w:rsid w:val="00FB4C63"/>
    <w:rsid w:val="00FB5289"/>
    <w:rsid w:val="00FB5AE3"/>
    <w:rsid w:val="00FB5B49"/>
    <w:rsid w:val="00FB5BD5"/>
    <w:rsid w:val="00FB6749"/>
    <w:rsid w:val="00FB75F2"/>
    <w:rsid w:val="00FC078B"/>
    <w:rsid w:val="00FC0982"/>
    <w:rsid w:val="00FC0E89"/>
    <w:rsid w:val="00FC1035"/>
    <w:rsid w:val="00FC2501"/>
    <w:rsid w:val="00FC2EBA"/>
    <w:rsid w:val="00FC310F"/>
    <w:rsid w:val="00FC32AD"/>
    <w:rsid w:val="00FC43C6"/>
    <w:rsid w:val="00FC4414"/>
    <w:rsid w:val="00FC491D"/>
    <w:rsid w:val="00FC4E07"/>
    <w:rsid w:val="00FC4E74"/>
    <w:rsid w:val="00FC59F7"/>
    <w:rsid w:val="00FC5B57"/>
    <w:rsid w:val="00FC5BF1"/>
    <w:rsid w:val="00FC63AF"/>
    <w:rsid w:val="00FC6E8D"/>
    <w:rsid w:val="00FC6ED4"/>
    <w:rsid w:val="00FC710A"/>
    <w:rsid w:val="00FD00A4"/>
    <w:rsid w:val="00FD025C"/>
    <w:rsid w:val="00FD09E7"/>
    <w:rsid w:val="00FD0B81"/>
    <w:rsid w:val="00FD0C05"/>
    <w:rsid w:val="00FD0C11"/>
    <w:rsid w:val="00FD14DD"/>
    <w:rsid w:val="00FD30B1"/>
    <w:rsid w:val="00FD3181"/>
    <w:rsid w:val="00FD3323"/>
    <w:rsid w:val="00FD37C8"/>
    <w:rsid w:val="00FD39B6"/>
    <w:rsid w:val="00FD47D9"/>
    <w:rsid w:val="00FD490A"/>
    <w:rsid w:val="00FD49F5"/>
    <w:rsid w:val="00FD4D34"/>
    <w:rsid w:val="00FD519B"/>
    <w:rsid w:val="00FD5255"/>
    <w:rsid w:val="00FD55B1"/>
    <w:rsid w:val="00FD56E6"/>
    <w:rsid w:val="00FD5B03"/>
    <w:rsid w:val="00FD5D9B"/>
    <w:rsid w:val="00FD6192"/>
    <w:rsid w:val="00FD647A"/>
    <w:rsid w:val="00FD680B"/>
    <w:rsid w:val="00FD6DDA"/>
    <w:rsid w:val="00FD756E"/>
    <w:rsid w:val="00FD78D8"/>
    <w:rsid w:val="00FD7B03"/>
    <w:rsid w:val="00FD7BB3"/>
    <w:rsid w:val="00FD7BD9"/>
    <w:rsid w:val="00FE0222"/>
    <w:rsid w:val="00FE0E95"/>
    <w:rsid w:val="00FE1203"/>
    <w:rsid w:val="00FE2CA0"/>
    <w:rsid w:val="00FE2D7B"/>
    <w:rsid w:val="00FE2FCC"/>
    <w:rsid w:val="00FE321F"/>
    <w:rsid w:val="00FE33CF"/>
    <w:rsid w:val="00FE4106"/>
    <w:rsid w:val="00FE4152"/>
    <w:rsid w:val="00FE4F69"/>
    <w:rsid w:val="00FE58A0"/>
    <w:rsid w:val="00FE59E4"/>
    <w:rsid w:val="00FE5C65"/>
    <w:rsid w:val="00FE6309"/>
    <w:rsid w:val="00FE698A"/>
    <w:rsid w:val="00FE739E"/>
    <w:rsid w:val="00FE7498"/>
    <w:rsid w:val="00FE768F"/>
    <w:rsid w:val="00FE76F9"/>
    <w:rsid w:val="00FE7A87"/>
    <w:rsid w:val="00FF015F"/>
    <w:rsid w:val="00FF022F"/>
    <w:rsid w:val="00FF08C7"/>
    <w:rsid w:val="00FF0C9A"/>
    <w:rsid w:val="00FF12F0"/>
    <w:rsid w:val="00FF14AC"/>
    <w:rsid w:val="00FF1F4A"/>
    <w:rsid w:val="00FF1F6D"/>
    <w:rsid w:val="00FF21FB"/>
    <w:rsid w:val="00FF23D0"/>
    <w:rsid w:val="00FF24EF"/>
    <w:rsid w:val="00FF2649"/>
    <w:rsid w:val="00FF2D99"/>
    <w:rsid w:val="00FF3601"/>
    <w:rsid w:val="00FF3681"/>
    <w:rsid w:val="00FF3D2F"/>
    <w:rsid w:val="00FF3DE3"/>
    <w:rsid w:val="00FF401E"/>
    <w:rsid w:val="00FF409A"/>
    <w:rsid w:val="00FF442F"/>
    <w:rsid w:val="00FF47A8"/>
    <w:rsid w:val="00FF4B19"/>
    <w:rsid w:val="00FF5C6C"/>
    <w:rsid w:val="00FF5CC5"/>
    <w:rsid w:val="00FF6318"/>
    <w:rsid w:val="00FF6351"/>
    <w:rsid w:val="00FF637F"/>
    <w:rsid w:val="00FF6671"/>
    <w:rsid w:val="00FF67BA"/>
    <w:rsid w:val="00FF6810"/>
    <w:rsid w:val="00FF6A03"/>
    <w:rsid w:val="00FF6B04"/>
    <w:rsid w:val="00FF7346"/>
    <w:rsid w:val="00FF734C"/>
    <w:rsid w:val="00FF78D3"/>
    <w:rsid w:val="00FF7FC8"/>
    <w:rsid w:val="350400FB"/>
    <w:rsid w:val="39B39CCF"/>
    <w:rsid w:val="55E4DB6A"/>
    <w:rsid w:val="55E62DE8"/>
    <w:rsid w:val="57553E17"/>
    <w:rsid w:val="5B5B2E76"/>
    <w:rsid w:val="6185E03C"/>
    <w:rsid w:val="6C3A2E54"/>
    <w:rsid w:val="7FD8BEA1"/>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D4B02B"/>
  <w15:chartTrackingRefBased/>
  <w15:docId w15:val="{9A5F80FA-7921-4365-BE59-058B036AA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6661D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B04E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A77106"/>
    <w:pPr>
      <w:keepNext/>
      <w:keepLines/>
      <w:spacing w:before="160" w:after="80" w:line="278" w:lineRule="auto"/>
      <w:outlineLvl w:val="2"/>
    </w:pPr>
    <w:rPr>
      <w:rFonts w:eastAsiaTheme="majorEastAsia" w:cstheme="majorBidi"/>
      <w:color w:val="2F5496" w:themeColor="accent1" w:themeShade="BF"/>
      <w:kern w:val="2"/>
      <w:sz w:val="28"/>
      <w:szCs w:val="28"/>
      <w:lang w:eastAsia="en-US"/>
      <w14:ligatures w14:val="standardContextual"/>
    </w:rPr>
  </w:style>
  <w:style w:type="paragraph" w:styleId="Ttulo4">
    <w:name w:val="heading 4"/>
    <w:basedOn w:val="Normal"/>
    <w:next w:val="Normal"/>
    <w:link w:val="Ttulo4Car"/>
    <w:uiPriority w:val="9"/>
    <w:semiHidden/>
    <w:unhideWhenUsed/>
    <w:qFormat/>
    <w:rsid w:val="00A77106"/>
    <w:pPr>
      <w:keepNext/>
      <w:keepLines/>
      <w:spacing w:before="80" w:after="40" w:line="278" w:lineRule="auto"/>
      <w:outlineLvl w:val="3"/>
    </w:pPr>
    <w:rPr>
      <w:rFonts w:eastAsiaTheme="majorEastAsia" w:cstheme="majorBidi"/>
      <w:i/>
      <w:iCs/>
      <w:color w:val="2F5496" w:themeColor="accent1" w:themeShade="BF"/>
      <w:kern w:val="2"/>
      <w:sz w:val="24"/>
      <w:szCs w:val="24"/>
      <w:lang w:eastAsia="en-US"/>
      <w14:ligatures w14:val="standardContextual"/>
    </w:rPr>
  </w:style>
  <w:style w:type="paragraph" w:styleId="Ttulo5">
    <w:name w:val="heading 5"/>
    <w:basedOn w:val="Normal"/>
    <w:next w:val="Normal"/>
    <w:link w:val="Ttulo5Car"/>
    <w:uiPriority w:val="9"/>
    <w:semiHidden/>
    <w:unhideWhenUsed/>
    <w:qFormat/>
    <w:rsid w:val="00A77106"/>
    <w:pPr>
      <w:keepNext/>
      <w:keepLines/>
      <w:spacing w:before="80" w:after="40" w:line="278" w:lineRule="auto"/>
      <w:outlineLvl w:val="4"/>
    </w:pPr>
    <w:rPr>
      <w:rFonts w:eastAsiaTheme="majorEastAsia" w:cstheme="majorBidi"/>
      <w:color w:val="2F5496" w:themeColor="accent1" w:themeShade="BF"/>
      <w:kern w:val="2"/>
      <w:sz w:val="24"/>
      <w:szCs w:val="24"/>
      <w:lang w:eastAsia="en-US"/>
      <w14:ligatures w14:val="standardContextual"/>
    </w:rPr>
  </w:style>
  <w:style w:type="paragraph" w:styleId="Ttulo6">
    <w:name w:val="heading 6"/>
    <w:basedOn w:val="Normal"/>
    <w:next w:val="Normal"/>
    <w:link w:val="Ttulo6Car"/>
    <w:uiPriority w:val="9"/>
    <w:semiHidden/>
    <w:unhideWhenUsed/>
    <w:qFormat/>
    <w:rsid w:val="00A77106"/>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ar"/>
    <w:uiPriority w:val="9"/>
    <w:semiHidden/>
    <w:unhideWhenUsed/>
    <w:qFormat/>
    <w:rsid w:val="00A77106"/>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ar"/>
    <w:uiPriority w:val="9"/>
    <w:semiHidden/>
    <w:unhideWhenUsed/>
    <w:qFormat/>
    <w:rsid w:val="00A77106"/>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ar"/>
    <w:uiPriority w:val="9"/>
    <w:semiHidden/>
    <w:unhideWhenUsed/>
    <w:qFormat/>
    <w:rsid w:val="00A77106"/>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30EA2"/>
    <w:pPr>
      <w:ind w:left="720"/>
      <w:contextualSpacing/>
    </w:pPr>
  </w:style>
  <w:style w:type="paragraph" w:styleId="Encabezado">
    <w:name w:val="header"/>
    <w:basedOn w:val="Normal"/>
    <w:link w:val="EncabezadoCar"/>
    <w:uiPriority w:val="99"/>
    <w:unhideWhenUsed/>
    <w:rsid w:val="00963E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3E0A"/>
    <w:rPr>
      <w:lang w:val="en-GB"/>
    </w:rPr>
  </w:style>
  <w:style w:type="paragraph" w:styleId="Piedepgina">
    <w:name w:val="footer"/>
    <w:basedOn w:val="Normal"/>
    <w:link w:val="PiedepginaCar"/>
    <w:uiPriority w:val="99"/>
    <w:unhideWhenUsed/>
    <w:rsid w:val="00963E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3E0A"/>
    <w:rPr>
      <w:lang w:val="en-GB"/>
    </w:rPr>
  </w:style>
  <w:style w:type="character" w:styleId="Textodelmarcadordeposicin">
    <w:name w:val="Placeholder Text"/>
    <w:basedOn w:val="Fuentedeprrafopredeter"/>
    <w:uiPriority w:val="99"/>
    <w:semiHidden/>
    <w:rsid w:val="00DA2745"/>
    <w:rPr>
      <w:color w:val="808080"/>
    </w:rPr>
  </w:style>
  <w:style w:type="paragraph" w:customStyle="1" w:styleId="Els-Affiliation">
    <w:name w:val="Els-Affiliation"/>
    <w:rsid w:val="006661DC"/>
    <w:pPr>
      <w:suppressAutoHyphens/>
      <w:spacing w:after="0" w:line="240" w:lineRule="exact"/>
    </w:pPr>
    <w:rPr>
      <w:rFonts w:ascii="Times New Roman" w:eastAsia="Times New Roman" w:hAnsi="Times New Roman" w:cs="Times New Roman"/>
      <w:i/>
      <w:noProof/>
      <w:sz w:val="20"/>
      <w:szCs w:val="20"/>
      <w:lang w:val="en-GB" w:eastAsia="en-US"/>
    </w:rPr>
  </w:style>
  <w:style w:type="character" w:styleId="Hipervnculo">
    <w:name w:val="Hyperlink"/>
    <w:basedOn w:val="Fuentedeprrafopredeter"/>
    <w:uiPriority w:val="99"/>
    <w:unhideWhenUsed/>
    <w:rsid w:val="006661DC"/>
    <w:rPr>
      <w:color w:val="0563C1" w:themeColor="hyperlink"/>
      <w:u w:val="single"/>
    </w:rPr>
  </w:style>
  <w:style w:type="paragraph" w:styleId="TDC1">
    <w:name w:val="toc 1"/>
    <w:basedOn w:val="Normal"/>
    <w:next w:val="Normal"/>
    <w:autoRedefine/>
    <w:uiPriority w:val="39"/>
    <w:unhideWhenUsed/>
    <w:rsid w:val="00DC2A2C"/>
    <w:pPr>
      <w:tabs>
        <w:tab w:val="right" w:leader="dot" w:pos="8494"/>
      </w:tabs>
      <w:spacing w:before="240" w:after="100"/>
    </w:pPr>
    <w:rPr>
      <w:rFonts w:cstheme="minorHAnsi"/>
      <w:noProof/>
    </w:rPr>
  </w:style>
  <w:style w:type="paragraph" w:styleId="TDC2">
    <w:name w:val="toc 2"/>
    <w:basedOn w:val="Normal"/>
    <w:next w:val="Normal"/>
    <w:autoRedefine/>
    <w:uiPriority w:val="39"/>
    <w:unhideWhenUsed/>
    <w:rsid w:val="00CF260D"/>
    <w:pPr>
      <w:tabs>
        <w:tab w:val="right" w:leader="dot" w:pos="8494"/>
      </w:tabs>
      <w:spacing w:after="100"/>
      <w:ind w:left="220"/>
    </w:pPr>
    <w:rPr>
      <w:noProof/>
    </w:rPr>
  </w:style>
  <w:style w:type="paragraph" w:styleId="TDC3">
    <w:name w:val="toc 3"/>
    <w:basedOn w:val="Normal"/>
    <w:next w:val="Normal"/>
    <w:autoRedefine/>
    <w:uiPriority w:val="39"/>
    <w:unhideWhenUsed/>
    <w:rsid w:val="006661DC"/>
    <w:pPr>
      <w:spacing w:after="100"/>
      <w:ind w:left="440"/>
    </w:pPr>
  </w:style>
  <w:style w:type="character" w:customStyle="1" w:styleId="Ttulo1Car">
    <w:name w:val="Título 1 Car"/>
    <w:basedOn w:val="Fuentedeprrafopredeter"/>
    <w:link w:val="Ttulo1"/>
    <w:uiPriority w:val="9"/>
    <w:rsid w:val="006661DC"/>
    <w:rPr>
      <w:rFonts w:asciiTheme="majorHAnsi" w:eastAsiaTheme="majorEastAsia" w:hAnsiTheme="majorHAnsi" w:cstheme="majorBidi"/>
      <w:color w:val="2F5496" w:themeColor="accent1" w:themeShade="BF"/>
      <w:sz w:val="32"/>
      <w:szCs w:val="32"/>
      <w:lang w:val="en-GB"/>
    </w:rPr>
  </w:style>
  <w:style w:type="paragraph" w:styleId="TtuloTDC">
    <w:name w:val="TOC Heading"/>
    <w:basedOn w:val="Ttulo1"/>
    <w:next w:val="Normal"/>
    <w:uiPriority w:val="39"/>
    <w:unhideWhenUsed/>
    <w:qFormat/>
    <w:rsid w:val="006661DC"/>
    <w:pPr>
      <w:outlineLvl w:val="9"/>
    </w:pPr>
    <w:rPr>
      <w:lang w:val="es-ES"/>
    </w:rPr>
  </w:style>
  <w:style w:type="character" w:customStyle="1" w:styleId="Ttulo2Car">
    <w:name w:val="Título 2 Car"/>
    <w:basedOn w:val="Fuentedeprrafopredeter"/>
    <w:link w:val="Ttulo2"/>
    <w:uiPriority w:val="9"/>
    <w:rsid w:val="00B04EEA"/>
    <w:rPr>
      <w:rFonts w:asciiTheme="majorHAnsi" w:eastAsiaTheme="majorEastAsia" w:hAnsiTheme="majorHAnsi" w:cstheme="majorBidi"/>
      <w:color w:val="2F5496" w:themeColor="accent1" w:themeShade="BF"/>
      <w:sz w:val="26"/>
      <w:szCs w:val="26"/>
      <w:lang w:val="en-GB"/>
    </w:rPr>
  </w:style>
  <w:style w:type="paragraph" w:styleId="Revisin">
    <w:name w:val="Revision"/>
    <w:hidden/>
    <w:uiPriority w:val="99"/>
    <w:semiHidden/>
    <w:rsid w:val="000D35DE"/>
    <w:pPr>
      <w:spacing w:after="0" w:line="240" w:lineRule="auto"/>
    </w:pPr>
    <w:rPr>
      <w:lang w:val="en-US"/>
    </w:rPr>
  </w:style>
  <w:style w:type="character" w:styleId="Hipervnculovisitado">
    <w:name w:val="FollowedHyperlink"/>
    <w:basedOn w:val="Fuentedeprrafopredeter"/>
    <w:uiPriority w:val="99"/>
    <w:semiHidden/>
    <w:unhideWhenUsed/>
    <w:rsid w:val="009B54F2"/>
    <w:rPr>
      <w:color w:val="954F72" w:themeColor="followedHyperlink"/>
      <w:u w:val="single"/>
    </w:rPr>
  </w:style>
  <w:style w:type="character" w:styleId="Refdecomentario">
    <w:name w:val="annotation reference"/>
    <w:basedOn w:val="Fuentedeprrafopredeter"/>
    <w:uiPriority w:val="99"/>
    <w:semiHidden/>
    <w:unhideWhenUsed/>
    <w:rsid w:val="003C57C5"/>
    <w:rPr>
      <w:sz w:val="16"/>
      <w:szCs w:val="16"/>
    </w:rPr>
  </w:style>
  <w:style w:type="paragraph" w:styleId="Textocomentario">
    <w:name w:val="annotation text"/>
    <w:basedOn w:val="Normal"/>
    <w:link w:val="TextocomentarioCar"/>
    <w:uiPriority w:val="99"/>
    <w:unhideWhenUsed/>
    <w:rsid w:val="003C57C5"/>
    <w:pPr>
      <w:spacing w:line="240" w:lineRule="auto"/>
    </w:pPr>
    <w:rPr>
      <w:sz w:val="20"/>
      <w:szCs w:val="20"/>
    </w:rPr>
  </w:style>
  <w:style w:type="character" w:customStyle="1" w:styleId="TextocomentarioCar">
    <w:name w:val="Texto comentario Car"/>
    <w:basedOn w:val="Fuentedeprrafopredeter"/>
    <w:link w:val="Textocomentario"/>
    <w:uiPriority w:val="99"/>
    <w:rsid w:val="003C57C5"/>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3C57C5"/>
    <w:rPr>
      <w:b/>
      <w:bCs/>
    </w:rPr>
  </w:style>
  <w:style w:type="character" w:customStyle="1" w:styleId="AsuntodelcomentarioCar">
    <w:name w:val="Asunto del comentario Car"/>
    <w:basedOn w:val="TextocomentarioCar"/>
    <w:link w:val="Asuntodelcomentario"/>
    <w:uiPriority w:val="99"/>
    <w:semiHidden/>
    <w:rsid w:val="003C57C5"/>
    <w:rPr>
      <w:b/>
      <w:bCs/>
      <w:sz w:val="20"/>
      <w:szCs w:val="20"/>
      <w:lang w:val="en-US"/>
    </w:rPr>
  </w:style>
  <w:style w:type="character" w:customStyle="1" w:styleId="cf01">
    <w:name w:val="cf01"/>
    <w:basedOn w:val="Fuentedeprrafopredeter"/>
    <w:rsid w:val="007B100B"/>
    <w:rPr>
      <w:rFonts w:ascii="Segoe UI" w:hAnsi="Segoe UI" w:cs="Segoe UI" w:hint="default"/>
      <w:sz w:val="18"/>
      <w:szCs w:val="18"/>
      <w:shd w:val="clear" w:color="auto" w:fill="FFFF00"/>
    </w:rPr>
  </w:style>
  <w:style w:type="paragraph" w:styleId="Ttulo">
    <w:name w:val="Title"/>
    <w:basedOn w:val="Normal"/>
    <w:next w:val="Normal"/>
    <w:link w:val="TtuloCar"/>
    <w:uiPriority w:val="10"/>
    <w:qFormat/>
    <w:rsid w:val="008D40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D4019"/>
    <w:rPr>
      <w:rFonts w:asciiTheme="majorHAnsi" w:eastAsiaTheme="majorEastAsia" w:hAnsiTheme="majorHAnsi" w:cstheme="majorBidi"/>
      <w:spacing w:val="-10"/>
      <w:kern w:val="28"/>
      <w:sz w:val="56"/>
      <w:szCs w:val="56"/>
      <w:lang w:val="en-US"/>
    </w:rPr>
  </w:style>
  <w:style w:type="character" w:styleId="Nmerodelnea">
    <w:name w:val="line number"/>
    <w:basedOn w:val="Fuentedeprrafopredeter"/>
    <w:uiPriority w:val="99"/>
    <w:semiHidden/>
    <w:unhideWhenUsed/>
    <w:rsid w:val="008D4019"/>
  </w:style>
  <w:style w:type="character" w:styleId="Mencinsinresolver">
    <w:name w:val="Unresolved Mention"/>
    <w:basedOn w:val="Fuentedeprrafopredeter"/>
    <w:uiPriority w:val="99"/>
    <w:semiHidden/>
    <w:unhideWhenUsed/>
    <w:rsid w:val="008D4019"/>
    <w:rPr>
      <w:color w:val="605E5C"/>
      <w:shd w:val="clear" w:color="auto" w:fill="E1DFDD"/>
    </w:rPr>
  </w:style>
  <w:style w:type="table" w:styleId="Tablaconcuadrcula">
    <w:name w:val="Table Grid"/>
    <w:basedOn w:val="Tablanormal"/>
    <w:uiPriority w:val="39"/>
    <w:rsid w:val="008D4019"/>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onar">
    <w:name w:val="Mention"/>
    <w:basedOn w:val="Fuentedeprrafopredeter"/>
    <w:uiPriority w:val="99"/>
    <w:unhideWhenUsed/>
    <w:rsid w:val="00EE7D4B"/>
    <w:rPr>
      <w:color w:val="2B579A"/>
      <w:shd w:val="clear" w:color="auto" w:fill="E1DFDD"/>
    </w:rPr>
  </w:style>
  <w:style w:type="table" w:styleId="Tabladelista6concolores">
    <w:name w:val="List Table 6 Colorful"/>
    <w:basedOn w:val="Tablanormal"/>
    <w:uiPriority w:val="51"/>
    <w:rsid w:val="00A65754"/>
    <w:pPr>
      <w:spacing w:after="0" w:line="240" w:lineRule="auto"/>
    </w:pPr>
    <w:rPr>
      <w:rFonts w:ascii="Calibri" w:eastAsia="Calibri" w:hAnsi="Calibri" w:cs="Calibri"/>
      <w:color w:val="000000" w:themeColor="text1"/>
      <w:lang w:val="en-GB" w:eastAsia="it-IT"/>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f0">
    <w:name w:val="pf0"/>
    <w:basedOn w:val="Normal"/>
    <w:rsid w:val="00207FA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tulo3Car">
    <w:name w:val="Título 3 Car"/>
    <w:basedOn w:val="Fuentedeprrafopredeter"/>
    <w:link w:val="Ttulo3"/>
    <w:uiPriority w:val="9"/>
    <w:semiHidden/>
    <w:rsid w:val="00A77106"/>
    <w:rPr>
      <w:rFonts w:eastAsiaTheme="majorEastAsia" w:cstheme="majorBidi"/>
      <w:color w:val="2F5496" w:themeColor="accent1" w:themeShade="BF"/>
      <w:kern w:val="2"/>
      <w:sz w:val="28"/>
      <w:szCs w:val="28"/>
      <w:lang w:val="en-US" w:eastAsia="en-US"/>
      <w14:ligatures w14:val="standardContextual"/>
    </w:rPr>
  </w:style>
  <w:style w:type="character" w:customStyle="1" w:styleId="Ttulo4Car">
    <w:name w:val="Título 4 Car"/>
    <w:basedOn w:val="Fuentedeprrafopredeter"/>
    <w:link w:val="Ttulo4"/>
    <w:uiPriority w:val="9"/>
    <w:semiHidden/>
    <w:rsid w:val="00A77106"/>
    <w:rPr>
      <w:rFonts w:eastAsiaTheme="majorEastAsia" w:cstheme="majorBidi"/>
      <w:i/>
      <w:iCs/>
      <w:color w:val="2F5496" w:themeColor="accent1" w:themeShade="BF"/>
      <w:kern w:val="2"/>
      <w:sz w:val="24"/>
      <w:szCs w:val="24"/>
      <w:lang w:val="en-US" w:eastAsia="en-US"/>
      <w14:ligatures w14:val="standardContextual"/>
    </w:rPr>
  </w:style>
  <w:style w:type="character" w:customStyle="1" w:styleId="Ttulo5Car">
    <w:name w:val="Título 5 Car"/>
    <w:basedOn w:val="Fuentedeprrafopredeter"/>
    <w:link w:val="Ttulo5"/>
    <w:uiPriority w:val="9"/>
    <w:semiHidden/>
    <w:rsid w:val="00A77106"/>
    <w:rPr>
      <w:rFonts w:eastAsiaTheme="majorEastAsia" w:cstheme="majorBidi"/>
      <w:color w:val="2F5496" w:themeColor="accent1" w:themeShade="BF"/>
      <w:kern w:val="2"/>
      <w:sz w:val="24"/>
      <w:szCs w:val="24"/>
      <w:lang w:val="en-US" w:eastAsia="en-US"/>
      <w14:ligatures w14:val="standardContextual"/>
    </w:rPr>
  </w:style>
  <w:style w:type="character" w:customStyle="1" w:styleId="Ttulo6Car">
    <w:name w:val="Título 6 Car"/>
    <w:basedOn w:val="Fuentedeprrafopredeter"/>
    <w:link w:val="Ttulo6"/>
    <w:uiPriority w:val="9"/>
    <w:semiHidden/>
    <w:rsid w:val="00A77106"/>
    <w:rPr>
      <w:rFonts w:eastAsiaTheme="majorEastAsia" w:cstheme="majorBidi"/>
      <w:i/>
      <w:iCs/>
      <w:color w:val="595959" w:themeColor="text1" w:themeTint="A6"/>
      <w:kern w:val="2"/>
      <w:sz w:val="24"/>
      <w:szCs w:val="24"/>
      <w:lang w:val="en-US" w:eastAsia="en-US"/>
      <w14:ligatures w14:val="standardContextual"/>
    </w:rPr>
  </w:style>
  <w:style w:type="character" w:customStyle="1" w:styleId="Ttulo7Car">
    <w:name w:val="Título 7 Car"/>
    <w:basedOn w:val="Fuentedeprrafopredeter"/>
    <w:link w:val="Ttulo7"/>
    <w:uiPriority w:val="9"/>
    <w:semiHidden/>
    <w:rsid w:val="00A77106"/>
    <w:rPr>
      <w:rFonts w:eastAsiaTheme="majorEastAsia" w:cstheme="majorBidi"/>
      <w:color w:val="595959" w:themeColor="text1" w:themeTint="A6"/>
      <w:kern w:val="2"/>
      <w:sz w:val="24"/>
      <w:szCs w:val="24"/>
      <w:lang w:val="en-US" w:eastAsia="en-US"/>
      <w14:ligatures w14:val="standardContextual"/>
    </w:rPr>
  </w:style>
  <w:style w:type="character" w:customStyle="1" w:styleId="Ttulo8Car">
    <w:name w:val="Título 8 Car"/>
    <w:basedOn w:val="Fuentedeprrafopredeter"/>
    <w:link w:val="Ttulo8"/>
    <w:uiPriority w:val="9"/>
    <w:semiHidden/>
    <w:rsid w:val="00A77106"/>
    <w:rPr>
      <w:rFonts w:eastAsiaTheme="majorEastAsia" w:cstheme="majorBidi"/>
      <w:i/>
      <w:iCs/>
      <w:color w:val="272727" w:themeColor="text1" w:themeTint="D8"/>
      <w:kern w:val="2"/>
      <w:sz w:val="24"/>
      <w:szCs w:val="24"/>
      <w:lang w:val="en-US" w:eastAsia="en-US"/>
      <w14:ligatures w14:val="standardContextual"/>
    </w:rPr>
  </w:style>
  <w:style w:type="character" w:customStyle="1" w:styleId="Ttulo9Car">
    <w:name w:val="Título 9 Car"/>
    <w:basedOn w:val="Fuentedeprrafopredeter"/>
    <w:link w:val="Ttulo9"/>
    <w:uiPriority w:val="9"/>
    <w:semiHidden/>
    <w:rsid w:val="00A77106"/>
    <w:rPr>
      <w:rFonts w:eastAsiaTheme="majorEastAsia" w:cstheme="majorBidi"/>
      <w:color w:val="272727" w:themeColor="text1" w:themeTint="D8"/>
      <w:kern w:val="2"/>
      <w:sz w:val="24"/>
      <w:szCs w:val="24"/>
      <w:lang w:val="en-US" w:eastAsia="en-US"/>
      <w14:ligatures w14:val="standardContextual"/>
    </w:rPr>
  </w:style>
  <w:style w:type="paragraph" w:styleId="Subttulo">
    <w:name w:val="Subtitle"/>
    <w:basedOn w:val="Normal"/>
    <w:next w:val="Normal"/>
    <w:link w:val="SubttuloCar"/>
    <w:uiPriority w:val="11"/>
    <w:qFormat/>
    <w:rsid w:val="00A77106"/>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tuloCar">
    <w:name w:val="Subtítulo Car"/>
    <w:basedOn w:val="Fuentedeprrafopredeter"/>
    <w:link w:val="Subttulo"/>
    <w:uiPriority w:val="11"/>
    <w:rsid w:val="00A77106"/>
    <w:rPr>
      <w:rFonts w:eastAsiaTheme="majorEastAsia" w:cstheme="majorBidi"/>
      <w:color w:val="595959" w:themeColor="text1" w:themeTint="A6"/>
      <w:spacing w:val="15"/>
      <w:kern w:val="2"/>
      <w:sz w:val="28"/>
      <w:szCs w:val="28"/>
      <w:lang w:val="en-US" w:eastAsia="en-US"/>
      <w14:ligatures w14:val="standardContextual"/>
    </w:rPr>
  </w:style>
  <w:style w:type="paragraph" w:styleId="Cita">
    <w:name w:val="Quote"/>
    <w:basedOn w:val="Normal"/>
    <w:next w:val="Normal"/>
    <w:link w:val="CitaCar"/>
    <w:uiPriority w:val="29"/>
    <w:qFormat/>
    <w:rsid w:val="00A77106"/>
    <w:pPr>
      <w:spacing w:before="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CitaCar">
    <w:name w:val="Cita Car"/>
    <w:basedOn w:val="Fuentedeprrafopredeter"/>
    <w:link w:val="Cita"/>
    <w:uiPriority w:val="29"/>
    <w:rsid w:val="00A77106"/>
    <w:rPr>
      <w:rFonts w:eastAsiaTheme="minorHAnsi"/>
      <w:i/>
      <w:iCs/>
      <w:color w:val="404040" w:themeColor="text1" w:themeTint="BF"/>
      <w:kern w:val="2"/>
      <w:sz w:val="24"/>
      <w:szCs w:val="24"/>
      <w:lang w:val="en-US" w:eastAsia="en-US"/>
      <w14:ligatures w14:val="standardContextual"/>
    </w:rPr>
  </w:style>
  <w:style w:type="character" w:styleId="nfasisintenso">
    <w:name w:val="Intense Emphasis"/>
    <w:basedOn w:val="Fuentedeprrafopredeter"/>
    <w:uiPriority w:val="21"/>
    <w:qFormat/>
    <w:rsid w:val="00A77106"/>
    <w:rPr>
      <w:i/>
      <w:iCs/>
      <w:color w:val="2F5496" w:themeColor="accent1" w:themeShade="BF"/>
    </w:rPr>
  </w:style>
  <w:style w:type="paragraph" w:styleId="Citadestacada">
    <w:name w:val="Intense Quote"/>
    <w:basedOn w:val="Normal"/>
    <w:next w:val="Normal"/>
    <w:link w:val="CitadestacadaCar"/>
    <w:uiPriority w:val="30"/>
    <w:qFormat/>
    <w:rsid w:val="00A7710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lang w:eastAsia="en-US"/>
      <w14:ligatures w14:val="standardContextual"/>
    </w:rPr>
  </w:style>
  <w:style w:type="character" w:customStyle="1" w:styleId="CitadestacadaCar">
    <w:name w:val="Cita destacada Car"/>
    <w:basedOn w:val="Fuentedeprrafopredeter"/>
    <w:link w:val="Citadestacada"/>
    <w:uiPriority w:val="30"/>
    <w:rsid w:val="00A77106"/>
    <w:rPr>
      <w:rFonts w:eastAsiaTheme="minorHAnsi"/>
      <w:i/>
      <w:iCs/>
      <w:color w:val="2F5496" w:themeColor="accent1" w:themeShade="BF"/>
      <w:kern w:val="2"/>
      <w:sz w:val="24"/>
      <w:szCs w:val="24"/>
      <w:lang w:val="en-US" w:eastAsia="en-US"/>
      <w14:ligatures w14:val="standardContextual"/>
    </w:rPr>
  </w:style>
  <w:style w:type="character" w:styleId="Referenciaintensa">
    <w:name w:val="Intense Reference"/>
    <w:basedOn w:val="Fuentedeprrafopredeter"/>
    <w:uiPriority w:val="32"/>
    <w:qFormat/>
    <w:rsid w:val="00A77106"/>
    <w:rPr>
      <w:b/>
      <w:bCs/>
      <w:smallCaps/>
      <w:color w:val="2F5496" w:themeColor="accent1" w:themeShade="BF"/>
      <w:spacing w:val="5"/>
    </w:rPr>
  </w:style>
  <w:style w:type="table" w:styleId="Tablanormal3">
    <w:name w:val="Plain Table 3"/>
    <w:basedOn w:val="Tablanormal"/>
    <w:uiPriority w:val="43"/>
    <w:rsid w:val="00A77106"/>
    <w:pPr>
      <w:spacing w:after="0" w:line="240" w:lineRule="auto"/>
    </w:pPr>
    <w:rPr>
      <w:rFonts w:eastAsiaTheme="minorHAnsi"/>
      <w:kern w:val="2"/>
      <w:sz w:val="24"/>
      <w:szCs w:val="24"/>
      <w:lang w:eastAsia="en-US"/>
      <w14:ligatures w14:val="standardContextua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2">
    <w:name w:val="Plain Table 2"/>
    <w:basedOn w:val="Tablanormal"/>
    <w:uiPriority w:val="42"/>
    <w:rsid w:val="00A77106"/>
    <w:pPr>
      <w:spacing w:after="0" w:line="240" w:lineRule="auto"/>
    </w:pPr>
    <w:rPr>
      <w:rFonts w:eastAsiaTheme="minorHAnsi"/>
      <w:kern w:val="2"/>
      <w:sz w:val="24"/>
      <w:szCs w:val="24"/>
      <w:lang w:eastAsia="en-US"/>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extonotaalfinal">
    <w:name w:val="endnote text"/>
    <w:basedOn w:val="Normal"/>
    <w:link w:val="TextonotaalfinalCar"/>
    <w:uiPriority w:val="99"/>
    <w:semiHidden/>
    <w:unhideWhenUsed/>
    <w:rsid w:val="00A7710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A77106"/>
    <w:rPr>
      <w:sz w:val="20"/>
      <w:szCs w:val="20"/>
      <w:lang w:val="en-US"/>
    </w:rPr>
  </w:style>
  <w:style w:type="character" w:styleId="Refdenotaalfinal">
    <w:name w:val="endnote reference"/>
    <w:basedOn w:val="Fuentedeprrafopredeter"/>
    <w:uiPriority w:val="99"/>
    <w:semiHidden/>
    <w:unhideWhenUsed/>
    <w:rsid w:val="00A77106"/>
    <w:rPr>
      <w:vertAlign w:val="superscript"/>
    </w:rPr>
  </w:style>
  <w:style w:type="paragraph" w:styleId="Textonotapie">
    <w:name w:val="footnote text"/>
    <w:basedOn w:val="Normal"/>
    <w:link w:val="TextonotapieCar"/>
    <w:uiPriority w:val="99"/>
    <w:semiHidden/>
    <w:unhideWhenUsed/>
    <w:rsid w:val="00A7710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77106"/>
    <w:rPr>
      <w:sz w:val="20"/>
      <w:szCs w:val="20"/>
      <w:lang w:val="en-US"/>
    </w:rPr>
  </w:style>
  <w:style w:type="character" w:styleId="Refdenotaalpie">
    <w:name w:val="footnote reference"/>
    <w:basedOn w:val="Fuentedeprrafopredeter"/>
    <w:uiPriority w:val="99"/>
    <w:semiHidden/>
    <w:unhideWhenUsed/>
    <w:rsid w:val="00A77106"/>
    <w:rPr>
      <w:vertAlign w:val="superscript"/>
    </w:rPr>
  </w:style>
  <w:style w:type="paragraph" w:styleId="Bibliografa">
    <w:name w:val="Bibliography"/>
    <w:basedOn w:val="Normal"/>
    <w:next w:val="Normal"/>
    <w:uiPriority w:val="37"/>
    <w:unhideWhenUsed/>
    <w:rsid w:val="0043212B"/>
    <w:pPr>
      <w:tabs>
        <w:tab w:val="left" w:pos="264"/>
      </w:tabs>
      <w:spacing w:after="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42312">
      <w:bodyDiv w:val="1"/>
      <w:marLeft w:val="0"/>
      <w:marRight w:val="0"/>
      <w:marTop w:val="0"/>
      <w:marBottom w:val="0"/>
      <w:divBdr>
        <w:top w:val="none" w:sz="0" w:space="0" w:color="auto"/>
        <w:left w:val="none" w:sz="0" w:space="0" w:color="auto"/>
        <w:bottom w:val="none" w:sz="0" w:space="0" w:color="auto"/>
        <w:right w:val="none" w:sz="0" w:space="0" w:color="auto"/>
      </w:divBdr>
    </w:div>
    <w:div w:id="210196382">
      <w:bodyDiv w:val="1"/>
      <w:marLeft w:val="0"/>
      <w:marRight w:val="0"/>
      <w:marTop w:val="0"/>
      <w:marBottom w:val="0"/>
      <w:divBdr>
        <w:top w:val="none" w:sz="0" w:space="0" w:color="auto"/>
        <w:left w:val="none" w:sz="0" w:space="0" w:color="auto"/>
        <w:bottom w:val="none" w:sz="0" w:space="0" w:color="auto"/>
        <w:right w:val="none" w:sz="0" w:space="0" w:color="auto"/>
      </w:divBdr>
    </w:div>
    <w:div w:id="638808979">
      <w:bodyDiv w:val="1"/>
      <w:marLeft w:val="0"/>
      <w:marRight w:val="0"/>
      <w:marTop w:val="0"/>
      <w:marBottom w:val="0"/>
      <w:divBdr>
        <w:top w:val="none" w:sz="0" w:space="0" w:color="auto"/>
        <w:left w:val="none" w:sz="0" w:space="0" w:color="auto"/>
        <w:bottom w:val="none" w:sz="0" w:space="0" w:color="auto"/>
        <w:right w:val="none" w:sz="0" w:space="0" w:color="auto"/>
      </w:divBdr>
    </w:div>
    <w:div w:id="948778467">
      <w:bodyDiv w:val="1"/>
      <w:marLeft w:val="0"/>
      <w:marRight w:val="0"/>
      <w:marTop w:val="0"/>
      <w:marBottom w:val="0"/>
      <w:divBdr>
        <w:top w:val="none" w:sz="0" w:space="0" w:color="auto"/>
        <w:left w:val="none" w:sz="0" w:space="0" w:color="auto"/>
        <w:bottom w:val="none" w:sz="0" w:space="0" w:color="auto"/>
        <w:right w:val="none" w:sz="0" w:space="0" w:color="auto"/>
      </w:divBdr>
    </w:div>
    <w:div w:id="1158418874">
      <w:bodyDiv w:val="1"/>
      <w:marLeft w:val="0"/>
      <w:marRight w:val="0"/>
      <w:marTop w:val="0"/>
      <w:marBottom w:val="0"/>
      <w:divBdr>
        <w:top w:val="none" w:sz="0" w:space="0" w:color="auto"/>
        <w:left w:val="none" w:sz="0" w:space="0" w:color="auto"/>
        <w:bottom w:val="none" w:sz="0" w:space="0" w:color="auto"/>
        <w:right w:val="none" w:sz="0" w:space="0" w:color="auto"/>
      </w:divBdr>
      <w:divsChild>
        <w:div w:id="301036533">
          <w:marLeft w:val="0"/>
          <w:marRight w:val="0"/>
          <w:marTop w:val="0"/>
          <w:marBottom w:val="0"/>
          <w:divBdr>
            <w:top w:val="none" w:sz="0" w:space="0" w:color="auto"/>
            <w:left w:val="none" w:sz="0" w:space="0" w:color="auto"/>
            <w:bottom w:val="none" w:sz="0" w:space="0" w:color="auto"/>
            <w:right w:val="none" w:sz="0" w:space="0" w:color="auto"/>
          </w:divBdr>
        </w:div>
        <w:div w:id="947084189">
          <w:marLeft w:val="0"/>
          <w:marRight w:val="0"/>
          <w:marTop w:val="0"/>
          <w:marBottom w:val="0"/>
          <w:divBdr>
            <w:top w:val="none" w:sz="0" w:space="0" w:color="auto"/>
            <w:left w:val="none" w:sz="0" w:space="0" w:color="auto"/>
            <w:bottom w:val="none" w:sz="0" w:space="0" w:color="auto"/>
            <w:right w:val="none" w:sz="0" w:space="0" w:color="auto"/>
          </w:divBdr>
        </w:div>
        <w:div w:id="1080369100">
          <w:marLeft w:val="0"/>
          <w:marRight w:val="0"/>
          <w:marTop w:val="0"/>
          <w:marBottom w:val="0"/>
          <w:divBdr>
            <w:top w:val="none" w:sz="0" w:space="0" w:color="auto"/>
            <w:left w:val="none" w:sz="0" w:space="0" w:color="auto"/>
            <w:bottom w:val="none" w:sz="0" w:space="0" w:color="auto"/>
            <w:right w:val="none" w:sz="0" w:space="0" w:color="auto"/>
          </w:divBdr>
        </w:div>
        <w:div w:id="1901017986">
          <w:marLeft w:val="0"/>
          <w:marRight w:val="0"/>
          <w:marTop w:val="0"/>
          <w:marBottom w:val="0"/>
          <w:divBdr>
            <w:top w:val="none" w:sz="0" w:space="0" w:color="auto"/>
            <w:left w:val="none" w:sz="0" w:space="0" w:color="auto"/>
            <w:bottom w:val="none" w:sz="0" w:space="0" w:color="auto"/>
            <w:right w:val="none" w:sz="0" w:space="0" w:color="auto"/>
          </w:divBdr>
        </w:div>
        <w:div w:id="289096628">
          <w:marLeft w:val="0"/>
          <w:marRight w:val="0"/>
          <w:marTop w:val="0"/>
          <w:marBottom w:val="0"/>
          <w:divBdr>
            <w:top w:val="none" w:sz="0" w:space="0" w:color="auto"/>
            <w:left w:val="none" w:sz="0" w:space="0" w:color="auto"/>
            <w:bottom w:val="none" w:sz="0" w:space="0" w:color="auto"/>
            <w:right w:val="none" w:sz="0" w:space="0" w:color="auto"/>
          </w:divBdr>
        </w:div>
        <w:div w:id="1762411203">
          <w:marLeft w:val="0"/>
          <w:marRight w:val="0"/>
          <w:marTop w:val="0"/>
          <w:marBottom w:val="0"/>
          <w:divBdr>
            <w:top w:val="none" w:sz="0" w:space="0" w:color="auto"/>
            <w:left w:val="none" w:sz="0" w:space="0" w:color="auto"/>
            <w:bottom w:val="none" w:sz="0" w:space="0" w:color="auto"/>
            <w:right w:val="none" w:sz="0" w:space="0" w:color="auto"/>
          </w:divBdr>
        </w:div>
        <w:div w:id="1598055331">
          <w:marLeft w:val="0"/>
          <w:marRight w:val="0"/>
          <w:marTop w:val="0"/>
          <w:marBottom w:val="0"/>
          <w:divBdr>
            <w:top w:val="none" w:sz="0" w:space="0" w:color="auto"/>
            <w:left w:val="none" w:sz="0" w:space="0" w:color="auto"/>
            <w:bottom w:val="none" w:sz="0" w:space="0" w:color="auto"/>
            <w:right w:val="none" w:sz="0" w:space="0" w:color="auto"/>
          </w:divBdr>
        </w:div>
        <w:div w:id="119610608">
          <w:marLeft w:val="0"/>
          <w:marRight w:val="0"/>
          <w:marTop w:val="0"/>
          <w:marBottom w:val="0"/>
          <w:divBdr>
            <w:top w:val="none" w:sz="0" w:space="0" w:color="auto"/>
            <w:left w:val="none" w:sz="0" w:space="0" w:color="auto"/>
            <w:bottom w:val="none" w:sz="0" w:space="0" w:color="auto"/>
            <w:right w:val="none" w:sz="0" w:space="0" w:color="auto"/>
          </w:divBdr>
        </w:div>
        <w:div w:id="860050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355A188-2B24-4E1A-B3DC-BBD34588F7C4}">
  <we:reference id="wa104382081" version="1.55.1.0" store="es-ES" storeType="OMEX"/>
  <we:alternateReferences>
    <we:reference id="wa104382081" version="1.55.1.0" store="es-ES" storeType="OMEX"/>
  </we:alternateReferences>
  <we:properties>
    <we:property name="MENDELEY_CITATIONS" valu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5F3167-2D7C-429C-8D4D-5B565A7F6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2190</TotalTime>
  <Pages>44</Pages>
  <Words>72511</Words>
  <Characters>398811</Characters>
  <Application>Microsoft Office Word</Application>
  <DocSecurity>0</DocSecurity>
  <Lines>3323</Lines>
  <Paragraphs>940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Selene Cobo</dc:creator>
  <cp:keywords/>
  <dc:description/>
  <cp:lastModifiedBy>Cobo Gutierrez, Selene</cp:lastModifiedBy>
  <cp:revision>760</cp:revision>
  <cp:lastPrinted>2025-04-01T13:26:00Z</cp:lastPrinted>
  <dcterms:created xsi:type="dcterms:W3CDTF">2025-02-03T08:49:00Z</dcterms:created>
  <dcterms:modified xsi:type="dcterms:W3CDTF">2025-04-08T11:16:00Z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http://www.zotero.org/styles/energy-and-environmental-science</vt:lpwstr>
  </property>
  <property fmtid="{D5CDD505-2E9C-101B-9397-08002B2CF9AE}" pid="4" name="Mendeley Unique User Id_1">
    <vt:lpwstr>bea099a5-ca78-3be5-86bc-4ae1cdae3390</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http://www.zotero.org/styles/energy-and-environmental-science</vt:lpwstr>
  </property>
  <property fmtid="{D5CDD505-2E9C-101B-9397-08002B2CF9AE}" pid="14" name="Mendeley Recent Style Name 4_1">
    <vt:lpwstr>Energy &amp; Environmental Science</vt:lpwstr>
  </property>
  <property fmtid="{D5CDD505-2E9C-101B-9397-08002B2CF9AE}" pid="15" name="Mendeley Recent Style Id 5_1">
    <vt:lpwstr>http://www.zotero.org/styles/energy-strategy-reviews</vt:lpwstr>
  </property>
  <property fmtid="{D5CDD505-2E9C-101B-9397-08002B2CF9AE}" pid="16" name="Mendeley Recent Style Name 5_1">
    <vt:lpwstr>Energy Strategy Reviews</vt:lpwstr>
  </property>
  <property fmtid="{D5CDD505-2E9C-101B-9397-08002B2CF9AE}" pid="17" name="Mendeley Recent Style Id 6_1">
    <vt:lpwstr>http://www.zotero.org/styles/environmental-research-letters</vt:lpwstr>
  </property>
  <property fmtid="{D5CDD505-2E9C-101B-9397-08002B2CF9AE}" pid="18" name="Mendeley Recent Style Name 6_1">
    <vt:lpwstr>Environmental Research Letters</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ZOTERO_PREF_1">
    <vt:lpwstr>&lt;data data-version="3" zotero-version="6.0.36"&gt;&lt;session id="z2fanENt"/&gt;&lt;style id="http://www.zotero.org/styles/energy-and-environmental-science" hasBibliography="1" bibliographyStyleHasBeenSet="1"/&gt;&lt;prefs&gt;&lt;pref name="fieldType" value="Field"/&gt;&lt;pref name="</vt:lpwstr>
  </property>
  <property fmtid="{D5CDD505-2E9C-101B-9397-08002B2CF9AE}" pid="26" name="ZOTERO_PREF_2">
    <vt:lpwstr>automaticJournalAbbreviations" value="true"/&gt;&lt;pref name="dontAskDelayCitationUpdates" value="true"/&gt;&lt;/prefs&gt;&lt;/data&gt;</vt:lpwstr>
  </property>
</Properties>
</file>