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DA98A" w14:textId="6BA9D964" w:rsidR="00AE2676" w:rsidRDefault="00AE2676" w:rsidP="00E311FD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bookmarkStart w:id="0" w:name="OLE_LINK2"/>
      <w:r>
        <w:rPr>
          <w:rFonts w:ascii="Times New Roman" w:hAnsi="Times New Roman" w:cs="Times New Roman" w:hint="eastAsia"/>
          <w:b/>
          <w:bCs/>
          <w:sz w:val="32"/>
          <w:szCs w:val="32"/>
          <w:lang w:val="en-US"/>
        </w:rPr>
        <w:t xml:space="preserve">Supplementary Information </w:t>
      </w:r>
    </w:p>
    <w:p w14:paraId="4106A481" w14:textId="07295AD1" w:rsidR="00E311FD" w:rsidRPr="00AE2676" w:rsidRDefault="00E311FD" w:rsidP="00E311FD">
      <w:pPr>
        <w:rPr>
          <w:rFonts w:ascii="Times New Roman" w:hAnsi="Times New Roman" w:cs="Times New Roman"/>
          <w:lang w:val="en-US"/>
        </w:rPr>
      </w:pPr>
      <w:r w:rsidRPr="00AE2676">
        <w:rPr>
          <w:rFonts w:ascii="Times New Roman" w:hAnsi="Times New Roman" w:cs="Times New Roman" w:hint="eastAsia"/>
          <w:lang w:val="en-US"/>
        </w:rPr>
        <w:t>Living m</w:t>
      </w:r>
      <w:r w:rsidRPr="00AE2676">
        <w:rPr>
          <w:rFonts w:ascii="Times New Roman" w:hAnsi="Times New Roman" w:cs="Times New Roman"/>
          <w:lang w:val="en-US"/>
        </w:rPr>
        <w:t>icrobial cement supercapacitors with reactivatable energy storage</w:t>
      </w:r>
    </w:p>
    <w:p w14:paraId="14193FBE" w14:textId="1AB498D5" w:rsidR="00E311FD" w:rsidRPr="00E311FD" w:rsidRDefault="00E311FD" w:rsidP="00E311FD">
      <w:pPr>
        <w:spacing w:after="0" w:line="480" w:lineRule="auto"/>
        <w:ind w:firstLine="274"/>
        <w:jc w:val="both"/>
        <w:rPr>
          <w:rFonts w:ascii="Times New Roman" w:hAnsi="Times New Roman" w:cs="Times New Roman"/>
          <w:lang w:val="en-US"/>
        </w:rPr>
      </w:pPr>
      <w:r w:rsidRPr="00E06EB2">
        <w:rPr>
          <w:rFonts w:ascii="Times New Roman" w:hAnsi="Times New Roman" w:cs="Times New Roman" w:hint="eastAsia"/>
          <w:lang w:val="en-US"/>
        </w:rPr>
        <w:t>Qi Luo</w:t>
      </w:r>
      <w:r w:rsidRPr="00E311FD">
        <w:rPr>
          <w:rFonts w:ascii="Times New Roman" w:hAnsi="Times New Roman" w:cs="Times New Roman" w:hint="eastAsia"/>
          <w:vertAlign w:val="superscript"/>
          <w:lang w:val="en-US"/>
        </w:rPr>
        <w:t>1</w:t>
      </w:r>
      <w:r w:rsidR="00AE2676" w:rsidRPr="00C3197A">
        <w:rPr>
          <w:rFonts w:ascii="Segoe UI Symbol" w:hAnsi="Segoe UI Symbol" w:cs="Segoe UI Symbol"/>
          <w:sz w:val="20"/>
          <w:szCs w:val="20"/>
          <w:lang w:val="en-US"/>
        </w:rPr>
        <w:t>✉</w:t>
      </w:r>
      <w:r w:rsidRPr="00E06EB2">
        <w:rPr>
          <w:rFonts w:ascii="Times New Roman" w:hAnsi="Times New Roman" w:cs="Times New Roman" w:hint="eastAsia"/>
          <w:lang w:val="en-US"/>
        </w:rPr>
        <w:t>,</w:t>
      </w:r>
      <w:r>
        <w:rPr>
          <w:rFonts w:ascii="Times New Roman" w:hAnsi="Times New Roman" w:cs="Times New Roman" w:hint="eastAsia"/>
          <w:lang w:val="en-US"/>
        </w:rPr>
        <w:t xml:space="preserve"> </w:t>
      </w:r>
      <w:proofErr w:type="spellStart"/>
      <w:r>
        <w:rPr>
          <w:rFonts w:ascii="Times New Roman" w:hAnsi="Times New Roman" w:cs="Times New Roman" w:hint="eastAsia"/>
          <w:lang w:val="en-US"/>
        </w:rPr>
        <w:t>Zhongmin</w:t>
      </w:r>
      <w:proofErr w:type="spellEnd"/>
      <w:r>
        <w:rPr>
          <w:rFonts w:ascii="Times New Roman" w:hAnsi="Times New Roman" w:cs="Times New Roman" w:hint="eastAsia"/>
          <w:lang w:val="en-US"/>
        </w:rPr>
        <w:t xml:space="preserve"> Li</w:t>
      </w:r>
      <w:r w:rsidRPr="00E06EB2">
        <w:rPr>
          <w:rFonts w:ascii="Times New Roman" w:hAnsi="Times New Roman" w:cs="Times New Roman" w:hint="eastAsia"/>
          <w:vertAlign w:val="superscript"/>
          <w:lang w:val="en-US"/>
        </w:rPr>
        <w:t>2</w:t>
      </w:r>
      <w:r>
        <w:rPr>
          <w:rFonts w:ascii="Times New Roman" w:hAnsi="Times New Roman" w:cs="Times New Roman" w:hint="eastAsia"/>
          <w:lang w:val="en-US"/>
        </w:rPr>
        <w:t xml:space="preserve">, </w:t>
      </w:r>
      <w:proofErr w:type="spellStart"/>
      <w:r>
        <w:rPr>
          <w:rFonts w:ascii="Times New Roman" w:hAnsi="Times New Roman" w:cs="Times New Roman" w:hint="eastAsia"/>
          <w:lang w:val="en-US"/>
        </w:rPr>
        <w:t>Yongxin</w:t>
      </w:r>
      <w:proofErr w:type="spellEnd"/>
      <w:r>
        <w:rPr>
          <w:rFonts w:ascii="Times New Roman" w:hAnsi="Times New Roman" w:cs="Times New Roman" w:hint="eastAsia"/>
          <w:lang w:val="en-US"/>
        </w:rPr>
        <w:t xml:space="preserve"> Li</w:t>
      </w:r>
      <w:r w:rsidRPr="00E06EB2">
        <w:rPr>
          <w:rFonts w:ascii="Times New Roman" w:hAnsi="Times New Roman" w:cs="Times New Roman" w:hint="eastAsia"/>
          <w:vertAlign w:val="superscript"/>
          <w:lang w:val="en-US"/>
        </w:rPr>
        <w:t>2</w:t>
      </w:r>
      <w:r>
        <w:rPr>
          <w:rFonts w:ascii="Times New Roman" w:hAnsi="Times New Roman" w:cs="Times New Roman" w:hint="eastAsia"/>
          <w:lang w:val="en-US"/>
        </w:rPr>
        <w:t xml:space="preserve">, </w:t>
      </w:r>
      <w:r w:rsidRPr="00E06EB2">
        <w:rPr>
          <w:rFonts w:ascii="Times New Roman" w:hAnsi="Times New Roman" w:cs="Times New Roman"/>
          <w:lang w:val="en-US"/>
        </w:rPr>
        <w:t>Mikhail Petrov</w:t>
      </w:r>
      <w:r w:rsidRPr="00E06EB2">
        <w:rPr>
          <w:rFonts w:ascii="Times New Roman" w:hAnsi="Times New Roman" w:cs="Times New Roman" w:hint="eastAsia"/>
          <w:vertAlign w:val="superscript"/>
          <w:lang w:val="en-US"/>
        </w:rPr>
        <w:t>3</w:t>
      </w:r>
    </w:p>
    <w:p w14:paraId="503EA5AF" w14:textId="77777777" w:rsidR="00AE2676" w:rsidRPr="00205EE4" w:rsidRDefault="00AE2676" w:rsidP="00AE2676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05EE4">
        <w:rPr>
          <w:rFonts w:ascii="Times New Roman" w:hAnsi="Times New Roman" w:cs="Times New Roman"/>
          <w:vertAlign w:val="superscript"/>
          <w:lang w:val="en-US"/>
        </w:rPr>
        <w:t>1</w:t>
      </w:r>
      <w:r w:rsidRPr="00205EE4">
        <w:rPr>
          <w:rFonts w:ascii="Times New Roman" w:hAnsi="Times New Roman" w:cs="Times New Roman"/>
          <w:lang w:val="en-US"/>
        </w:rPr>
        <w:t xml:space="preserve">Department of Civil and Architectural Engineering, Aarhus University, Aarhus C 8000, Denmark. </w:t>
      </w:r>
    </w:p>
    <w:p w14:paraId="21BF4112" w14:textId="77777777" w:rsidR="00AE2676" w:rsidRPr="00205EE4" w:rsidRDefault="00AE2676" w:rsidP="00AE2676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05EE4">
        <w:rPr>
          <w:rFonts w:ascii="Times New Roman" w:hAnsi="Times New Roman" w:cs="Times New Roman"/>
          <w:vertAlign w:val="superscript"/>
          <w:lang w:val="en-US"/>
        </w:rPr>
        <w:t>2</w:t>
      </w:r>
      <w:r w:rsidRPr="00205EE4">
        <w:rPr>
          <w:rFonts w:ascii="Times New Roman" w:hAnsi="Times New Roman" w:cs="Times New Roman"/>
          <w:lang w:val="en-US"/>
        </w:rPr>
        <w:t xml:space="preserve">School of Civil Engineering, Chongqing </w:t>
      </w:r>
      <w:proofErr w:type="spellStart"/>
      <w:r w:rsidRPr="00205EE4">
        <w:rPr>
          <w:rFonts w:ascii="Times New Roman" w:hAnsi="Times New Roman" w:cs="Times New Roman"/>
          <w:lang w:val="en-US"/>
        </w:rPr>
        <w:t>Jiaotong</w:t>
      </w:r>
      <w:proofErr w:type="spellEnd"/>
      <w:r w:rsidRPr="00205EE4">
        <w:rPr>
          <w:rFonts w:ascii="Times New Roman" w:hAnsi="Times New Roman" w:cs="Times New Roman"/>
          <w:lang w:val="en-US"/>
        </w:rPr>
        <w:t xml:space="preserve"> University, Chongqing 400074, PR China. </w:t>
      </w:r>
    </w:p>
    <w:p w14:paraId="6A665CD2" w14:textId="77777777" w:rsidR="00AE2676" w:rsidRPr="00205EE4" w:rsidRDefault="00AE2676" w:rsidP="00AE2676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05EE4">
        <w:rPr>
          <w:rFonts w:ascii="Times New Roman" w:hAnsi="Times New Roman" w:cs="Times New Roman"/>
          <w:vertAlign w:val="superscript"/>
          <w:lang w:val="en-US"/>
        </w:rPr>
        <w:t>3</w:t>
      </w:r>
      <w:r w:rsidRPr="00205EE4">
        <w:rPr>
          <w:rFonts w:ascii="Times New Roman" w:hAnsi="Times New Roman" w:cs="Times New Roman"/>
          <w:lang w:val="en-US"/>
        </w:rPr>
        <w:t xml:space="preserve">Department of Biological and Chemical Engineering, Aarhus University, </w:t>
      </w:r>
      <w:proofErr w:type="spellStart"/>
      <w:r w:rsidRPr="00205EE4">
        <w:rPr>
          <w:rFonts w:ascii="Times New Roman" w:hAnsi="Times New Roman" w:cs="Times New Roman"/>
          <w:lang w:val="en-US"/>
        </w:rPr>
        <w:t>Aabogade</w:t>
      </w:r>
      <w:proofErr w:type="spellEnd"/>
      <w:r w:rsidRPr="00205EE4">
        <w:rPr>
          <w:rFonts w:ascii="Times New Roman" w:hAnsi="Times New Roman" w:cs="Times New Roman"/>
          <w:lang w:val="en-US"/>
        </w:rPr>
        <w:t xml:space="preserve"> 40, Aarhus, N 8200, Denmark. </w:t>
      </w:r>
    </w:p>
    <w:p w14:paraId="451FAFD8" w14:textId="00C4B86E" w:rsidR="00AE2676" w:rsidRPr="001A651C" w:rsidRDefault="00AE2676" w:rsidP="00205EE4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205EE4">
        <w:rPr>
          <w:rFonts w:ascii="Segoe UI Symbol" w:hAnsi="Segoe UI Symbol" w:cs="Segoe UI Symbol"/>
          <w:lang w:val="en-US"/>
        </w:rPr>
        <w:t>✉</w:t>
      </w:r>
      <w:r w:rsidRPr="00205EE4">
        <w:rPr>
          <w:rFonts w:ascii="Times New Roman" w:hAnsi="Times New Roman" w:cs="Times New Roman"/>
          <w:lang w:val="en-US"/>
        </w:rPr>
        <w:t xml:space="preserve">e-mail: </w:t>
      </w:r>
      <w:hyperlink r:id="rId6" w:history="1">
        <w:r w:rsidR="00205EE4" w:rsidRPr="001A651C">
          <w:rPr>
            <w:rStyle w:val="Hyperlink"/>
            <w:rFonts w:ascii="Times New Roman" w:hAnsi="Times New Roman" w:cs="Times New Roman" w:hint="eastAsia"/>
            <w:color w:val="auto"/>
            <w:u w:val="none"/>
            <w:lang w:val="en-US"/>
          </w:rPr>
          <w:t>qluo@cae.au.dk</w:t>
        </w:r>
      </w:hyperlink>
    </w:p>
    <w:p w14:paraId="3D8A68A6" w14:textId="77777777" w:rsidR="00205EE4" w:rsidRDefault="00205EE4" w:rsidP="00205EE4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7874B689" w14:textId="027C0779" w:rsidR="00AE2676" w:rsidRPr="00A37F63" w:rsidRDefault="00205EE4" w:rsidP="001A651C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A37F63">
        <w:rPr>
          <w:rFonts w:ascii="Times New Roman" w:hAnsi="Times New Roman" w:cs="Times New Roman"/>
          <w:lang w:val="en-US"/>
        </w:rPr>
        <w:t>This Supplementary Information contains Supplementary Tables, Supplementary Methods, and Supplementary Figures.</w:t>
      </w:r>
    </w:p>
    <w:p w14:paraId="453F2239" w14:textId="77777777" w:rsidR="001A651C" w:rsidRDefault="001A651C" w:rsidP="001A651C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E61D9EC" w14:textId="2210CE22" w:rsidR="002E2E73" w:rsidRPr="001A651C" w:rsidRDefault="002E2E73" w:rsidP="001A651C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E2E73">
        <w:rPr>
          <w:rFonts w:ascii="Times New Roman" w:hAnsi="Times New Roman" w:cs="Times New Roman" w:hint="eastAsia"/>
          <w:b/>
          <w:bCs/>
          <w:lang w:val="en-US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lang w:val="en-US"/>
        </w:rPr>
        <w:t>Table</w:t>
      </w:r>
      <w:bookmarkEnd w:id="0"/>
    </w:p>
    <w:p w14:paraId="3A481461" w14:textId="0F90A6CE" w:rsidR="002E2E73" w:rsidRPr="004262B8" w:rsidRDefault="002E2E73" w:rsidP="002E2E73">
      <w:pPr>
        <w:pStyle w:val="Caption"/>
        <w:keepNext/>
        <w:jc w:val="center"/>
        <w:rPr>
          <w:rFonts w:ascii="Times New Roman" w:hAnsi="Times New Roman" w:cs="Times New Roman"/>
          <w:lang w:val="en-US"/>
        </w:rPr>
      </w:pPr>
      <w:r w:rsidRPr="004262B8">
        <w:rPr>
          <w:rFonts w:ascii="Times New Roman" w:hAnsi="Times New Roman" w:cs="Times New Roman"/>
          <w:lang w:val="en-US"/>
        </w:rPr>
        <w:t xml:space="preserve">Table </w:t>
      </w:r>
      <w:r w:rsidRPr="004262B8">
        <w:rPr>
          <w:rFonts w:ascii="Times New Roman" w:hAnsi="Times New Roman" w:cs="Times New Roman"/>
        </w:rPr>
        <w:fldChar w:fldCharType="begin"/>
      </w:r>
      <w:r w:rsidRPr="004262B8">
        <w:rPr>
          <w:rFonts w:ascii="Times New Roman" w:hAnsi="Times New Roman" w:cs="Times New Roman"/>
          <w:lang w:val="en-US"/>
        </w:rPr>
        <w:instrText xml:space="preserve"> SEQ Table \* ARABIC </w:instrText>
      </w:r>
      <w:r w:rsidRPr="004262B8">
        <w:rPr>
          <w:rFonts w:ascii="Times New Roman" w:hAnsi="Times New Roman" w:cs="Times New Roman"/>
        </w:rPr>
        <w:fldChar w:fldCharType="separate"/>
      </w:r>
      <w:r w:rsidRPr="004262B8">
        <w:rPr>
          <w:rFonts w:ascii="Times New Roman" w:hAnsi="Times New Roman" w:cs="Times New Roman"/>
          <w:noProof/>
          <w:lang w:val="en-US"/>
        </w:rPr>
        <w:t>1</w:t>
      </w:r>
      <w:r w:rsidRPr="004262B8">
        <w:rPr>
          <w:rFonts w:ascii="Times New Roman" w:hAnsi="Times New Roman" w:cs="Times New Roman"/>
        </w:rPr>
        <w:fldChar w:fldCharType="end"/>
      </w:r>
      <w:r w:rsidRPr="004262B8">
        <w:rPr>
          <w:rFonts w:ascii="Times New Roman" w:hAnsi="Times New Roman" w:cs="Times New Roman"/>
          <w:lang w:val="en-US"/>
        </w:rPr>
        <w:t>.</w:t>
      </w:r>
      <w:r w:rsidRPr="004262B8">
        <w:rPr>
          <w:rFonts w:ascii="Times New Roman" w:hAnsi="Times New Roman" w:cs="Times New Roman"/>
          <w:noProof/>
          <w:lang w:val="en-US"/>
        </w:rPr>
        <w:t xml:space="preserve"> </w:t>
      </w:r>
      <w:r w:rsidR="004262B8" w:rsidRPr="004262B8">
        <w:rPr>
          <w:rFonts w:ascii="Times New Roman" w:hAnsi="Times New Roman" w:cs="Times New Roman"/>
          <w:noProof/>
          <w:lang w:val="en-US"/>
        </w:rPr>
        <w:t>Chemical composition of P.I 42.5 cement measured by X-ray fluorescence (XRF).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0"/>
        <w:gridCol w:w="766"/>
        <w:gridCol w:w="766"/>
        <w:gridCol w:w="707"/>
        <w:gridCol w:w="708"/>
        <w:gridCol w:w="690"/>
        <w:gridCol w:w="618"/>
        <w:gridCol w:w="690"/>
        <w:gridCol w:w="690"/>
        <w:gridCol w:w="690"/>
        <w:gridCol w:w="690"/>
        <w:gridCol w:w="751"/>
      </w:tblGrid>
      <w:tr w:rsidR="002E2E73" w:rsidRPr="004262B8" w14:paraId="119DDBF8" w14:textId="77777777" w:rsidTr="00475170">
        <w:trPr>
          <w:jc w:val="center"/>
        </w:trPr>
        <w:tc>
          <w:tcPr>
            <w:tcW w:w="1250" w:type="dxa"/>
            <w:vAlign w:val="center"/>
          </w:tcPr>
          <w:p w14:paraId="7A4296D1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Composition</w:t>
            </w:r>
          </w:p>
        </w:tc>
        <w:tc>
          <w:tcPr>
            <w:tcW w:w="766" w:type="dxa"/>
            <w:vAlign w:val="center"/>
          </w:tcPr>
          <w:p w14:paraId="67A0B800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CaO</w:t>
            </w:r>
          </w:p>
        </w:tc>
        <w:tc>
          <w:tcPr>
            <w:tcW w:w="766" w:type="dxa"/>
            <w:vAlign w:val="center"/>
          </w:tcPr>
          <w:p w14:paraId="1BBFBD61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707" w:type="dxa"/>
            <w:vAlign w:val="center"/>
          </w:tcPr>
          <w:p w14:paraId="25D102DD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08" w:type="dxa"/>
            <w:vAlign w:val="center"/>
          </w:tcPr>
          <w:p w14:paraId="5E679CD8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690" w:type="dxa"/>
            <w:vAlign w:val="center"/>
          </w:tcPr>
          <w:p w14:paraId="47F8EC06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618" w:type="dxa"/>
            <w:vAlign w:val="center"/>
          </w:tcPr>
          <w:p w14:paraId="33838F0D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690" w:type="dxa"/>
            <w:vAlign w:val="center"/>
          </w:tcPr>
          <w:p w14:paraId="5913BCA3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</w:p>
        </w:tc>
        <w:tc>
          <w:tcPr>
            <w:tcW w:w="690" w:type="dxa"/>
            <w:vAlign w:val="center"/>
          </w:tcPr>
          <w:p w14:paraId="6538AE07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690" w:type="dxa"/>
            <w:vAlign w:val="center"/>
          </w:tcPr>
          <w:p w14:paraId="4A792333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MnO</w:t>
            </w:r>
            <w:proofErr w:type="spellEnd"/>
          </w:p>
        </w:tc>
        <w:tc>
          <w:tcPr>
            <w:tcW w:w="690" w:type="dxa"/>
            <w:vAlign w:val="center"/>
          </w:tcPr>
          <w:p w14:paraId="24484182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</w:p>
        </w:tc>
        <w:tc>
          <w:tcPr>
            <w:tcW w:w="751" w:type="dxa"/>
            <w:vAlign w:val="center"/>
          </w:tcPr>
          <w:p w14:paraId="0305D3E0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Others</w:t>
            </w:r>
          </w:p>
        </w:tc>
      </w:tr>
      <w:tr w:rsidR="002E2E73" w:rsidRPr="002E2E73" w14:paraId="379529BC" w14:textId="77777777" w:rsidTr="00475170">
        <w:trPr>
          <w:jc w:val="center"/>
        </w:trPr>
        <w:tc>
          <w:tcPr>
            <w:tcW w:w="1250" w:type="dxa"/>
            <w:vAlign w:val="center"/>
          </w:tcPr>
          <w:p w14:paraId="700C7749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Wt. %</w:t>
            </w:r>
          </w:p>
        </w:tc>
        <w:tc>
          <w:tcPr>
            <w:tcW w:w="766" w:type="dxa"/>
            <w:vAlign w:val="center"/>
          </w:tcPr>
          <w:p w14:paraId="29491339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57.386</w:t>
            </w:r>
          </w:p>
        </w:tc>
        <w:tc>
          <w:tcPr>
            <w:tcW w:w="766" w:type="dxa"/>
            <w:vAlign w:val="center"/>
          </w:tcPr>
          <w:p w14:paraId="7373342A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20.793</w:t>
            </w:r>
          </w:p>
        </w:tc>
        <w:tc>
          <w:tcPr>
            <w:tcW w:w="707" w:type="dxa"/>
            <w:vAlign w:val="center"/>
          </w:tcPr>
          <w:p w14:paraId="25A533E2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6.044</w:t>
            </w:r>
          </w:p>
        </w:tc>
        <w:tc>
          <w:tcPr>
            <w:tcW w:w="708" w:type="dxa"/>
            <w:vAlign w:val="center"/>
          </w:tcPr>
          <w:p w14:paraId="4DC42C0F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3.528</w:t>
            </w:r>
          </w:p>
        </w:tc>
        <w:tc>
          <w:tcPr>
            <w:tcW w:w="690" w:type="dxa"/>
            <w:vAlign w:val="center"/>
          </w:tcPr>
          <w:p w14:paraId="79DB15CF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1.477</w:t>
            </w:r>
          </w:p>
        </w:tc>
        <w:tc>
          <w:tcPr>
            <w:tcW w:w="618" w:type="dxa"/>
            <w:vAlign w:val="center"/>
          </w:tcPr>
          <w:p w14:paraId="64E0A8A6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690" w:type="dxa"/>
            <w:vAlign w:val="center"/>
          </w:tcPr>
          <w:p w14:paraId="19B2CB4A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2.806</w:t>
            </w:r>
          </w:p>
        </w:tc>
        <w:tc>
          <w:tcPr>
            <w:tcW w:w="690" w:type="dxa"/>
            <w:vAlign w:val="center"/>
          </w:tcPr>
          <w:p w14:paraId="7B2D8755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0.154</w:t>
            </w:r>
          </w:p>
        </w:tc>
        <w:tc>
          <w:tcPr>
            <w:tcW w:w="690" w:type="dxa"/>
            <w:vAlign w:val="center"/>
          </w:tcPr>
          <w:p w14:paraId="1CADC397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0.334</w:t>
            </w:r>
          </w:p>
        </w:tc>
        <w:tc>
          <w:tcPr>
            <w:tcW w:w="690" w:type="dxa"/>
            <w:vAlign w:val="center"/>
          </w:tcPr>
          <w:p w14:paraId="51352722" w14:textId="77777777" w:rsidR="002E2E73" w:rsidRPr="004262B8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0.206</w:t>
            </w:r>
          </w:p>
        </w:tc>
        <w:tc>
          <w:tcPr>
            <w:tcW w:w="751" w:type="dxa"/>
            <w:vAlign w:val="center"/>
          </w:tcPr>
          <w:p w14:paraId="7F2B34CA" w14:textId="77777777" w:rsidR="002E2E73" w:rsidRPr="002E2E73" w:rsidRDefault="002E2E73" w:rsidP="00475170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62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6.263</w:t>
            </w:r>
          </w:p>
        </w:tc>
      </w:tr>
    </w:tbl>
    <w:p w14:paraId="4DBDED2C" w14:textId="77777777" w:rsidR="002E2E73" w:rsidRDefault="002E2E73"/>
    <w:p w14:paraId="71D5368F" w14:textId="6C5A3337" w:rsidR="00B34F5C" w:rsidRPr="002E2E73" w:rsidRDefault="00B34F5C" w:rsidP="001A651C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E2E73">
        <w:rPr>
          <w:rFonts w:ascii="Times New Roman" w:hAnsi="Times New Roman" w:cs="Times New Roman" w:hint="eastAsia"/>
          <w:b/>
          <w:bCs/>
          <w:lang w:val="en-US"/>
        </w:rPr>
        <w:t>Supplementary Method</w:t>
      </w:r>
    </w:p>
    <w:p w14:paraId="77278A89" w14:textId="1B723E24" w:rsidR="00B34F5C" w:rsidRPr="00C97E6D" w:rsidRDefault="00C97E6D" w:rsidP="001A651C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bookmarkStart w:id="1" w:name="OLE_LINK1"/>
      <w:r w:rsidRPr="00C97E6D">
        <w:rPr>
          <w:rFonts w:ascii="Times New Roman" w:hAnsi="Times New Roman" w:cs="Times New Roman"/>
          <w:b/>
          <w:bCs/>
          <w:lang w:val="en-US"/>
        </w:rPr>
        <w:t xml:space="preserve">Electrochemical </w:t>
      </w:r>
      <w:r w:rsidR="001A651C">
        <w:rPr>
          <w:rFonts w:ascii="Times New Roman" w:hAnsi="Times New Roman" w:cs="Times New Roman" w:hint="eastAsia"/>
          <w:b/>
          <w:bCs/>
          <w:lang w:val="en-US"/>
        </w:rPr>
        <w:t>c</w:t>
      </w:r>
      <w:r w:rsidRPr="00C97E6D">
        <w:rPr>
          <w:rFonts w:ascii="Times New Roman" w:hAnsi="Times New Roman" w:cs="Times New Roman"/>
          <w:b/>
          <w:bCs/>
          <w:lang w:val="en-US"/>
        </w:rPr>
        <w:t xml:space="preserve">haracterization of </w:t>
      </w:r>
      <w:bookmarkEnd w:id="1"/>
      <w:r w:rsidR="00B34F5C" w:rsidRPr="00C97E6D">
        <w:rPr>
          <w:rFonts w:ascii="Times New Roman" w:hAnsi="Times New Roman" w:cs="Times New Roman"/>
          <w:b/>
          <w:bCs/>
          <w:lang w:val="en-US"/>
        </w:rPr>
        <w:t>S</w:t>
      </w:r>
      <w:r w:rsidR="00B34F5C" w:rsidRPr="00C97E6D">
        <w:rPr>
          <w:rFonts w:ascii="Times New Roman" w:hAnsi="Times New Roman" w:cs="Times New Roman" w:hint="eastAsia"/>
          <w:b/>
          <w:bCs/>
          <w:lang w:val="en-US"/>
        </w:rPr>
        <w:t>.</w:t>
      </w:r>
      <w:r w:rsidR="00B34F5C" w:rsidRPr="00C97E6D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="00B34F5C" w:rsidRPr="00C97E6D">
        <w:rPr>
          <w:rFonts w:ascii="Times New Roman" w:hAnsi="Times New Roman" w:cs="Times New Roman"/>
          <w:b/>
          <w:bCs/>
          <w:lang w:val="en-US"/>
        </w:rPr>
        <w:t>oneidensis</w:t>
      </w:r>
      <w:proofErr w:type="spellEnd"/>
    </w:p>
    <w:p w14:paraId="3319EC02" w14:textId="2EE2B14D" w:rsidR="001A651C" w:rsidRDefault="00B34F5C" w:rsidP="00A37F63">
      <w:pPr>
        <w:spacing w:after="0" w:line="360" w:lineRule="auto"/>
        <w:ind w:firstLine="274"/>
        <w:jc w:val="both"/>
        <w:rPr>
          <w:rFonts w:ascii="Times New Roman" w:hAnsi="Times New Roman" w:cs="Times New Roman"/>
          <w:lang w:val="en-US"/>
        </w:rPr>
      </w:pPr>
      <w:r w:rsidRPr="00B34F5C">
        <w:rPr>
          <w:rFonts w:ascii="Times New Roman" w:hAnsi="Times New Roman" w:cs="Times New Roman"/>
          <w:lang w:val="en-US"/>
        </w:rPr>
        <w:t>To evaluate the electrochemical activity of S</w:t>
      </w:r>
      <w:r w:rsidR="00C97E6D">
        <w:rPr>
          <w:rFonts w:ascii="Times New Roman" w:hAnsi="Times New Roman" w:cs="Times New Roman" w:hint="eastAsia"/>
          <w:lang w:val="en-US"/>
        </w:rPr>
        <w:t>.</w:t>
      </w:r>
      <w:r w:rsidRPr="00B34F5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34F5C">
        <w:rPr>
          <w:rFonts w:ascii="Times New Roman" w:hAnsi="Times New Roman" w:cs="Times New Roman"/>
          <w:lang w:val="en-US"/>
        </w:rPr>
        <w:t>oneidensis</w:t>
      </w:r>
      <w:proofErr w:type="spellEnd"/>
      <w:r w:rsidRPr="00B34F5C">
        <w:rPr>
          <w:rFonts w:ascii="Times New Roman" w:hAnsi="Times New Roman" w:cs="Times New Roman"/>
          <w:lang w:val="en-US"/>
        </w:rPr>
        <w:t xml:space="preserve">, we </w:t>
      </w:r>
      <w:r w:rsidR="002E2E73">
        <w:rPr>
          <w:rFonts w:ascii="Times New Roman" w:hAnsi="Times New Roman" w:cs="Times New Roman" w:hint="eastAsia"/>
          <w:lang w:val="en-US"/>
        </w:rPr>
        <w:t xml:space="preserve">performed </w:t>
      </w:r>
      <w:r w:rsidR="00701843" w:rsidRPr="00701843">
        <w:rPr>
          <w:rFonts w:ascii="Times New Roman" w:hAnsi="Times New Roman" w:cs="Times New Roman"/>
          <w:lang w:val="en-US"/>
        </w:rPr>
        <w:t>DCPIP (2,6-dichlorophenol indophenol sodium salt) reduction</w:t>
      </w:r>
      <w:r w:rsidRPr="00B34F5C">
        <w:rPr>
          <w:rFonts w:ascii="Times New Roman" w:hAnsi="Times New Roman" w:cs="Times New Roman"/>
          <w:lang w:val="en-US"/>
        </w:rPr>
        <w:t xml:space="preserve">, </w:t>
      </w:r>
      <w:r w:rsidR="00701843" w:rsidRPr="0077060F">
        <w:rPr>
          <w:rFonts w:ascii="Times New Roman" w:hAnsi="Times New Roman" w:cs="Times New Roman"/>
          <w:lang w:val="en-US"/>
        </w:rPr>
        <w:t xml:space="preserve">TTC (2,3,5-triphenyltetrazolium chloride) </w:t>
      </w:r>
      <w:proofErr w:type="spellStart"/>
      <w:r w:rsidR="00701843" w:rsidRPr="0077060F">
        <w:rPr>
          <w:rFonts w:ascii="Times New Roman" w:hAnsi="Times New Roman" w:cs="Times New Roman"/>
          <w:lang w:val="en-US"/>
        </w:rPr>
        <w:t>reduction</w:t>
      </w:r>
      <w:r w:rsidRPr="00B34F5C">
        <w:rPr>
          <w:rFonts w:ascii="Times New Roman" w:hAnsi="Times New Roman" w:cs="Times New Roman"/>
          <w:lang w:val="en-US"/>
        </w:rPr>
        <w:t>n</w:t>
      </w:r>
      <w:proofErr w:type="spellEnd"/>
      <w:r w:rsidRPr="00B34F5C">
        <w:rPr>
          <w:rFonts w:ascii="Times New Roman" w:hAnsi="Times New Roman" w:cs="Times New Roman"/>
          <w:lang w:val="en-US"/>
        </w:rPr>
        <w:t xml:space="preserve">, cyclic voltammetry (CV), and electrochemical impedance spectroscopy (EIS). </w:t>
      </w:r>
      <w:r w:rsidR="0077060F" w:rsidRPr="0077060F">
        <w:rPr>
          <w:rFonts w:ascii="Times New Roman" w:hAnsi="Times New Roman" w:cs="Times New Roman"/>
          <w:lang w:val="en-US"/>
        </w:rPr>
        <w:t xml:space="preserve">For the DCPIP reduction assay, a 0.01 g/100 mL DCPIP solution was prepared. One milliliter of S. </w:t>
      </w:r>
      <w:proofErr w:type="spellStart"/>
      <w:r w:rsidR="0077060F" w:rsidRPr="0077060F">
        <w:rPr>
          <w:rFonts w:ascii="Times New Roman" w:hAnsi="Times New Roman" w:cs="Times New Roman"/>
          <w:lang w:val="en-US"/>
        </w:rPr>
        <w:t>oneidensis</w:t>
      </w:r>
      <w:proofErr w:type="spellEnd"/>
      <w:r w:rsidR="0077060F" w:rsidRPr="0077060F">
        <w:rPr>
          <w:rFonts w:ascii="Times New Roman" w:hAnsi="Times New Roman" w:cs="Times New Roman"/>
          <w:lang w:val="en-US"/>
        </w:rPr>
        <w:t xml:space="preserve"> MR-1 culture was mixed with 100 </w:t>
      </w:r>
      <w:proofErr w:type="spellStart"/>
      <w:r w:rsidR="0077060F" w:rsidRPr="0077060F">
        <w:rPr>
          <w:rFonts w:ascii="Times New Roman" w:hAnsi="Times New Roman" w:cs="Times New Roman"/>
          <w:lang w:val="en-US"/>
        </w:rPr>
        <w:t>μL</w:t>
      </w:r>
      <w:proofErr w:type="spellEnd"/>
      <w:r w:rsidR="0077060F" w:rsidRPr="0077060F">
        <w:rPr>
          <w:rFonts w:ascii="Times New Roman" w:hAnsi="Times New Roman" w:cs="Times New Roman"/>
          <w:lang w:val="en-US"/>
        </w:rPr>
        <w:t xml:space="preserve"> of the DCPIP solution, and the absorbance at 600 nm was measured every 10 minutes using a spectrophotometer until stable. A color change from blue to colorless indicated successful electron transfer via outer membrane proteins.</w:t>
      </w:r>
      <w:r w:rsidR="0077060F">
        <w:rPr>
          <w:rFonts w:ascii="Times New Roman" w:hAnsi="Times New Roman" w:cs="Times New Roman" w:hint="eastAsia"/>
          <w:lang w:val="en-US"/>
        </w:rPr>
        <w:t xml:space="preserve"> </w:t>
      </w:r>
      <w:r w:rsidR="0077060F" w:rsidRPr="0077060F">
        <w:rPr>
          <w:rFonts w:ascii="Times New Roman" w:hAnsi="Times New Roman" w:cs="Times New Roman"/>
          <w:lang w:val="en-US"/>
        </w:rPr>
        <w:t xml:space="preserve">For the TTC reduction assay, </w:t>
      </w:r>
      <w:r w:rsidR="002E2E73">
        <w:rPr>
          <w:rFonts w:ascii="Times New Roman" w:hAnsi="Times New Roman" w:cs="Times New Roman" w:hint="eastAsia"/>
          <w:lang w:val="en-US"/>
        </w:rPr>
        <w:t>EAMs</w:t>
      </w:r>
      <w:r w:rsidR="0077060F" w:rsidRPr="0077060F">
        <w:rPr>
          <w:rFonts w:ascii="Times New Roman" w:hAnsi="Times New Roman" w:cs="Times New Roman"/>
          <w:lang w:val="en-US"/>
        </w:rPr>
        <w:t xml:space="preserve"> cultures were centrifuged, and the resulting pellet was resuspended in phosphate-buffered saline (PBS). A 100 </w:t>
      </w:r>
      <w:proofErr w:type="spellStart"/>
      <w:r w:rsidR="0077060F" w:rsidRPr="0077060F">
        <w:rPr>
          <w:rFonts w:ascii="Times New Roman" w:hAnsi="Times New Roman" w:cs="Times New Roman"/>
          <w:lang w:val="en-US"/>
        </w:rPr>
        <w:t>μL</w:t>
      </w:r>
      <w:proofErr w:type="spellEnd"/>
      <w:r w:rsidR="0077060F" w:rsidRPr="0077060F">
        <w:rPr>
          <w:rFonts w:ascii="Times New Roman" w:hAnsi="Times New Roman" w:cs="Times New Roman"/>
          <w:lang w:val="en-US"/>
        </w:rPr>
        <w:t xml:space="preserve"> aliquot of 0.5 mg/mL TTC solution was added, and the mixture was incubated at 37°C for 1–2 hours. The absorbance was measured at 485 nm, where a color change from colorless to red confirmed active bacterial metabolism.</w:t>
      </w:r>
      <w:r w:rsidRPr="00B34F5C">
        <w:rPr>
          <w:rFonts w:ascii="Times New Roman" w:hAnsi="Times New Roman" w:cs="Times New Roman"/>
          <w:lang w:val="en-US"/>
        </w:rPr>
        <w:t xml:space="preserve"> </w:t>
      </w:r>
      <w:r w:rsidR="0077060F" w:rsidRPr="0077060F">
        <w:rPr>
          <w:rFonts w:ascii="Times New Roman" w:hAnsi="Times New Roman" w:cs="Times New Roman"/>
          <w:lang w:val="en-US"/>
        </w:rPr>
        <w:t xml:space="preserve">CV was conducted by coating the bacterial suspension onto </w:t>
      </w:r>
      <w:r w:rsidR="0077060F" w:rsidRPr="004262B8">
        <w:rPr>
          <w:rFonts w:ascii="Times New Roman" w:hAnsi="Times New Roman" w:cs="Times New Roman"/>
          <w:lang w:val="en-US"/>
        </w:rPr>
        <w:t>carbon cloth electrodes</w:t>
      </w:r>
      <w:r w:rsidR="0077060F" w:rsidRPr="0077060F">
        <w:rPr>
          <w:rFonts w:ascii="Times New Roman" w:hAnsi="Times New Roman" w:cs="Times New Roman"/>
          <w:lang w:val="en-US"/>
        </w:rPr>
        <w:t xml:space="preserve">, allowing it to sit for 10 minutes, and then placing the electrodes in a three-electrode electrochemical cell containing PBS buffer. The voltage range was set from -0.6 V to +0.6 V, with a scan rate of 10–100 mV/s. The recorded CV curves were used to identify redox peaks indicative of extracellular </w:t>
      </w:r>
      <w:r w:rsidR="0077060F" w:rsidRPr="0077060F">
        <w:rPr>
          <w:rFonts w:ascii="Times New Roman" w:hAnsi="Times New Roman" w:cs="Times New Roman"/>
          <w:lang w:val="en-US"/>
        </w:rPr>
        <w:lastRenderedPageBreak/>
        <w:t>electron transfer activity.</w:t>
      </w:r>
      <w:r w:rsidR="0077060F">
        <w:rPr>
          <w:rFonts w:ascii="Times New Roman" w:hAnsi="Times New Roman" w:cs="Times New Roman" w:hint="eastAsia"/>
          <w:lang w:val="en-US"/>
        </w:rPr>
        <w:t xml:space="preserve"> </w:t>
      </w:r>
      <w:r w:rsidR="0077060F" w:rsidRPr="0077060F">
        <w:rPr>
          <w:rFonts w:ascii="Times New Roman" w:hAnsi="Times New Roman" w:cs="Times New Roman"/>
          <w:lang w:val="en-US"/>
        </w:rPr>
        <w:t xml:space="preserve">For EIS, the coated electrodes were connected to an electrochemical workstation, and measurements were performed over a frequency range of 1 Hz to 1000 kHz with open-circuit potential (OCP) as the perturbation and a perturbation amplitude of 0.01 V. The Nyquist plots were used to evaluate charge transfer resistance and the electrochemical activity of the </w:t>
      </w:r>
      <w:r w:rsidR="002E2E73">
        <w:rPr>
          <w:rFonts w:ascii="Times New Roman" w:hAnsi="Times New Roman" w:cs="Times New Roman" w:hint="eastAsia"/>
          <w:lang w:val="en-US"/>
        </w:rPr>
        <w:t>EAMs</w:t>
      </w:r>
      <w:r w:rsidR="0077060F" w:rsidRPr="0077060F">
        <w:rPr>
          <w:rFonts w:ascii="Times New Roman" w:hAnsi="Times New Roman" w:cs="Times New Roman"/>
          <w:lang w:val="en-US"/>
        </w:rPr>
        <w:t>.</w:t>
      </w:r>
    </w:p>
    <w:p w14:paraId="4ACECAFB" w14:textId="77777777" w:rsidR="00A37F63" w:rsidRPr="00C97E6D" w:rsidRDefault="00A37F63" w:rsidP="00A37F63">
      <w:pPr>
        <w:spacing w:after="0" w:line="360" w:lineRule="auto"/>
        <w:ind w:firstLine="274"/>
        <w:jc w:val="both"/>
        <w:rPr>
          <w:rFonts w:ascii="Times New Roman" w:hAnsi="Times New Roman" w:cs="Times New Roman"/>
          <w:lang w:val="en-US"/>
        </w:rPr>
      </w:pPr>
    </w:p>
    <w:p w14:paraId="173C3F76" w14:textId="2777E2FE" w:rsidR="00B34F5C" w:rsidRPr="002E2E73" w:rsidRDefault="00B34F5C" w:rsidP="002E2E73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bookmarkStart w:id="2" w:name="_Hlk192835085"/>
      <w:r w:rsidRPr="002E2E73">
        <w:rPr>
          <w:rFonts w:ascii="Times New Roman" w:hAnsi="Times New Roman" w:cs="Times New Roman" w:hint="eastAsia"/>
          <w:b/>
          <w:bCs/>
          <w:lang w:val="en-US"/>
        </w:rPr>
        <w:t>Supplementary Figures</w:t>
      </w:r>
    </w:p>
    <w:bookmarkEnd w:id="2"/>
    <w:p w14:paraId="186FE1F5" w14:textId="3209C7AF" w:rsidR="00B34F5C" w:rsidRDefault="00B805B1">
      <w:r>
        <w:rPr>
          <w:noProof/>
        </w:rPr>
        <w:drawing>
          <wp:inline distT="0" distB="0" distL="0" distR="0" wp14:anchorId="3C3E4FE1" wp14:editId="3D8B3345">
            <wp:extent cx="5486400" cy="1711619"/>
            <wp:effectExtent l="0" t="0" r="0" b="3175"/>
            <wp:docPr id="993088376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088376" name="Picture 1" descr="A graph of a function&#10;&#10;AI-generated content may be incorrect."/>
                    <pic:cNvPicPr/>
                  </pic:nvPicPr>
                  <pic:blipFill rotWithShape="1">
                    <a:blip r:embed="rId7"/>
                    <a:srcRect l="18213" t="30965" r="21106" b="35379"/>
                    <a:stretch/>
                  </pic:blipFill>
                  <pic:spPr bwMode="auto">
                    <a:xfrm>
                      <a:off x="0" y="0"/>
                      <a:ext cx="5486400" cy="1711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8EC97" w14:textId="2D760298" w:rsidR="001D5338" w:rsidRDefault="001D5338" w:rsidP="00B805B1">
      <w:pPr>
        <w:spacing w:line="360" w:lineRule="auto"/>
        <w:ind w:firstLine="274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Fig. 1 </w:t>
      </w:r>
      <w:r w:rsidR="00D7699C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G</w:t>
      </w:r>
      <w:r w:rsidRPr="001D533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rowth 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1D5338">
        <w:rPr>
          <w:rFonts w:ascii="Times New Roman" w:hAnsi="Times New Roman" w:cs="Times New Roman"/>
          <w:b/>
          <w:bCs/>
          <w:sz w:val="21"/>
          <w:szCs w:val="21"/>
          <w:lang w:val="en-US"/>
        </w:rPr>
        <w:t>haracterization of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S.</w:t>
      </w:r>
      <w:r w:rsidRPr="001D533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</w:t>
      </w:r>
      <w:proofErr w:type="spellStart"/>
      <w:r w:rsidRPr="001D5338">
        <w:rPr>
          <w:rFonts w:ascii="Times New Roman" w:hAnsi="Times New Roman" w:cs="Times New Roman"/>
          <w:b/>
          <w:bCs/>
          <w:sz w:val="21"/>
          <w:szCs w:val="21"/>
          <w:lang w:val="en-US"/>
        </w:rPr>
        <w:t>oneidensis</w:t>
      </w:r>
      <w:proofErr w:type="spellEnd"/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.</w:t>
      </w:r>
      <w:r w:rsidRPr="001D5338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a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,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 xml:space="preserve"> DCPIP and TTC reduction assays confirming the EET activity of </w:t>
      </w:r>
      <w:r w:rsidR="00C6013C" w:rsidRPr="00C6013C">
        <w:rPr>
          <w:rFonts w:ascii="Times New Roman" w:hAnsi="Times New Roman" w:cs="Times New Roman"/>
          <w:sz w:val="21"/>
          <w:szCs w:val="21"/>
          <w:lang w:val="en-US"/>
        </w:rPr>
        <w:t xml:space="preserve">S. </w:t>
      </w:r>
      <w:proofErr w:type="spellStart"/>
      <w:r w:rsidR="00C6013C" w:rsidRPr="00C6013C">
        <w:rPr>
          <w:rFonts w:ascii="Times New Roman" w:hAnsi="Times New Roman" w:cs="Times New Roman"/>
          <w:sz w:val="21"/>
          <w:szCs w:val="21"/>
          <w:lang w:val="en-US"/>
        </w:rPr>
        <w:t>oneidensis</w:t>
      </w:r>
      <w:proofErr w:type="spellEnd"/>
      <w:r w:rsidRPr="001D5338">
        <w:rPr>
          <w:rFonts w:ascii="Times New Roman" w:hAnsi="Times New Roman" w:cs="Times New Roman"/>
          <w:sz w:val="21"/>
          <w:szCs w:val="21"/>
          <w:lang w:val="en-US"/>
        </w:rPr>
        <w:t>. The decrease in OD600 of DCPIP and the increase in OD485 of TTC</w:t>
      </w:r>
      <w:r w:rsidR="00C6013C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>over time indicate microbial reduction processes.</w:t>
      </w:r>
      <w:r w:rsidRPr="001D5338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C6013C" w:rsidRPr="00C6013C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b</w:t>
      </w:r>
      <w:r w:rsidR="00C6013C">
        <w:rPr>
          <w:rFonts w:ascii="Times New Roman" w:hAnsi="Times New Roman" w:cs="Times New Roman" w:hint="eastAsia"/>
          <w:sz w:val="21"/>
          <w:szCs w:val="21"/>
          <w:lang w:val="en-US"/>
        </w:rPr>
        <w:t>,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 xml:space="preserve"> Growth curve of </w:t>
      </w:r>
      <w:r w:rsidR="00C6013C" w:rsidRPr="00C6013C">
        <w:rPr>
          <w:rFonts w:ascii="Times New Roman" w:hAnsi="Times New Roman" w:cs="Times New Roman"/>
          <w:sz w:val="21"/>
          <w:szCs w:val="21"/>
          <w:lang w:val="en-US"/>
        </w:rPr>
        <w:t xml:space="preserve">S. </w:t>
      </w:r>
      <w:proofErr w:type="spellStart"/>
      <w:r w:rsidR="00C6013C" w:rsidRPr="00C6013C">
        <w:rPr>
          <w:rFonts w:ascii="Times New Roman" w:hAnsi="Times New Roman" w:cs="Times New Roman"/>
          <w:sz w:val="21"/>
          <w:szCs w:val="21"/>
          <w:lang w:val="en-US"/>
        </w:rPr>
        <w:t>oneidensis</w:t>
      </w:r>
      <w:proofErr w:type="spellEnd"/>
      <w:r w:rsidRPr="001D5338">
        <w:rPr>
          <w:rFonts w:ascii="Times New Roman" w:hAnsi="Times New Roman" w:cs="Times New Roman"/>
          <w:sz w:val="21"/>
          <w:szCs w:val="21"/>
          <w:lang w:val="en-US"/>
        </w:rPr>
        <w:t xml:space="preserve"> measured by OD600 over time. The bacterial culture exhibits an exponential growth phase followed by a stationary phase, suggesting stable microbial activity under the tested conditions.</w:t>
      </w:r>
    </w:p>
    <w:p w14:paraId="0BBB31A8" w14:textId="77777777" w:rsidR="00B805B1" w:rsidRPr="00B805B1" w:rsidRDefault="00B805B1" w:rsidP="00B805B1">
      <w:pPr>
        <w:spacing w:line="360" w:lineRule="auto"/>
        <w:ind w:firstLine="274"/>
        <w:jc w:val="both"/>
        <w:rPr>
          <w:rFonts w:ascii="Times New Roman" w:hAnsi="Times New Roman" w:cs="Times New Roman"/>
          <w:sz w:val="21"/>
          <w:szCs w:val="21"/>
          <w:lang w:val="en-US"/>
        </w:rPr>
      </w:pPr>
    </w:p>
    <w:p w14:paraId="6EEFF72A" w14:textId="3B8A01A9" w:rsidR="001D5338" w:rsidRDefault="00B805B1">
      <w:r>
        <w:rPr>
          <w:noProof/>
        </w:rPr>
        <w:drawing>
          <wp:inline distT="0" distB="0" distL="0" distR="0" wp14:anchorId="386E873D" wp14:editId="0346F6A5">
            <wp:extent cx="5598126" cy="1276539"/>
            <wp:effectExtent l="0" t="0" r="3175" b="0"/>
            <wp:docPr id="899531233" name="Picture 2" descr="A line graph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531233" name="Picture 2" descr="A line graph with different colored lines&#10;&#10;AI-generated content may be incorrect."/>
                    <pic:cNvPicPr/>
                  </pic:nvPicPr>
                  <pic:blipFill rotWithShape="1">
                    <a:blip r:embed="rId8"/>
                    <a:srcRect l="7970" t="33300" r="7762" b="32537"/>
                    <a:stretch/>
                  </pic:blipFill>
                  <pic:spPr bwMode="auto">
                    <a:xfrm>
                      <a:off x="0" y="0"/>
                      <a:ext cx="5600413" cy="1277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4E83E2" w14:textId="51B698FB" w:rsidR="001D5338" w:rsidRPr="00B805B1" w:rsidRDefault="004023D8" w:rsidP="00B805B1">
      <w:pPr>
        <w:spacing w:line="360" w:lineRule="auto"/>
        <w:ind w:firstLine="274"/>
        <w:jc w:val="both"/>
        <w:rPr>
          <w:rFonts w:ascii="Times New Roman" w:hAnsi="Times New Roman" w:cs="Times New Roman" w:hint="eastAsia"/>
          <w:sz w:val="21"/>
          <w:szCs w:val="21"/>
          <w:lang w:val="en-US"/>
        </w:rPr>
      </w:pP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2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GCD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>urves of EAM-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ement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omposites at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d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ifferent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urrent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d</w:t>
      </w:r>
      <w:r w:rsidRPr="004023D8">
        <w:rPr>
          <w:rFonts w:ascii="Times New Roman" w:hAnsi="Times New Roman" w:cs="Times New Roman"/>
          <w:b/>
          <w:bCs/>
          <w:sz w:val="21"/>
          <w:szCs w:val="21"/>
          <w:lang w:val="en-US"/>
        </w:rPr>
        <w:t>ensities</w:t>
      </w:r>
      <w:r w:rsidR="00901DD0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at 28d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.</w:t>
      </w:r>
      <w:r w:rsidRPr="001D5338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a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,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C829C3" w:rsidRPr="00C829C3">
        <w:rPr>
          <w:rFonts w:ascii="Times New Roman" w:hAnsi="Times New Roman" w:cs="Times New Roman"/>
          <w:sz w:val="21"/>
          <w:szCs w:val="21"/>
          <w:lang w:val="en-US"/>
        </w:rPr>
        <w:t>GCD curves of EAM-cement composites at 0.5 A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>.</w:t>
      </w:r>
      <w:r w:rsidRPr="001D5338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C6013C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b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,</w:t>
      </w:r>
      <w:r w:rsidRPr="001D5338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C829C3" w:rsidRPr="00C829C3">
        <w:rPr>
          <w:rFonts w:ascii="Times New Roman" w:hAnsi="Times New Roman" w:cs="Times New Roman"/>
          <w:sz w:val="21"/>
          <w:szCs w:val="21"/>
          <w:lang w:val="en-US"/>
        </w:rPr>
        <w:t>GCD curves of EAM-cement composites at 0.75 A</w:t>
      </w:r>
      <w:r w:rsidR="00C829C3">
        <w:rPr>
          <w:rFonts w:ascii="Times New Roman" w:hAnsi="Times New Roman" w:cs="Times New Roman" w:hint="eastAsia"/>
          <w:sz w:val="21"/>
          <w:szCs w:val="21"/>
          <w:lang w:val="en-US"/>
        </w:rPr>
        <w:t xml:space="preserve">. </w:t>
      </w:r>
      <w:r w:rsidR="00C829C3" w:rsidRPr="00C829C3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C829C3"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="00C829C3" w:rsidRPr="00C829C3">
        <w:rPr>
          <w:rFonts w:ascii="Times New Roman" w:hAnsi="Times New Roman" w:cs="Times New Roman"/>
          <w:sz w:val="21"/>
          <w:szCs w:val="21"/>
          <w:lang w:val="en-US"/>
        </w:rPr>
        <w:t>GCD curves of EAM-cement composites at 1 A</w:t>
      </w:r>
      <w:r w:rsidR="00B805B1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</w:p>
    <w:p w14:paraId="6911DA60" w14:textId="10D15B06" w:rsidR="001D5338" w:rsidRDefault="00B805B1">
      <w:r>
        <w:rPr>
          <w:noProof/>
        </w:rPr>
        <w:lastRenderedPageBreak/>
        <w:drawing>
          <wp:inline distT="0" distB="0" distL="0" distR="0" wp14:anchorId="4A9DA595" wp14:editId="1CE62C02">
            <wp:extent cx="5486400" cy="2717820"/>
            <wp:effectExtent l="0" t="0" r="0" b="6350"/>
            <wp:docPr id="1362608899" name="Picture 3" descr="A group of images of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608899" name="Picture 3" descr="A group of images of lines&#10;&#10;AI-generated content may be incorrect."/>
                    <pic:cNvPicPr/>
                  </pic:nvPicPr>
                  <pic:blipFill rotWithShape="1">
                    <a:blip r:embed="rId9"/>
                    <a:srcRect l="16214" t="14897" r="17515" b="26739"/>
                    <a:stretch/>
                  </pic:blipFill>
                  <pic:spPr bwMode="auto">
                    <a:xfrm>
                      <a:off x="0" y="0"/>
                      <a:ext cx="5486400" cy="2717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5CAA5" w14:textId="043E95EC" w:rsidR="00C829C3" w:rsidRPr="00B805B1" w:rsidRDefault="00C829C3" w:rsidP="00B805B1">
      <w:pPr>
        <w:spacing w:line="360" w:lineRule="auto"/>
        <w:ind w:firstLine="274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3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CV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e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>volution of EAM-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ement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omposites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o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ver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t</w:t>
      </w:r>
      <w:r w:rsidRPr="00C829C3">
        <w:rPr>
          <w:rFonts w:ascii="Times New Roman" w:hAnsi="Times New Roman" w:cs="Times New Roman"/>
          <w:b/>
          <w:bCs/>
          <w:sz w:val="21"/>
          <w:szCs w:val="21"/>
          <w:lang w:val="en-US"/>
        </w:rPr>
        <w:t>ime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.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CV curves of EAM-cement composites with different EAM incorporations measured at 10 mV/s over various curing periods (1, 7, 28, 56, and 90 days). The progressive increase in current density over time indicates the development of electroactive microbial networks within the cement matrix.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C829C3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a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-e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EAMs-0% (control)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EAMs-0.3%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EAMs-0.9%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EAMs-1.5%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and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3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, respectively.</w:t>
      </w:r>
    </w:p>
    <w:p w14:paraId="6CF56E66" w14:textId="77777777" w:rsidR="00B34F5C" w:rsidRPr="00C829C3" w:rsidRDefault="00B34F5C">
      <w:pPr>
        <w:rPr>
          <w:lang w:val="en-US"/>
        </w:rPr>
      </w:pPr>
    </w:p>
    <w:p w14:paraId="01D11CEC" w14:textId="43F10814" w:rsidR="001D5338" w:rsidRDefault="00B805B1">
      <w:r>
        <w:rPr>
          <w:noProof/>
        </w:rPr>
        <w:drawing>
          <wp:inline distT="0" distB="0" distL="0" distR="0" wp14:anchorId="10CFC395" wp14:editId="0D8ED637">
            <wp:extent cx="5486400" cy="2766684"/>
            <wp:effectExtent l="0" t="0" r="0" b="0"/>
            <wp:docPr id="435241350" name="Picture 4" descr="A diagram of a pl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241350" name="Picture 4" descr="A diagram of a plane&#10;&#10;AI-generated content may be incorrect."/>
                    <pic:cNvPicPr/>
                  </pic:nvPicPr>
                  <pic:blipFill rotWithShape="1">
                    <a:blip r:embed="rId10"/>
                    <a:srcRect l="21120" t="20105" r="15267" b="22864"/>
                    <a:stretch/>
                  </pic:blipFill>
                  <pic:spPr bwMode="auto">
                    <a:xfrm>
                      <a:off x="0" y="0"/>
                      <a:ext cx="5486400" cy="2766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F5CE6A" w14:textId="56E8DB3B" w:rsidR="00C829C3" w:rsidRPr="00C829C3" w:rsidRDefault="00C829C3" w:rsidP="00C829C3">
      <w:pPr>
        <w:spacing w:line="360" w:lineRule="auto"/>
        <w:ind w:firstLine="274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4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Effect of 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s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can 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r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ate on the 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e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lectrochemical 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p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>erformance of EAM-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ement 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7516AD" w:rsidRPr="007516AD">
        <w:rPr>
          <w:rFonts w:ascii="Times New Roman" w:hAnsi="Times New Roman" w:cs="Times New Roman"/>
          <w:b/>
          <w:bCs/>
          <w:sz w:val="21"/>
          <w:szCs w:val="21"/>
          <w:lang w:val="en-US"/>
        </w:rPr>
        <w:t>omposites at 56</w:t>
      </w:r>
      <w:r w:rsidR="007516AD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d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. </w:t>
      </w:r>
      <w:r w:rsidR="00422708" w:rsidRPr="00422708">
        <w:rPr>
          <w:rFonts w:ascii="Times New Roman" w:hAnsi="Times New Roman" w:cs="Times New Roman"/>
          <w:sz w:val="21"/>
          <w:szCs w:val="21"/>
          <w:lang w:val="en-US"/>
        </w:rPr>
        <w:t>Cyclic voltammetry (CV) curves of EAM-cement composites with different EAM incorporations at 56 days, tested at varying scan rates (10, 20, 30, 50, and 100 mV/s)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.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C829C3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a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-e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EAMs-0% (control)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EAMs-0.3%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EAMs-0.9%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EAMs-1.5%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 xml:space="preserve">, and 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EAMs-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3</w:t>
      </w:r>
      <w:r w:rsidRPr="00C829C3">
        <w:rPr>
          <w:rFonts w:ascii="Times New Roman" w:hAnsi="Times New Roman" w:cs="Times New Roman"/>
          <w:sz w:val="21"/>
          <w:szCs w:val="21"/>
          <w:lang w:val="en-US"/>
        </w:rPr>
        <w:t>%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, respectively.</w:t>
      </w:r>
    </w:p>
    <w:p w14:paraId="181B9A29" w14:textId="77777777" w:rsidR="00C829C3" w:rsidRPr="00C829C3" w:rsidRDefault="00C829C3">
      <w:pPr>
        <w:rPr>
          <w:lang w:val="en-US"/>
        </w:rPr>
      </w:pPr>
    </w:p>
    <w:p w14:paraId="3D3398E1" w14:textId="70207DC0" w:rsidR="001D5338" w:rsidRDefault="00BC5A8B">
      <w:r>
        <w:rPr>
          <w:noProof/>
        </w:rPr>
        <w:lastRenderedPageBreak/>
        <w:drawing>
          <wp:inline distT="0" distB="0" distL="0" distR="0" wp14:anchorId="29851C99" wp14:editId="11481E75">
            <wp:extent cx="5486400" cy="1824584"/>
            <wp:effectExtent l="0" t="0" r="0" b="4445"/>
            <wp:docPr id="1315168802" name="Picture 5" descr="A graph of a pl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168802" name="Picture 5" descr="A graph of a plane&#10;&#10;AI-generated content may be incorrect."/>
                    <pic:cNvPicPr/>
                  </pic:nvPicPr>
                  <pic:blipFill rotWithShape="1">
                    <a:blip r:embed="rId11"/>
                    <a:srcRect l="15465" t="37667" r="21057" b="24802"/>
                    <a:stretch/>
                  </pic:blipFill>
                  <pic:spPr bwMode="auto">
                    <a:xfrm>
                      <a:off x="0" y="0"/>
                      <a:ext cx="5486400" cy="1824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42F43" w14:textId="3A59B88E" w:rsidR="007516AD" w:rsidRPr="00422708" w:rsidRDefault="007516AD" w:rsidP="007516AD">
      <w:pPr>
        <w:spacing w:line="360" w:lineRule="auto"/>
        <w:ind w:firstLine="274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5</w:t>
      </w:r>
      <w:r w:rsidRPr="001D533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 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Impact of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W/C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r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atio and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uring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onditions on the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e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lectrochemical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p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>erformance of EAM-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ement 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c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>omposites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 xml:space="preserve">. </w:t>
      </w:r>
      <w:proofErr w:type="gramStart"/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>a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,</w:t>
      </w:r>
      <w:proofErr w:type="gramEnd"/>
      <w:r w:rsidR="00422708" w:rsidRPr="00422708">
        <w:rPr>
          <w:rFonts w:ascii="Times New Roman" w:hAnsi="Times New Roman" w:cs="Times New Roman"/>
          <w:sz w:val="21"/>
          <w:szCs w:val="21"/>
          <w:lang w:val="en-US"/>
        </w:rPr>
        <w:t xml:space="preserve"> Composites with W/C = 0.3, 0.4, and 0.5 under ambient curing conditions. Higher W/C ratios result in enhanced electrochemical activity due to increased porosity, facilitating ion transport and microbial viability.</w:t>
      </w:r>
      <w:r w:rsidR="00422708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422708" w:rsidRPr="00422708">
        <w:rPr>
          <w:rFonts w:ascii="Times New Roman" w:hAnsi="Times New Roman" w:cs="Times New Roman"/>
          <w:b/>
          <w:bCs/>
          <w:sz w:val="21"/>
          <w:szCs w:val="21"/>
          <w:lang w:val="en-US"/>
        </w:rPr>
        <w:t>b</w:t>
      </w:r>
      <w:r w:rsidR="00422708">
        <w:rPr>
          <w:rFonts w:ascii="Times New Roman" w:hAnsi="Times New Roman" w:cs="Times New Roman" w:hint="eastAsia"/>
          <w:b/>
          <w:bCs/>
          <w:sz w:val="21"/>
          <w:szCs w:val="21"/>
          <w:lang w:val="en-US"/>
        </w:rPr>
        <w:t>,</w:t>
      </w:r>
      <w:r w:rsidR="00422708" w:rsidRPr="00422708">
        <w:rPr>
          <w:rFonts w:ascii="Times New Roman" w:hAnsi="Times New Roman" w:cs="Times New Roman"/>
          <w:sz w:val="21"/>
          <w:szCs w:val="21"/>
          <w:lang w:val="en-US"/>
        </w:rPr>
        <w:t xml:space="preserve"> Comparison between water curing, ambient curing, and nutrient solution curing for samples with W/C = 0.4. Nutrient solution curing enhances electrochemical performance, by sustaining microbial metabolism and EET activity.</w:t>
      </w:r>
    </w:p>
    <w:p w14:paraId="5FBDD012" w14:textId="77777777" w:rsidR="007516AD" w:rsidRPr="007516AD" w:rsidRDefault="007516AD">
      <w:pPr>
        <w:rPr>
          <w:lang w:val="en-US"/>
        </w:rPr>
      </w:pPr>
    </w:p>
    <w:p w14:paraId="6D5706BC" w14:textId="77777777" w:rsidR="007516AD" w:rsidRPr="007516AD" w:rsidRDefault="007516AD">
      <w:pPr>
        <w:rPr>
          <w:lang w:val="en-US"/>
        </w:rPr>
      </w:pPr>
    </w:p>
    <w:sectPr w:rsidR="007516AD" w:rsidRPr="007516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7D235" w14:textId="77777777" w:rsidR="00E55EDC" w:rsidRDefault="00E55EDC" w:rsidP="00E311FD">
      <w:pPr>
        <w:spacing w:after="0" w:line="240" w:lineRule="auto"/>
      </w:pPr>
      <w:r>
        <w:separator/>
      </w:r>
    </w:p>
  </w:endnote>
  <w:endnote w:type="continuationSeparator" w:id="0">
    <w:p w14:paraId="064A285D" w14:textId="77777777" w:rsidR="00E55EDC" w:rsidRDefault="00E55EDC" w:rsidP="00E31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53BD3" w14:textId="77777777" w:rsidR="00E55EDC" w:rsidRDefault="00E55EDC" w:rsidP="00E311FD">
      <w:pPr>
        <w:spacing w:after="0" w:line="240" w:lineRule="auto"/>
      </w:pPr>
      <w:r>
        <w:separator/>
      </w:r>
    </w:p>
  </w:footnote>
  <w:footnote w:type="continuationSeparator" w:id="0">
    <w:p w14:paraId="468711B8" w14:textId="77777777" w:rsidR="00E55EDC" w:rsidRDefault="00E55EDC" w:rsidP="00E311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D11"/>
    <w:rsid w:val="00017893"/>
    <w:rsid w:val="00040493"/>
    <w:rsid w:val="000C729C"/>
    <w:rsid w:val="00163080"/>
    <w:rsid w:val="001A651C"/>
    <w:rsid w:val="001D5338"/>
    <w:rsid w:val="00205EE4"/>
    <w:rsid w:val="002C604B"/>
    <w:rsid w:val="002E2E73"/>
    <w:rsid w:val="003127B6"/>
    <w:rsid w:val="004023D8"/>
    <w:rsid w:val="00422708"/>
    <w:rsid w:val="004262B8"/>
    <w:rsid w:val="00457742"/>
    <w:rsid w:val="00591E6F"/>
    <w:rsid w:val="00701843"/>
    <w:rsid w:val="007516AD"/>
    <w:rsid w:val="0077060F"/>
    <w:rsid w:val="00887BE2"/>
    <w:rsid w:val="00901DD0"/>
    <w:rsid w:val="00934D11"/>
    <w:rsid w:val="00A37F63"/>
    <w:rsid w:val="00AE2676"/>
    <w:rsid w:val="00AF03A8"/>
    <w:rsid w:val="00B34F5C"/>
    <w:rsid w:val="00B805B1"/>
    <w:rsid w:val="00BC5A8B"/>
    <w:rsid w:val="00C6013C"/>
    <w:rsid w:val="00C829C3"/>
    <w:rsid w:val="00C97E6D"/>
    <w:rsid w:val="00D7699C"/>
    <w:rsid w:val="00D92FEF"/>
    <w:rsid w:val="00E311FD"/>
    <w:rsid w:val="00E5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2927B"/>
  <w15:chartTrackingRefBased/>
  <w15:docId w15:val="{2E165946-3D04-4AF8-B622-A4D30ECA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D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D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D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D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D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D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D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D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D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D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D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D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D1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34F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4F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4F5C"/>
    <w:rPr>
      <w:sz w:val="20"/>
      <w:szCs w:val="20"/>
    </w:rPr>
  </w:style>
  <w:style w:type="table" w:styleId="TableGrid">
    <w:name w:val="Table Grid"/>
    <w:basedOn w:val="TableNormal"/>
    <w:uiPriority w:val="39"/>
    <w:qFormat/>
    <w:rsid w:val="00B34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34F5C"/>
    <w:rPr>
      <w:rFonts w:asciiTheme="majorHAnsi" w:eastAsia="SimHei" w:hAnsiTheme="majorHAnsi" w:cstheme="majorBid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311F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05E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5E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luo@cae.au.dk" TargetMode="External"/><Relationship Id="rId11" Type="http://schemas.openxmlformats.org/officeDocument/2006/relationships/image" Target="media/image5.tif"/><Relationship Id="rId5" Type="http://schemas.openxmlformats.org/officeDocument/2006/relationships/endnotes" Target="endnotes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674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Luo</dc:creator>
  <cp:keywords/>
  <dc:description/>
  <cp:lastModifiedBy>Qi Luo</cp:lastModifiedBy>
  <cp:revision>13</cp:revision>
  <dcterms:created xsi:type="dcterms:W3CDTF">2025-03-14T07:20:00Z</dcterms:created>
  <dcterms:modified xsi:type="dcterms:W3CDTF">2025-03-14T20:58:00Z</dcterms:modified>
</cp:coreProperties>
</file>