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theme/themeOverride1.xml" ContentType="application/vnd.openxmlformats-officedocument.themeOverride+xml"/>
  <Override PartName="/word/charts/chart2.xml" ContentType="application/vnd.openxmlformats-officedocument.drawingml.chart+xml"/>
  <Override PartName="/word/charts/style2.xml" ContentType="application/vnd.ms-office.chartstyle+xml"/>
  <Override PartName="/word/charts/colors2.xml" ContentType="application/vnd.ms-office.chartcolorstyle+xml"/>
  <Override PartName="/word/theme/themeOverride2.xml" ContentType="application/vnd.openxmlformats-officedocument.themeOverride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D912754" w14:textId="3B0D9A9E" w:rsidR="002B385D" w:rsidRPr="00426474" w:rsidRDefault="002B385D" w:rsidP="002B385D">
      <w:pPr>
        <w:spacing w:before="100" w:beforeAutospacing="1" w:after="100" w:afterAutospacing="1" w:line="360" w:lineRule="auto"/>
        <w:jc w:val="center"/>
        <w:rPr>
          <w:rFonts w:eastAsia="Times New Roman"/>
          <w:bCs/>
          <w:sz w:val="22"/>
          <w:szCs w:val="22"/>
          <w:lang w:eastAsia="en-GB"/>
        </w:rPr>
      </w:pPr>
      <w:r w:rsidRPr="004945C2">
        <w:rPr>
          <w:noProof/>
        </w:rPr>
        <w:drawing>
          <wp:inline distT="0" distB="0" distL="0" distR="0" wp14:anchorId="513C0614" wp14:editId="2CF12B0F">
            <wp:extent cx="3240405" cy="2200275"/>
            <wp:effectExtent l="0" t="0" r="17145" b="9525"/>
            <wp:docPr id="722314565" name="Chart 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5"/>
              </a:graphicData>
            </a:graphic>
          </wp:inline>
        </w:drawing>
      </w:r>
    </w:p>
    <w:p w14:paraId="6B834583" w14:textId="639C7D0F" w:rsidR="002B385D" w:rsidRPr="00B674CF" w:rsidRDefault="002B385D" w:rsidP="002B385D">
      <w:pPr>
        <w:spacing w:before="100" w:beforeAutospacing="1" w:after="100" w:afterAutospacing="1" w:line="360" w:lineRule="auto"/>
        <w:jc w:val="center"/>
        <w:rPr>
          <w:b/>
          <w:sz w:val="22"/>
          <w:szCs w:val="22"/>
          <w:shd w:val="clear" w:color="auto" w:fill="FFFFFF"/>
        </w:rPr>
      </w:pPr>
      <w:r w:rsidRPr="00B674CF">
        <w:rPr>
          <w:b/>
          <w:noProof/>
        </w:rPr>
        <w:drawing>
          <wp:inline distT="0" distB="0" distL="0" distR="0" wp14:anchorId="06C20D1A" wp14:editId="03475BE1">
            <wp:extent cx="3704590" cy="2066925"/>
            <wp:effectExtent l="0" t="0" r="10160" b="9525"/>
            <wp:docPr id="1973480369" name="Chart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6"/>
              </a:graphicData>
            </a:graphic>
          </wp:inline>
        </w:drawing>
      </w:r>
    </w:p>
    <w:p w14:paraId="763C88C5" w14:textId="083FE601" w:rsidR="00DE6AE2" w:rsidRDefault="00DE6AE2" w:rsidP="002B385D"/>
    <w:sectPr w:rsidR="00DE6AE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9F0488E"/>
    <w:multiLevelType w:val="hybridMultilevel"/>
    <w:tmpl w:val="52EC7BF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0267923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B385D"/>
    <w:rsid w:val="002B385D"/>
    <w:rsid w:val="007278E4"/>
    <w:rsid w:val="00937F49"/>
    <w:rsid w:val="00A3738C"/>
    <w:rsid w:val="00CB270D"/>
    <w:rsid w:val="00DE6A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C87FEC6"/>
  <w15:chartTrackingRefBased/>
  <w15:docId w15:val="{6313305A-7A75-47D4-B01E-C6AD86F90B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B385D"/>
    <w:pPr>
      <w:autoSpaceDE w:val="0"/>
      <w:autoSpaceDN w:val="0"/>
      <w:spacing w:after="0" w:line="240" w:lineRule="auto"/>
    </w:pPr>
    <w:rPr>
      <w:rFonts w:ascii="Times New Roman" w:eastAsia="PMingLiU" w:hAnsi="Times New Roman" w:cs="Times New Roman"/>
      <w:kern w:val="0"/>
      <w:sz w:val="20"/>
      <w:szCs w:val="20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2B385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2B385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2B385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B385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B385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B385D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B385D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B385D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B385D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B385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B385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2B385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2B385D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B385D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B385D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B385D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B385D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B385D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2B385D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2B385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2B385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2B385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2B385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2B385D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2B385D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2B385D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B385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2B385D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2B385D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chart" Target="charts/chart2.xml"/><Relationship Id="rId5" Type="http://schemas.openxmlformats.org/officeDocument/2006/relationships/chart" Target="charts/chart1.xml"/><Relationship Id="rId4" Type="http://schemas.openxmlformats.org/officeDocument/2006/relationships/webSettings" Target="webSettings.xml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themeOverride" Target="../theme/themeOverride1.xml"/><Relationship Id="rId2" Type="http://schemas.microsoft.com/office/2011/relationships/chartColorStyle" Target="colors1.xml"/><Relationship Id="rId1" Type="http://schemas.microsoft.com/office/2011/relationships/chartStyle" Target="style1.xml"/><Relationship Id="rId4" Type="http://schemas.openxmlformats.org/officeDocument/2006/relationships/oleObject" Target="file:///C:\Users\Prajwal\Desktop\PR3\simulation%20excel.xlsx" TargetMode="External"/></Relationships>
</file>

<file path=word/charts/_rels/chart2.xml.rels><?xml version="1.0" encoding="UTF-8" standalone="yes"?>
<Relationships xmlns="http://schemas.openxmlformats.org/package/2006/relationships"><Relationship Id="rId3" Type="http://schemas.openxmlformats.org/officeDocument/2006/relationships/themeOverride" Target="../theme/themeOverride2.xml"/><Relationship Id="rId2" Type="http://schemas.microsoft.com/office/2011/relationships/chartColorStyle" Target="colors2.xml"/><Relationship Id="rId1" Type="http://schemas.microsoft.com/office/2011/relationships/chartStyle" Target="style2.xml"/><Relationship Id="rId4" Type="http://schemas.openxmlformats.org/officeDocument/2006/relationships/oleObject" Target="file:///C:\Users\Prajwal\Desktop\PR3\simulation%20excel.xlsx" TargetMode="Externa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title>
      <c:tx>
        <c:rich>
          <a:bodyPr rot="0" spcFirstLastPara="1" vertOverflow="ellipsis" vert="horz" wrap="square" anchor="ctr" anchorCtr="1"/>
          <a:lstStyle/>
          <a:p>
            <a:pPr>
              <a:defRPr sz="1600" b="1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en-US"/>
              <a:t>Beam End Forces (KN)</a:t>
            </a:r>
          </a:p>
        </c:rich>
      </c:tx>
      <c:layout>
        <c:manualLayout>
          <c:xMode val="edge"/>
          <c:yMode val="edge"/>
          <c:x val="0.21653543307086615"/>
          <c:y val="9.7759653231200297E-2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600" b="1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en-US"/>
        </a:p>
      </c:txPr>
    </c:title>
    <c:autoTitleDeleted val="0"/>
    <c:plotArea>
      <c:layout>
        <c:manualLayout>
          <c:layoutTarget val="inner"/>
          <c:xMode val="edge"/>
          <c:yMode val="edge"/>
          <c:x val="6.0790273556231005E-2"/>
          <c:y val="0.30954512146153024"/>
          <c:w val="0.91084093211752781"/>
          <c:h val="0.3048865363445607"/>
        </c:manualLayout>
      </c:layout>
      <c:barChart>
        <c:barDir val="col"/>
        <c:grouping val="clustered"/>
        <c:varyColors val="0"/>
        <c:ser>
          <c:idx val="0"/>
          <c:order val="0"/>
          <c:tx>
            <c:strRef>
              <c:f>Sheet1!$B$1</c:f>
              <c:strCache>
                <c:ptCount val="1"/>
                <c:pt idx="0">
                  <c:v>Max Fx</c:v>
                </c:pt>
              </c:strCache>
            </c:strRef>
          </c:tx>
          <c:spPr>
            <a:gradFill rotWithShape="1">
              <a:gsLst>
                <a:gs pos="0">
                  <a:schemeClr val="accent1">
                    <a:satMod val="103000"/>
                    <a:lumMod val="102000"/>
                    <a:tint val="94000"/>
                  </a:schemeClr>
                </a:gs>
                <a:gs pos="50000">
                  <a:schemeClr val="accent1">
                    <a:satMod val="110000"/>
                    <a:lumMod val="100000"/>
                    <a:shade val="100000"/>
                  </a:schemeClr>
                </a:gs>
                <a:gs pos="100000">
                  <a:schemeClr val="accent1">
                    <a:lumMod val="99000"/>
                    <a:satMod val="120000"/>
                    <a:shade val="78000"/>
                  </a:schemeClr>
                </a:gs>
              </a:gsLst>
              <a:lin ang="5400000" scaled="0"/>
            </a:gradFill>
            <a:ln>
              <a:noFill/>
            </a:ln>
            <a:effectLst>
              <a:outerShdw blurRad="57150" dist="19050" dir="5400000" algn="ctr" rotWithShape="0">
                <a:srgbClr val="000000">
                  <a:alpha val="63000"/>
                </a:srgbClr>
              </a:outerShdw>
            </a:effectLst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en-US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Sheet1!$A$2:$A$4</c:f>
              <c:strCache>
                <c:ptCount val="3"/>
                <c:pt idx="0">
                  <c:v>Simulation 01              (Steel Structure)</c:v>
                </c:pt>
                <c:pt idx="1">
                  <c:v>Simulation 02                (Bamboo Structure)</c:v>
                </c:pt>
                <c:pt idx="2">
                  <c:v>Simulation 03             (Composite Structure)</c:v>
                </c:pt>
              </c:strCache>
            </c:strRef>
          </c:cat>
          <c:val>
            <c:numRef>
              <c:f>Sheet1!$B$2:$B$4</c:f>
              <c:numCache>
                <c:formatCode>General</c:formatCode>
                <c:ptCount val="3"/>
                <c:pt idx="0">
                  <c:v>31.481000000000002</c:v>
                </c:pt>
                <c:pt idx="1">
                  <c:v>30.218</c:v>
                </c:pt>
                <c:pt idx="2">
                  <c:v>30.562999999999999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63BD-47C9-9A34-FD7FA71E6E01}"/>
            </c:ext>
          </c:extLst>
        </c:ser>
        <c:ser>
          <c:idx val="1"/>
          <c:order val="1"/>
          <c:tx>
            <c:strRef>
              <c:f>Sheet1!$C$1</c:f>
              <c:strCache>
                <c:ptCount val="1"/>
                <c:pt idx="0">
                  <c:v>Max Fy</c:v>
                </c:pt>
              </c:strCache>
            </c:strRef>
          </c:tx>
          <c:spPr>
            <a:gradFill rotWithShape="1">
              <a:gsLst>
                <a:gs pos="0">
                  <a:schemeClr val="accent2">
                    <a:satMod val="103000"/>
                    <a:lumMod val="102000"/>
                    <a:tint val="94000"/>
                  </a:schemeClr>
                </a:gs>
                <a:gs pos="50000">
                  <a:schemeClr val="accent2">
                    <a:satMod val="110000"/>
                    <a:lumMod val="100000"/>
                    <a:shade val="100000"/>
                  </a:schemeClr>
                </a:gs>
                <a:gs pos="100000">
                  <a:schemeClr val="accent2">
                    <a:lumMod val="99000"/>
                    <a:satMod val="120000"/>
                    <a:shade val="78000"/>
                  </a:schemeClr>
                </a:gs>
              </a:gsLst>
              <a:lin ang="5400000" scaled="0"/>
            </a:gradFill>
            <a:ln>
              <a:noFill/>
            </a:ln>
            <a:effectLst>
              <a:outerShdw blurRad="57150" dist="19050" dir="5400000" algn="ctr" rotWithShape="0">
                <a:srgbClr val="000000">
                  <a:alpha val="63000"/>
                </a:srgbClr>
              </a:outerShdw>
            </a:effectLst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en-US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Sheet1!$A$2:$A$4</c:f>
              <c:strCache>
                <c:ptCount val="3"/>
                <c:pt idx="0">
                  <c:v>Simulation 01              (Steel Structure)</c:v>
                </c:pt>
                <c:pt idx="1">
                  <c:v>Simulation 02                (Bamboo Structure)</c:v>
                </c:pt>
                <c:pt idx="2">
                  <c:v>Simulation 03             (Composite Structure)</c:v>
                </c:pt>
              </c:strCache>
            </c:strRef>
          </c:cat>
          <c:val>
            <c:numRef>
              <c:f>Sheet1!$C$2:$C$4</c:f>
              <c:numCache>
                <c:formatCode>General</c:formatCode>
                <c:ptCount val="3"/>
                <c:pt idx="0">
                  <c:v>1.9850000000000001</c:v>
                </c:pt>
                <c:pt idx="1">
                  <c:v>1.976</c:v>
                </c:pt>
                <c:pt idx="2">
                  <c:v>1.946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63BD-47C9-9A34-FD7FA71E6E01}"/>
            </c:ext>
          </c:extLst>
        </c:ser>
        <c:ser>
          <c:idx val="2"/>
          <c:order val="2"/>
          <c:tx>
            <c:strRef>
              <c:f>Sheet1!$D$1</c:f>
              <c:strCache>
                <c:ptCount val="1"/>
                <c:pt idx="0">
                  <c:v>Max Fz</c:v>
                </c:pt>
              </c:strCache>
            </c:strRef>
          </c:tx>
          <c:spPr>
            <a:gradFill rotWithShape="1">
              <a:gsLst>
                <a:gs pos="0">
                  <a:schemeClr val="accent3">
                    <a:satMod val="103000"/>
                    <a:lumMod val="102000"/>
                    <a:tint val="94000"/>
                  </a:schemeClr>
                </a:gs>
                <a:gs pos="50000">
                  <a:schemeClr val="accent3">
                    <a:satMod val="110000"/>
                    <a:lumMod val="100000"/>
                    <a:shade val="100000"/>
                  </a:schemeClr>
                </a:gs>
                <a:gs pos="100000">
                  <a:schemeClr val="accent3">
                    <a:lumMod val="99000"/>
                    <a:satMod val="120000"/>
                    <a:shade val="78000"/>
                  </a:schemeClr>
                </a:gs>
              </a:gsLst>
              <a:lin ang="5400000" scaled="0"/>
            </a:gradFill>
            <a:ln>
              <a:noFill/>
            </a:ln>
            <a:effectLst>
              <a:outerShdw blurRad="57150" dist="19050" dir="5400000" algn="ctr" rotWithShape="0">
                <a:srgbClr val="000000">
                  <a:alpha val="63000"/>
                </a:srgbClr>
              </a:outerShdw>
            </a:effectLst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en-US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Sheet1!$A$2:$A$4</c:f>
              <c:strCache>
                <c:ptCount val="3"/>
                <c:pt idx="0">
                  <c:v>Simulation 01              (Steel Structure)</c:v>
                </c:pt>
                <c:pt idx="1">
                  <c:v>Simulation 02                (Bamboo Structure)</c:v>
                </c:pt>
                <c:pt idx="2">
                  <c:v>Simulation 03             (Composite Structure)</c:v>
                </c:pt>
              </c:strCache>
            </c:strRef>
          </c:cat>
          <c:val>
            <c:numRef>
              <c:f>Sheet1!$D$2:$D$4</c:f>
              <c:numCache>
                <c:formatCode>General</c:formatCode>
                <c:ptCount val="3"/>
                <c:pt idx="0">
                  <c:v>0.442</c:v>
                </c:pt>
                <c:pt idx="1">
                  <c:v>0.38900000000000001</c:v>
                </c:pt>
                <c:pt idx="2">
                  <c:v>0.58299999999999996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63BD-47C9-9A34-FD7FA71E6E01}"/>
            </c:ext>
          </c:extLst>
        </c:ser>
        <c:dLbls>
          <c:showLegendKey val="0"/>
          <c:showVal val="1"/>
          <c:showCatName val="0"/>
          <c:showSerName val="0"/>
          <c:showPercent val="0"/>
          <c:showBubbleSize val="0"/>
        </c:dLbls>
        <c:gapWidth val="100"/>
        <c:axId val="641472656"/>
        <c:axId val="641477752"/>
      </c:barChart>
      <c:catAx>
        <c:axId val="641472656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12700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641477752"/>
        <c:crosses val="autoZero"/>
        <c:auto val="1"/>
        <c:lblAlgn val="ctr"/>
        <c:lblOffset val="100"/>
        <c:noMultiLvlLbl val="0"/>
      </c:catAx>
      <c:valAx>
        <c:axId val="641477752"/>
        <c:scaling>
          <c:orientation val="minMax"/>
        </c:scaling>
        <c:delete val="1"/>
        <c:axPos val="l"/>
        <c:numFmt formatCode="General" sourceLinked="1"/>
        <c:majorTickMark val="none"/>
        <c:minorTickMark val="none"/>
        <c:tickLblPos val="nextTo"/>
        <c:crossAx val="641472656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layout>
        <c:manualLayout>
          <c:xMode val="edge"/>
          <c:yMode val="edge"/>
          <c:x val="0.25861777109322009"/>
          <c:y val="0.81602112224318635"/>
          <c:w val="0.48276416290660296"/>
          <c:h val="9.1650316371791177E-2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en-US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en-US"/>
    </a:p>
  </c:txPr>
  <c:externalData r:id="rId4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title>
      <c:tx>
        <c:rich>
          <a:bodyPr rot="0" spcFirstLastPara="1" vertOverflow="ellipsis" vert="horz" wrap="square" anchor="ctr" anchorCtr="1"/>
          <a:lstStyle/>
          <a:p>
            <a:pPr>
              <a:defRPr sz="1600" b="1" i="0" u="none" strike="noStrike" kern="1200" baseline="0">
                <a:solidFill>
                  <a:schemeClr val="tx2"/>
                </a:solidFill>
                <a:latin typeface="+mn-lt"/>
                <a:ea typeface="+mn-ea"/>
                <a:cs typeface="+mn-cs"/>
              </a:defRPr>
            </a:pPr>
            <a:r>
              <a:rPr lang="en-US"/>
              <a:t>Beam Displacements (mm)</a:t>
            </a: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600" b="1" i="0" u="none" strike="noStrike" kern="1200" baseline="0">
              <a:solidFill>
                <a:schemeClr val="tx2"/>
              </a:solidFill>
              <a:latin typeface="+mn-lt"/>
              <a:ea typeface="+mn-ea"/>
              <a:cs typeface="+mn-cs"/>
            </a:defRPr>
          </a:pPr>
          <a:endParaRPr lang="en-US"/>
        </a:p>
      </c:txPr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Sheet1!$B$6</c:f>
              <c:strCache>
                <c:ptCount val="1"/>
                <c:pt idx="0">
                  <c:v>X</c:v>
                </c:pt>
              </c:strCache>
            </c:strRef>
          </c:tx>
          <c:spPr>
            <a:gradFill rotWithShape="1">
              <a:gsLst>
                <a:gs pos="0">
                  <a:schemeClr val="accent1">
                    <a:satMod val="103000"/>
                    <a:lumMod val="102000"/>
                    <a:tint val="94000"/>
                  </a:schemeClr>
                </a:gs>
                <a:gs pos="50000">
                  <a:schemeClr val="accent1">
                    <a:satMod val="110000"/>
                    <a:lumMod val="100000"/>
                    <a:shade val="100000"/>
                  </a:schemeClr>
                </a:gs>
                <a:gs pos="100000">
                  <a:schemeClr val="accent1">
                    <a:lumMod val="99000"/>
                    <a:satMod val="120000"/>
                    <a:shade val="78000"/>
                  </a:schemeClr>
                </a:gs>
              </a:gsLst>
              <a:lin ang="5400000" scaled="0"/>
            </a:gradFill>
            <a:ln>
              <a:noFill/>
            </a:ln>
            <a:effectLst/>
          </c:spPr>
          <c:invertIfNegative val="0"/>
          <c:dLbls>
            <c:dLbl>
              <c:idx val="0"/>
              <c:layout>
                <c:manualLayout>
                  <c:x val="2.7777777777777779E-3"/>
                  <c:y val="2.4632181393992418E-2"/>
                </c:manualLayout>
              </c:layout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0-E2F5-4BAD-91BC-B072BDEB58EF}"/>
                </c:ext>
              </c:extLst>
            </c:dLbl>
            <c:dLbl>
              <c:idx val="1"/>
              <c:layout>
                <c:manualLayout>
                  <c:x val="-5.0925337632079971E-17"/>
                  <c:y val="2.3078885972586761E-2"/>
                </c:manualLayout>
              </c:layout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1-E2F5-4BAD-91BC-B072BDEB58EF}"/>
                </c:ext>
              </c:extLst>
            </c:dLbl>
            <c:dLbl>
              <c:idx val="2"/>
              <c:layout>
                <c:manualLayout>
                  <c:x val="-5.5555555555555558E-3"/>
                  <c:y val="9.1899970836977866E-3"/>
                </c:manualLayout>
              </c:layout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2-E2F5-4BAD-91BC-B072BDEB58EF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2"/>
                    </a:solidFill>
                    <a:latin typeface="+mn-lt"/>
                    <a:ea typeface="+mn-ea"/>
                    <a:cs typeface="+mn-cs"/>
                  </a:defRPr>
                </a:pPr>
                <a:endParaRPr lang="en-US"/>
              </a:p>
            </c:txPr>
            <c:dLblPos val="in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>
                      <a:solidFill>
                        <a:schemeClr val="tx2">
                          <a:lumMod val="35000"/>
                          <a:lumOff val="65000"/>
                        </a:schemeClr>
                      </a:solidFill>
                    </a:ln>
                    <a:effectLst/>
                  </c:spPr>
                </c15:leaderLines>
              </c:ext>
            </c:extLst>
          </c:dLbls>
          <c:cat>
            <c:strRef>
              <c:f>Sheet1!$A$7:$A$9</c:f>
              <c:strCache>
                <c:ptCount val="3"/>
                <c:pt idx="0">
                  <c:v>Simulation 01                           (Steel Structure)</c:v>
                </c:pt>
                <c:pt idx="1">
                  <c:v>Simulation 02                            (Bamboo Structure)</c:v>
                </c:pt>
                <c:pt idx="2">
                  <c:v>Simulation 03                          (Composite Structure)</c:v>
                </c:pt>
              </c:strCache>
            </c:strRef>
          </c:cat>
          <c:val>
            <c:numRef>
              <c:f>Sheet1!$B$7:$B$9</c:f>
              <c:numCache>
                <c:formatCode>General</c:formatCode>
                <c:ptCount val="3"/>
                <c:pt idx="0">
                  <c:v>3.3519999999999999</c:v>
                </c:pt>
                <c:pt idx="1">
                  <c:v>17.079999999999998</c:v>
                </c:pt>
                <c:pt idx="2">
                  <c:v>12.878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3-E2F5-4BAD-91BC-B072BDEB58EF}"/>
            </c:ext>
          </c:extLst>
        </c:ser>
        <c:ser>
          <c:idx val="1"/>
          <c:order val="1"/>
          <c:tx>
            <c:strRef>
              <c:f>Sheet1!$C$6</c:f>
              <c:strCache>
                <c:ptCount val="1"/>
                <c:pt idx="0">
                  <c:v>Y</c:v>
                </c:pt>
              </c:strCache>
            </c:strRef>
          </c:tx>
          <c:spPr>
            <a:gradFill rotWithShape="1">
              <a:gsLst>
                <a:gs pos="0">
                  <a:schemeClr val="accent2">
                    <a:satMod val="103000"/>
                    <a:lumMod val="102000"/>
                    <a:tint val="94000"/>
                  </a:schemeClr>
                </a:gs>
                <a:gs pos="50000">
                  <a:schemeClr val="accent2">
                    <a:satMod val="110000"/>
                    <a:lumMod val="100000"/>
                    <a:shade val="100000"/>
                  </a:schemeClr>
                </a:gs>
                <a:gs pos="100000">
                  <a:schemeClr val="accent2">
                    <a:lumMod val="99000"/>
                    <a:satMod val="120000"/>
                    <a:shade val="78000"/>
                  </a:schemeClr>
                </a:gs>
              </a:gsLst>
              <a:lin ang="5400000" scaled="0"/>
            </a:gradFill>
            <a:ln>
              <a:noFill/>
            </a:ln>
            <a:effectLst/>
          </c:spPr>
          <c:invertIfNegative val="0"/>
          <c:dLbls>
            <c:dLbl>
              <c:idx val="0"/>
              <c:layout>
                <c:manualLayout>
                  <c:x val="5.5555555555555558E-3"/>
                  <c:y val="1.9645669291338499E-2"/>
                </c:manualLayout>
              </c:layout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4-E2F5-4BAD-91BC-B072BDEB58EF}"/>
                </c:ext>
              </c:extLst>
            </c:dLbl>
            <c:dLbl>
              <c:idx val="1"/>
              <c:layout>
                <c:manualLayout>
                  <c:x val="-5.0925337632079971E-17"/>
                  <c:y val="1.3819626713327501E-2"/>
                </c:manualLayout>
              </c:layout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5-E2F5-4BAD-91BC-B072BDEB58EF}"/>
                </c:ext>
              </c:extLst>
            </c:dLbl>
            <c:dLbl>
              <c:idx val="2"/>
              <c:layout>
                <c:manualLayout>
                  <c:x val="0"/>
                  <c:y val="1.3819991251093613E-2"/>
                </c:manualLayout>
              </c:layout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6-E2F5-4BAD-91BC-B072BDEB58EF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2"/>
                    </a:solidFill>
                    <a:latin typeface="+mn-lt"/>
                    <a:ea typeface="+mn-ea"/>
                    <a:cs typeface="+mn-cs"/>
                  </a:defRPr>
                </a:pPr>
                <a:endParaRPr lang="en-US"/>
              </a:p>
            </c:txPr>
            <c:dLblPos val="in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>
                      <a:solidFill>
                        <a:schemeClr val="tx2">
                          <a:lumMod val="35000"/>
                          <a:lumOff val="65000"/>
                        </a:schemeClr>
                      </a:solidFill>
                    </a:ln>
                    <a:effectLst/>
                  </c:spPr>
                </c15:leaderLines>
              </c:ext>
            </c:extLst>
          </c:dLbls>
          <c:cat>
            <c:strRef>
              <c:f>Sheet1!$A$7:$A$9</c:f>
              <c:strCache>
                <c:ptCount val="3"/>
                <c:pt idx="0">
                  <c:v>Simulation 01                           (Steel Structure)</c:v>
                </c:pt>
                <c:pt idx="1">
                  <c:v>Simulation 02                            (Bamboo Structure)</c:v>
                </c:pt>
                <c:pt idx="2">
                  <c:v>Simulation 03                          (Composite Structure)</c:v>
                </c:pt>
              </c:strCache>
            </c:strRef>
          </c:cat>
          <c:val>
            <c:numRef>
              <c:f>Sheet1!$C$7:$C$9</c:f>
              <c:numCache>
                <c:formatCode>General</c:formatCode>
                <c:ptCount val="3"/>
                <c:pt idx="0">
                  <c:v>0.32400000000000001</c:v>
                </c:pt>
                <c:pt idx="1">
                  <c:v>67.906000000000006</c:v>
                </c:pt>
                <c:pt idx="2">
                  <c:v>1.0089999999999999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7-E2F5-4BAD-91BC-B072BDEB58EF}"/>
            </c:ext>
          </c:extLst>
        </c:ser>
        <c:ser>
          <c:idx val="2"/>
          <c:order val="2"/>
          <c:tx>
            <c:strRef>
              <c:f>Sheet1!$D$6</c:f>
              <c:strCache>
                <c:ptCount val="1"/>
                <c:pt idx="0">
                  <c:v>Z</c:v>
                </c:pt>
              </c:strCache>
            </c:strRef>
          </c:tx>
          <c:spPr>
            <a:gradFill rotWithShape="1">
              <a:gsLst>
                <a:gs pos="0">
                  <a:schemeClr val="accent3">
                    <a:satMod val="103000"/>
                    <a:lumMod val="102000"/>
                    <a:tint val="94000"/>
                  </a:schemeClr>
                </a:gs>
                <a:gs pos="50000">
                  <a:schemeClr val="accent3">
                    <a:satMod val="110000"/>
                    <a:lumMod val="100000"/>
                    <a:shade val="100000"/>
                  </a:schemeClr>
                </a:gs>
                <a:gs pos="100000">
                  <a:schemeClr val="accent3">
                    <a:lumMod val="99000"/>
                    <a:satMod val="120000"/>
                    <a:shade val="78000"/>
                  </a:schemeClr>
                </a:gs>
              </a:gsLst>
              <a:lin ang="5400000" scaled="0"/>
            </a:gradFill>
            <a:ln>
              <a:noFill/>
            </a:ln>
            <a:effectLst/>
          </c:spPr>
          <c:invertIfNegative val="0"/>
          <c:dLbls>
            <c:dLbl>
              <c:idx val="1"/>
              <c:layout>
                <c:manualLayout>
                  <c:x val="0"/>
                  <c:y val="-2.108121901429073E-3"/>
                </c:manualLayout>
              </c:layout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8-E2F5-4BAD-91BC-B072BDEB58EF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2"/>
                    </a:solidFill>
                    <a:latin typeface="+mn-lt"/>
                    <a:ea typeface="+mn-ea"/>
                    <a:cs typeface="+mn-cs"/>
                  </a:defRPr>
                </a:pPr>
                <a:endParaRPr lang="en-US"/>
              </a:p>
            </c:txPr>
            <c:dLblPos val="in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>
                      <a:solidFill>
                        <a:schemeClr val="tx2">
                          <a:lumMod val="35000"/>
                          <a:lumOff val="65000"/>
                        </a:schemeClr>
                      </a:solidFill>
                    </a:ln>
                    <a:effectLst/>
                  </c:spPr>
                </c15:leaderLines>
              </c:ext>
            </c:extLst>
          </c:dLbls>
          <c:cat>
            <c:strRef>
              <c:f>Sheet1!$A$7:$A$9</c:f>
              <c:strCache>
                <c:ptCount val="3"/>
                <c:pt idx="0">
                  <c:v>Simulation 01                           (Steel Structure)</c:v>
                </c:pt>
                <c:pt idx="1">
                  <c:v>Simulation 02                            (Bamboo Structure)</c:v>
                </c:pt>
                <c:pt idx="2">
                  <c:v>Simulation 03                          (Composite Structure)</c:v>
                </c:pt>
              </c:strCache>
            </c:strRef>
          </c:cat>
          <c:val>
            <c:numRef>
              <c:f>Sheet1!$D$7:$D$9</c:f>
              <c:numCache>
                <c:formatCode>General</c:formatCode>
                <c:ptCount val="3"/>
                <c:pt idx="0">
                  <c:v>1.008</c:v>
                </c:pt>
                <c:pt idx="1">
                  <c:v>8.58</c:v>
                </c:pt>
                <c:pt idx="2">
                  <c:v>3.7240000000000002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9-E2F5-4BAD-91BC-B072BDEB58EF}"/>
            </c:ext>
          </c:extLst>
        </c:ser>
        <c:ser>
          <c:idx val="3"/>
          <c:order val="3"/>
          <c:tx>
            <c:strRef>
              <c:f>Sheet1!$E$6</c:f>
              <c:strCache>
                <c:ptCount val="1"/>
                <c:pt idx="0">
                  <c:v>Resultant</c:v>
                </c:pt>
              </c:strCache>
            </c:strRef>
          </c:tx>
          <c:spPr>
            <a:gradFill rotWithShape="1">
              <a:gsLst>
                <a:gs pos="0">
                  <a:schemeClr val="accent4">
                    <a:satMod val="103000"/>
                    <a:lumMod val="102000"/>
                    <a:tint val="94000"/>
                  </a:schemeClr>
                </a:gs>
                <a:gs pos="50000">
                  <a:schemeClr val="accent4">
                    <a:satMod val="110000"/>
                    <a:lumMod val="100000"/>
                    <a:shade val="100000"/>
                  </a:schemeClr>
                </a:gs>
                <a:gs pos="100000">
                  <a:schemeClr val="accent4">
                    <a:lumMod val="99000"/>
                    <a:satMod val="120000"/>
                    <a:shade val="78000"/>
                  </a:schemeClr>
                </a:gs>
              </a:gsLst>
              <a:lin ang="5400000" scaled="0"/>
            </a:gradFill>
            <a:ln>
              <a:noFill/>
            </a:ln>
            <a:effectLst/>
          </c:spPr>
          <c:invertIfNegative val="0"/>
          <c:dLbls>
            <c:dLbl>
              <c:idx val="0"/>
              <c:layout>
                <c:manualLayout>
                  <c:x val="0"/>
                  <c:y val="1.9652595508894637E-2"/>
                </c:manualLayout>
              </c:layout>
              <c:tx>
                <c:rich>
                  <a:bodyPr/>
                  <a:lstStyle/>
                  <a:p>
                    <a:fld id="{C744B508-E6E5-4753-964B-6099C06761BF}" type="VALUE">
                      <a:rPr lang="en-US"/>
                      <a:pPr/>
                      <a:t>[VALUE]</a:t>
                    </a:fld>
                    <a:endParaRPr lang="en-US"/>
                  </a:p>
                </c:rich>
              </c:tx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dlblFieldTable/>
                  <c15:showDataLabelsRange val="0"/>
                </c:ext>
                <c:ext xmlns:c16="http://schemas.microsoft.com/office/drawing/2014/chart" uri="{C3380CC4-5D6E-409C-BE32-E72D297353CC}">
                  <c16:uniqueId val="{0000000A-E2F5-4BAD-91BC-B072BDEB58EF}"/>
                </c:ext>
              </c:extLst>
            </c:dLbl>
            <c:dLbl>
              <c:idx val="1"/>
              <c:layout>
                <c:manualLayout>
                  <c:x val="0"/>
                  <c:y val="9.1899970836978283E-3"/>
                </c:manualLayout>
              </c:layout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B-E2F5-4BAD-91BC-B072BDEB58EF}"/>
                </c:ext>
              </c:extLst>
            </c:dLbl>
            <c:dLbl>
              <c:idx val="2"/>
              <c:layout>
                <c:manualLayout>
                  <c:x val="-1.0185067526415994E-16"/>
                  <c:y val="9.1899970836978283E-3"/>
                </c:manualLayout>
              </c:layout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C-E2F5-4BAD-91BC-B072BDEB58EF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2"/>
                    </a:solidFill>
                    <a:latin typeface="+mn-lt"/>
                    <a:ea typeface="+mn-ea"/>
                    <a:cs typeface="+mn-cs"/>
                  </a:defRPr>
                </a:pPr>
                <a:endParaRPr lang="en-US"/>
              </a:p>
            </c:txPr>
            <c:showLegendKey val="0"/>
            <c:showVal val="0"/>
            <c:showCatName val="0"/>
            <c:showSerName val="0"/>
            <c:showPercent val="0"/>
            <c:showBubbleSize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>
                      <a:solidFill>
                        <a:schemeClr val="tx2">
                          <a:lumMod val="35000"/>
                          <a:lumOff val="65000"/>
                        </a:schemeClr>
                      </a:solidFill>
                    </a:ln>
                    <a:effectLst/>
                  </c:spPr>
                </c15:leaderLines>
              </c:ext>
            </c:extLst>
          </c:dLbls>
          <c:cat>
            <c:strRef>
              <c:f>Sheet1!$A$7:$A$9</c:f>
              <c:strCache>
                <c:ptCount val="3"/>
                <c:pt idx="0">
                  <c:v>Simulation 01                           (Steel Structure)</c:v>
                </c:pt>
                <c:pt idx="1">
                  <c:v>Simulation 02                            (Bamboo Structure)</c:v>
                </c:pt>
                <c:pt idx="2">
                  <c:v>Simulation 03                          (Composite Structure)</c:v>
                </c:pt>
              </c:strCache>
            </c:strRef>
          </c:cat>
          <c:val>
            <c:numRef>
              <c:f>Sheet1!$E$7:$E$9</c:f>
              <c:numCache>
                <c:formatCode>General</c:formatCode>
                <c:ptCount val="3"/>
                <c:pt idx="0">
                  <c:v>8.375</c:v>
                </c:pt>
                <c:pt idx="1">
                  <c:v>67.921999999999997</c:v>
                </c:pt>
                <c:pt idx="2">
                  <c:v>12.878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D-E2F5-4BAD-91BC-B072BDEB58EF}"/>
            </c:ext>
          </c:extLst>
        </c:ser>
        <c:dLbls>
          <c:dLblPos val="inEnd"/>
          <c:showLegendKey val="0"/>
          <c:showVal val="1"/>
          <c:showCatName val="0"/>
          <c:showSerName val="0"/>
          <c:showPercent val="0"/>
          <c:showBubbleSize val="0"/>
        </c:dLbls>
        <c:gapWidth val="100"/>
        <c:overlap val="-24"/>
        <c:axId val="388275888"/>
        <c:axId val="388269616"/>
      </c:barChart>
      <c:catAx>
        <c:axId val="388275888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2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2"/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388269616"/>
        <c:crosses val="autoZero"/>
        <c:auto val="1"/>
        <c:lblAlgn val="ctr"/>
        <c:lblOffset val="100"/>
        <c:noMultiLvlLbl val="0"/>
      </c:catAx>
      <c:valAx>
        <c:axId val="388269616"/>
        <c:scaling>
          <c:orientation val="minMax"/>
        </c:scaling>
        <c:delete val="0"/>
        <c:axPos val="l"/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2"/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388275888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2"/>
              </a:solidFill>
              <a:latin typeface="+mn-lt"/>
              <a:ea typeface="+mn-ea"/>
              <a:cs typeface="+mn-cs"/>
            </a:defRPr>
          </a:pPr>
          <a:endParaRPr lang="en-US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2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en-US"/>
    </a:p>
  </c:txPr>
  <c:externalData r:id="rId4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340">
  <cs:axisTitle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12700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2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3">
      <cs:styleClr val="auto"/>
    </cs:fillRef>
    <cs:effectRef idx="3"/>
    <cs:fontRef idx="minor">
      <a:schemeClr val="lt1"/>
    </cs:fontRef>
  </cs:dataPoint>
  <cs:dataPoint3D>
    <cs:lnRef idx="0"/>
    <cs:fillRef idx="3">
      <cs:styleClr val="auto"/>
    </cs:fillRef>
    <cs:effectRef idx="3"/>
    <cs:fontRef idx="minor">
      <a:schemeClr val="lt1"/>
    </cs:fontRef>
  </cs:dataPoint3D>
  <cs:dataPointLine>
    <cs:lnRef idx="0">
      <cs:styleClr val="auto"/>
    </cs:lnRef>
    <cs:fillRef idx="3"/>
    <cs:effectRef idx="3"/>
    <cs:fontRef idx="minor">
      <a:schemeClr val="lt1"/>
    </cs:fontRef>
    <cs:spPr>
      <a:ln w="3492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3">
      <cs:styleClr val="auto"/>
    </cs:fillRef>
    <cs:effectRef idx="3"/>
    <cs:fontRef idx="minor">
      <a:schemeClr val="lt1"/>
    </cs:fontRef>
    <cs:spPr>
      <a:ln w="9525">
        <a:solidFill>
          <a:schemeClr val="phClr"/>
        </a:solidFill>
        <a:round/>
      </a:ln>
    </cs:spPr>
  </cs:dataPointMarker>
  <cs:dataPointMarkerLayout symbol="circle" size="6"/>
  <cs:dataPointWireframe>
    <cs:lnRef idx="0">
      <cs:styleClr val="auto"/>
    </cs:lnRef>
    <cs:fillRef idx="3"/>
    <cs:effectRef idx="3"/>
    <cs:fontRef idx="minor">
      <a:schemeClr val="lt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lt1"/>
    </cs:fontRef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>
    <cs:lnRef idx="0"/>
    <cs:fillRef idx="0"/>
    <cs:effectRef idx="0"/>
    <cs:fontRef idx="minor">
      <a:schemeClr val="lt1"/>
    </cs:fontRef>
  </cs:plotArea>
  <cs:plotArea3D>
    <cs:lnRef idx="0"/>
    <cs:fillRef idx="0"/>
    <cs:effectRef idx="0"/>
    <cs:fontRef idx="minor">
      <a:schemeClr val="lt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spPr>
      <a:ln w="12700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600" b="1" kern="1200" baseline="0"/>
  </cs:title>
  <cs:trendline>
    <cs:lnRef idx="0">
      <cs:styleClr val="auto"/>
    </cs:lnRef>
    <cs:fillRef idx="0"/>
    <cs:effectRef idx="0"/>
    <cs:fontRef idx="minor">
      <a:schemeClr val="lt1"/>
    </cs:fontRef>
    <cs:spPr>
      <a:ln w="19050" cap="rnd">
        <a:solidFill>
          <a:schemeClr val="phClr"/>
        </a:solidFill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lt1"/>
    </cs:fontRef>
  </cs:wall>
</cs:chartStyle>
</file>

<file path=word/charts/style2.xml><?xml version="1.0" encoding="utf-8"?>
<cs:chartStyle xmlns:cs="http://schemas.microsoft.com/office/drawing/2012/chartStyle" xmlns:a="http://schemas.openxmlformats.org/drawingml/2006/main" id="207">
  <cs:axisTitle>
    <cs:lnRef idx="0"/>
    <cs:fillRef idx="0"/>
    <cs:effectRef idx="0"/>
    <cs:fontRef idx="minor">
      <a:schemeClr val="tx2"/>
    </cs:fontRef>
    <cs:defRPr sz="900" b="1" kern="1200"/>
  </cs:axisTitle>
  <cs:categoryAxis>
    <cs:lnRef idx="0"/>
    <cs:fillRef idx="0"/>
    <cs:effectRef idx="0"/>
    <cs:fontRef idx="minor">
      <a:schemeClr val="tx2"/>
    </cs:fontRef>
    <cs:spPr>
      <a:ln w="9525" cap="flat" cmpd="sng" algn="ctr">
        <a:solidFill>
          <a:schemeClr val="tx2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2"/>
    </cs:fontRef>
    <cs:spPr>
      <a:solidFill>
        <a:schemeClr val="bg1"/>
      </a:solidFill>
      <a:ln w="9525" cap="flat" cmpd="sng" algn="ctr">
        <a:solidFill>
          <a:schemeClr val="tx2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2"/>
    </cs:fontRef>
    <cs:defRPr sz="900" kern="1200"/>
  </cs:dataLabel>
  <cs:dataLabelCallout>
    <cs:lnRef idx="0"/>
    <cs:fillRef idx="0"/>
    <cs:effectRef idx="0"/>
    <cs:fontRef idx="minor">
      <a:schemeClr val="dk2">
        <a:lumMod val="7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3">
      <cs:styleClr val="auto"/>
    </cs:fillRef>
    <cs:effectRef idx="2"/>
    <cs:fontRef idx="minor">
      <a:schemeClr val="tx2"/>
    </cs:fontRef>
  </cs:dataPoint>
  <cs:dataPoint3D>
    <cs:lnRef idx="0"/>
    <cs:fillRef idx="3">
      <cs:styleClr val="auto"/>
    </cs:fillRef>
    <cs:effectRef idx="2"/>
    <cs:fontRef idx="minor">
      <a:schemeClr val="tx2"/>
    </cs:fontRef>
  </cs:dataPoint3D>
  <cs:dataPointLine>
    <cs:lnRef idx="0">
      <cs:styleClr val="auto"/>
    </cs:lnRef>
    <cs:fillRef idx="3"/>
    <cs:effectRef idx="2"/>
    <cs:fontRef idx="minor">
      <a:schemeClr val="tx2"/>
    </cs:fontRef>
    <cs:spPr>
      <a:ln w="31750" cap="rnd">
        <a:solidFill>
          <a:schemeClr val="phClr"/>
        </a:solidFill>
        <a:round/>
      </a:ln>
    </cs:spPr>
  </cs:dataPointLine>
  <cs:dataPointMarker>
    <cs:lnRef idx="0"/>
    <cs:fillRef idx="3">
      <cs:styleClr val="auto"/>
    </cs:fillRef>
    <cs:effectRef idx="2"/>
    <cs:fontRef idx="minor">
      <a:schemeClr val="tx2"/>
    </cs:fontRef>
    <cs:spPr>
      <a:ln w="12700">
        <a:solidFill>
          <a:schemeClr val="lt2"/>
        </a:solidFill>
        <a:round/>
      </a:ln>
    </cs:spPr>
  </cs:dataPointMarker>
  <cs:dataPointMarkerLayout symbol="circle" size="6"/>
  <cs:dataPointWireframe>
    <cs:lnRef idx="0">
      <cs:styleClr val="auto"/>
    </cs:lnRef>
    <cs:fillRef idx="3"/>
    <cs:effectRef idx="2"/>
    <cs:fontRef idx="minor">
      <a:schemeClr val="tx2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2"/>
    </cs:fontRef>
    <cs:spPr>
      <a:ln w="9525">
        <a:solidFill>
          <a:schemeClr val="tx2">
            <a:lumMod val="15000"/>
            <a:lumOff val="85000"/>
          </a:schemeClr>
        </a:solidFill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2"/>
    </cs:fontRef>
    <cs:spPr>
      <a:ln w="9525">
        <a:solidFill>
          <a:schemeClr val="tx2">
            <a:lumMod val="60000"/>
            <a:lumOff val="40000"/>
          </a:schemeClr>
        </a:solidFill>
        <a:prstDash val="dash"/>
      </a:ln>
    </cs:spPr>
  </cs:dropLine>
  <cs:errorBar>
    <cs:lnRef idx="0"/>
    <cs:fillRef idx="0"/>
    <cs:effectRef idx="0"/>
    <cs:fontRef idx="minor">
      <a:schemeClr val="tx2"/>
    </cs:fontRef>
    <cs:spPr>
      <a:ln w="9525">
        <a:solidFill>
          <a:schemeClr val="tx2">
            <a:lumMod val="75000"/>
            <a:lumOff val="25000"/>
          </a:schemeClr>
        </a:solidFill>
        <a:round/>
      </a:ln>
    </cs:spPr>
  </cs:errorBar>
  <cs:floor>
    <cs:lnRef idx="0"/>
    <cs:fillRef idx="0"/>
    <cs:effectRef idx="0"/>
    <cs:fontRef idx="minor">
      <a:schemeClr val="tx2"/>
    </cs:fontRef>
  </cs:floor>
  <cs:gridlineMajor>
    <cs:lnRef idx="0"/>
    <cs:fillRef idx="0"/>
    <cs:effectRef idx="0"/>
    <cs:fontRef idx="minor">
      <a:schemeClr val="tx2"/>
    </cs:fontRef>
    <cs:spPr>
      <a:ln w="9525" cap="flat" cmpd="sng" algn="ctr">
        <a:solidFill>
          <a:schemeClr val="tx2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2"/>
    </cs:fontRef>
    <cs:spPr>
      <a:ln>
        <a:solidFill>
          <a:schemeClr val="tx2">
            <a:lumMod val="5000"/>
            <a:lumOff val="95000"/>
          </a:schemeClr>
        </a:solidFill>
      </a:ln>
    </cs:spPr>
  </cs:gridlineMinor>
  <cs:hiLoLine>
    <cs:lnRef idx="0"/>
    <cs:fillRef idx="0"/>
    <cs:effectRef idx="0"/>
    <cs:fontRef idx="minor">
      <a:schemeClr val="tx2"/>
    </cs:fontRef>
    <cs:spPr>
      <a:ln w="9525">
        <a:solidFill>
          <a:schemeClr val="tx2">
            <a:lumMod val="60000"/>
            <a:lumOff val="40000"/>
          </a:schemeClr>
        </a:solidFill>
        <a:prstDash val="dash"/>
      </a:ln>
    </cs:spPr>
  </cs:hiLoLine>
  <cs:leaderLine>
    <cs:lnRef idx="0"/>
    <cs:fillRef idx="0"/>
    <cs:effectRef idx="0"/>
    <cs:fontRef idx="minor">
      <a:schemeClr val="tx2"/>
    </cs:fontRef>
    <cs:spPr>
      <a:ln w="9525">
        <a:solidFill>
          <a:schemeClr val="tx2">
            <a:lumMod val="35000"/>
            <a:lumOff val="65000"/>
          </a:schemeClr>
        </a:solidFill>
      </a:ln>
    </cs:spPr>
  </cs:leaderLine>
  <cs:legend>
    <cs:lnRef idx="0"/>
    <cs:fillRef idx="0"/>
    <cs:effectRef idx="0"/>
    <cs:fontRef idx="minor">
      <a:schemeClr val="tx2"/>
    </cs:fontRef>
    <cs:defRPr sz="900" kern="1200"/>
  </cs:legend>
  <cs:plotArea>
    <cs:lnRef idx="0"/>
    <cs:fillRef idx="0"/>
    <cs:effectRef idx="0"/>
    <cs:fontRef idx="minor">
      <a:schemeClr val="tx2"/>
    </cs:fontRef>
  </cs:plotArea>
  <cs:plotArea3D>
    <cs:lnRef idx="0"/>
    <cs:fillRef idx="0"/>
    <cs:effectRef idx="0"/>
    <cs:fontRef idx="minor">
      <a:schemeClr val="tx2"/>
    </cs:fontRef>
  </cs:plotArea3D>
  <cs:seriesAxis>
    <cs:lnRef idx="0"/>
    <cs:fillRef idx="0"/>
    <cs:effectRef idx="0"/>
    <cs:fontRef idx="minor">
      <a:schemeClr val="tx2"/>
    </cs:fontRef>
    <cs:spPr>
      <a:ln w="9525" cap="flat" cmpd="sng" algn="ctr">
        <a:solidFill>
          <a:schemeClr val="tx2">
            <a:lumMod val="15000"/>
            <a:lumOff val="85000"/>
          </a:schemeClr>
        </a:solidFill>
        <a:round/>
      </a:ln>
    </cs:spPr>
    <cs:defRPr sz="900" kern="1200"/>
  </cs:seriesAxis>
  <cs:seriesLine>
    <cs:lnRef idx="0"/>
    <cs:fillRef idx="0"/>
    <cs:effectRef idx="0"/>
    <cs:fontRef idx="minor">
      <a:schemeClr val="tx2"/>
    </cs:fontRef>
    <cs:spPr>
      <a:ln w="9525">
        <a:solidFill>
          <a:schemeClr val="tx2">
            <a:lumMod val="60000"/>
            <a:lumOff val="40000"/>
          </a:schemeClr>
        </a:solidFill>
        <a:prstDash val="dash"/>
      </a:ln>
    </cs:spPr>
  </cs:seriesLine>
  <cs:title>
    <cs:lnRef idx="0"/>
    <cs:fillRef idx="0"/>
    <cs:effectRef idx="0"/>
    <cs:fontRef idx="minor">
      <a:schemeClr val="tx2"/>
    </cs:fontRef>
    <cs:defRPr sz="1600" b="1" kern="1200"/>
  </cs:title>
  <cs:trendline>
    <cs:lnRef idx="0">
      <cs:styleClr val="auto"/>
    </cs:lnRef>
    <cs:fillRef idx="0"/>
    <cs:effectRef idx="0"/>
    <cs:fontRef idx="minor">
      <a:schemeClr val="tx2"/>
    </cs:fontRef>
    <cs:spPr>
      <a:ln w="19050" cap="rnd">
        <a:solidFill>
          <a:schemeClr val="phClr"/>
        </a:solidFill>
        <a:prstDash val="sysDash"/>
      </a:ln>
    </cs:spPr>
  </cs:trendline>
  <cs:trendlineLabel>
    <cs:lnRef idx="0"/>
    <cs:fillRef idx="0"/>
    <cs:effectRef idx="0"/>
    <cs:fontRef idx="minor">
      <a:schemeClr val="tx2"/>
    </cs:fontRef>
    <cs:defRPr sz="900" kern="1200"/>
  </cs:trendlineLabel>
  <cs:upBar>
    <cs:lnRef idx="0"/>
    <cs:fillRef idx="0"/>
    <cs:effectRef idx="0"/>
    <cs:fontRef idx="minor">
      <a:schemeClr val="tx2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2"/>
    </cs:fontRef>
    <cs:defRPr sz="900" kern="1200"/>
  </cs:valueAxis>
  <cs:wall>
    <cs:lnRef idx="0"/>
    <cs:fillRef idx="0"/>
    <cs:effectRef idx="0"/>
    <cs:fontRef idx="minor">
      <a:schemeClr val="tx2"/>
    </cs:fontRef>
  </cs:wall>
</cs:chartStyle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word/theme/themeOverride1.xml><?xml version="1.0" encoding="utf-8"?>
<a:themeOverride xmlns:a="http://schemas.openxmlformats.org/drawingml/2006/main">
  <a:clrScheme name="Office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5B9BD5"/>
    </a:accent1>
    <a:accent2>
      <a:srgbClr val="ED7D31"/>
    </a:accent2>
    <a:accent3>
      <a:srgbClr val="A5A5A5"/>
    </a:accent3>
    <a:accent4>
      <a:srgbClr val="FFC000"/>
    </a:accent4>
    <a:accent5>
      <a:srgbClr val="4472C4"/>
    </a:accent5>
    <a:accent6>
      <a:srgbClr val="70AD47"/>
    </a:accent6>
    <a:hlink>
      <a:srgbClr val="0563C1"/>
    </a:hlink>
    <a:folHlink>
      <a:srgbClr val="954F72"/>
    </a:folHlink>
  </a:clrScheme>
  <a:fontScheme name="Office">
    <a:majorFont>
      <a:latin typeface="Calibri Light" panose="020F0302020204030204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 panose="020F0502020204030204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Office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word/theme/themeOverride2.xml><?xml version="1.0" encoding="utf-8"?>
<a:themeOverride xmlns:a="http://schemas.openxmlformats.org/drawingml/2006/main">
  <a:clrScheme name="Office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5B9BD5"/>
    </a:accent1>
    <a:accent2>
      <a:srgbClr val="ED7D31"/>
    </a:accent2>
    <a:accent3>
      <a:srgbClr val="A5A5A5"/>
    </a:accent3>
    <a:accent4>
      <a:srgbClr val="FFC000"/>
    </a:accent4>
    <a:accent5>
      <a:srgbClr val="4472C4"/>
    </a:accent5>
    <a:accent6>
      <a:srgbClr val="70AD47"/>
    </a:accent6>
    <a:hlink>
      <a:srgbClr val="0563C1"/>
    </a:hlink>
    <a:folHlink>
      <a:srgbClr val="954F72"/>
    </a:folHlink>
  </a:clrScheme>
  <a:fontScheme name="Office">
    <a:majorFont>
      <a:latin typeface="Calibri Light" panose="020F0302020204030204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 panose="020F0502020204030204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Office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4</Characters>
  <Application>Microsoft Office Word</Application>
  <DocSecurity>0</DocSecurity>
  <Lines>1</Lines>
  <Paragraphs>1</Paragraphs>
  <ScaleCrop>false</ScaleCrop>
  <Company>Springer Nature</Company>
  <LinksUpToDate>false</LinksUpToDate>
  <CharactersWithSpaces>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Nilesh Nawale</dc:creator>
  <cp:keywords/>
  <dc:description/>
  <cp:lastModifiedBy>Nilesh Nawale</cp:lastModifiedBy>
  <cp:revision>1</cp:revision>
  <dcterms:created xsi:type="dcterms:W3CDTF">2025-04-22T11:01:00Z</dcterms:created>
  <dcterms:modified xsi:type="dcterms:W3CDTF">2025-04-22T11:02:00Z</dcterms:modified>
</cp:coreProperties>
</file>