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  <w:rtl w:val="0"/>
        </w:rPr>
        <w:t xml:space="preserve">SUPPLEMENT 3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mbria" w:cs="Cambria" w:eastAsia="Cambria" w:hAnsi="Cambria"/>
          <w:b w:val="1"/>
          <w:sz w:val="26"/>
          <w:szCs w:val="26"/>
        </w:rPr>
      </w:pPr>
      <w:r w:rsidDel="00000000" w:rsidR="00000000" w:rsidRPr="00000000">
        <w:rPr>
          <w:rFonts w:ascii="Cambria" w:cs="Cambria" w:eastAsia="Cambria" w:hAnsi="Cambria"/>
          <w:b w:val="1"/>
          <w:sz w:val="26"/>
          <w:szCs w:val="26"/>
        </w:rPr>
        <w:drawing>
          <wp:inline distB="114300" distT="114300" distL="114300" distR="114300">
            <wp:extent cx="3135819" cy="609788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35819" cy="60978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Compulsive buying represented alongside distress and case numbers in the US and according to income groups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Fonts w:ascii="Cambria" w:cs="Cambria" w:eastAsia="Cambria" w:hAnsi="Cambria"/>
          <w:i w:val="1"/>
          <w:rtl w:val="0"/>
        </w:rPr>
        <w:t xml:space="preserve">Note: smoothed lines are presented to reduce noise in visualising. Case numbers are taken from https://www.ecdc.europa.eu/en/publications-data/download-todays-data-geographic-distribution-covid-19-cases-worldwide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