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EC179" w14:textId="77777777" w:rsidR="000C326E" w:rsidRPr="003E61C3" w:rsidRDefault="000C326E" w:rsidP="000C326E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3E61C3">
        <w:rPr>
          <w:rFonts w:ascii="Times New Roman" w:hAnsi="Times New Roman" w:cs="Times New Roman"/>
          <w:bCs/>
          <w:sz w:val="32"/>
          <w:szCs w:val="32"/>
        </w:rPr>
        <w:t xml:space="preserve">Supplementary </w:t>
      </w:r>
      <w:bookmarkStart w:id="0" w:name="_Hlk193208852"/>
      <w:r>
        <w:rPr>
          <w:rFonts w:ascii="Times New Roman" w:hAnsi="Times New Roman" w:cs="Times New Roman" w:hint="eastAsia"/>
          <w:bCs/>
          <w:sz w:val="32"/>
          <w:szCs w:val="32"/>
        </w:rPr>
        <w:t>Information</w:t>
      </w:r>
      <w:bookmarkEnd w:id="0"/>
    </w:p>
    <w:p w14:paraId="5F90FF65" w14:textId="77777777" w:rsidR="000C326E" w:rsidRDefault="000C326E" w:rsidP="000C326E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58A2A79F" w14:textId="77777777" w:rsidR="000C326E" w:rsidRPr="004E1BB5" w:rsidRDefault="000C326E" w:rsidP="000C326E">
      <w:pPr>
        <w:spacing w:line="480" w:lineRule="auto"/>
        <w:jc w:val="center"/>
        <w:rPr>
          <w:rFonts w:ascii="Times New Roman" w:hAnsi="Times New Roman" w:cs="Times New Roman"/>
        </w:rPr>
      </w:pPr>
      <w:r w:rsidRPr="00E02E3A">
        <w:rPr>
          <w:rFonts w:ascii="Times New Roman" w:hAnsi="Times New Roman" w:cs="Times New Roman"/>
          <w:b/>
          <w:sz w:val="32"/>
        </w:rPr>
        <w:t>A lateral valley tunnel junction controlled by ferroelectric polarization</w:t>
      </w:r>
    </w:p>
    <w:p w14:paraId="73057392" w14:textId="77777777" w:rsidR="000C326E" w:rsidRPr="004E1BB5" w:rsidRDefault="000C326E" w:rsidP="000C326E">
      <w:pPr>
        <w:spacing w:line="480" w:lineRule="auto"/>
        <w:rPr>
          <w:rFonts w:ascii="Times New Roman" w:hAnsi="Times New Roman" w:cs="Times New Roman"/>
        </w:rPr>
      </w:pPr>
    </w:p>
    <w:p w14:paraId="332FAF10" w14:textId="77777777" w:rsidR="000C326E" w:rsidRDefault="000C326E" w:rsidP="000C326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t>Kai Chang</w:t>
      </w:r>
      <w:r w:rsidRPr="00D455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4556E">
        <w:rPr>
          <w:rFonts w:ascii="Times New Roman" w:hAnsi="Times New Roman" w:cs="Times New Roman"/>
          <w:sz w:val="24"/>
          <w:szCs w:val="24"/>
        </w:rPr>
        <w:t>*</w:t>
      </w:r>
      <w:r w:rsidRPr="00CE65E7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C4AF0">
        <w:rPr>
          <w:rFonts w:ascii="Times New Roman" w:hAnsi="Times New Roman" w:cs="Times New Roman"/>
          <w:sz w:val="24"/>
          <w:szCs w:val="24"/>
        </w:rPr>
        <w:t>, Jing-Rong Ji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E65E7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C4AF0">
        <w:rPr>
          <w:rFonts w:ascii="Times New Roman" w:hAnsi="Times New Roman" w:cs="Times New Roman"/>
          <w:sz w:val="24"/>
          <w:szCs w:val="24"/>
        </w:rPr>
        <w:t>, Zi’Ang Gao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E65E7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C4AF0">
        <w:rPr>
          <w:rFonts w:ascii="Times New Roman" w:hAnsi="Times New Roman" w:cs="Times New Roman"/>
          <w:sz w:val="24"/>
          <w:szCs w:val="24"/>
        </w:rPr>
        <w:t>, Angiolo Huamán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C4AF0">
        <w:rPr>
          <w:rFonts w:ascii="Times New Roman" w:hAnsi="Times New Roman" w:cs="Times New Roman"/>
          <w:sz w:val="24"/>
          <w:szCs w:val="24"/>
        </w:rPr>
        <w:t>, Rui-Qi Cao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5C4AF0">
        <w:rPr>
          <w:rFonts w:ascii="Times New Roman" w:hAnsi="Times New Roman" w:cs="Times New Roman"/>
          <w:sz w:val="24"/>
          <w:szCs w:val="24"/>
        </w:rPr>
        <w:t>, Wen-Lin Wang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C4AF0">
        <w:rPr>
          <w:rFonts w:ascii="Times New Roman" w:hAnsi="Times New Roman" w:cs="Times New Roman"/>
          <w:sz w:val="24"/>
          <w:szCs w:val="24"/>
        </w:rPr>
        <w:t>, Chengguang Yue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C4AF0">
        <w:rPr>
          <w:rFonts w:ascii="Times New Roman" w:hAnsi="Times New Roman" w:cs="Times New Roman"/>
          <w:sz w:val="24"/>
          <w:szCs w:val="24"/>
        </w:rPr>
        <w:t>, Chong Liu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C4AF0">
        <w:rPr>
          <w:rFonts w:ascii="Times New Roman" w:hAnsi="Times New Roman" w:cs="Times New Roman"/>
          <w:sz w:val="24"/>
          <w:szCs w:val="24"/>
        </w:rPr>
        <w:t>, Salvador Barraza-Lopez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6533B">
        <w:rPr>
          <w:rFonts w:ascii="Times New Roman" w:hAnsi="Times New Roman" w:cs="Times New Roman"/>
          <w:sz w:val="24"/>
          <w:szCs w:val="24"/>
        </w:rPr>
        <w:t>*</w:t>
      </w:r>
      <w:r w:rsidRPr="005C4AF0">
        <w:rPr>
          <w:rFonts w:ascii="Times New Roman" w:hAnsi="Times New Roman" w:cs="Times New Roman"/>
          <w:sz w:val="24"/>
          <w:szCs w:val="24"/>
        </w:rPr>
        <w:t>, Stuart S. P. Parkin</w:t>
      </w:r>
      <w:r w:rsidRPr="005C4AF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C4AF0">
        <w:rPr>
          <w:rFonts w:ascii="Times New Roman" w:hAnsi="Times New Roman" w:cs="Times New Roman"/>
          <w:sz w:val="24"/>
          <w:szCs w:val="24"/>
        </w:rPr>
        <w:t>*</w:t>
      </w:r>
    </w:p>
    <w:p w14:paraId="475BB894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C4CF59" w14:textId="77777777" w:rsidR="000C326E" w:rsidRPr="005C4AF0" w:rsidRDefault="000C326E" w:rsidP="000C326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6533B">
        <w:rPr>
          <w:rFonts w:ascii="Times New Roman" w:hAnsi="Times New Roman" w:cs="Times New Roman"/>
          <w:sz w:val="24"/>
          <w:szCs w:val="24"/>
        </w:rPr>
        <w:t xml:space="preserve">† </w:t>
      </w:r>
      <w:r w:rsidRPr="005C4AF0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14:paraId="2D534B0C" w14:textId="77777777" w:rsidR="000C326E" w:rsidRDefault="000C326E" w:rsidP="000C326E">
      <w:pPr>
        <w:spacing w:line="480" w:lineRule="auto"/>
        <w:jc w:val="left"/>
        <w:rPr>
          <w:rStyle w:val="af2"/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t>* Corresponding authors</w:t>
      </w:r>
      <w:r>
        <w:rPr>
          <w:rFonts w:ascii="Times New Roman" w:hAnsi="Times New Roman" w:cs="Times New Roman"/>
          <w:sz w:val="24"/>
          <w:szCs w:val="24"/>
        </w:rPr>
        <w:t xml:space="preserve">. Emails: </w:t>
      </w:r>
      <w:hyperlink r:id="rId6" w:history="1">
        <w:r w:rsidRPr="005C4AF0">
          <w:rPr>
            <w:rStyle w:val="af2"/>
            <w:rFonts w:ascii="Times New Roman" w:hAnsi="Times New Roman" w:cs="Times New Roman"/>
            <w:sz w:val="24"/>
            <w:szCs w:val="24"/>
          </w:rPr>
          <w:t>changkai@baqis.ac.cn</w:t>
        </w:r>
      </w:hyperlink>
      <w:r w:rsidRPr="005C4AF0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Pr="005C4AF0">
          <w:rPr>
            <w:rStyle w:val="af2"/>
            <w:rFonts w:ascii="Times New Roman" w:hAnsi="Times New Roman" w:cs="Times New Roman"/>
            <w:sz w:val="24"/>
            <w:szCs w:val="24"/>
          </w:rPr>
          <w:t>sbarraza@uark.edu</w:t>
        </w:r>
      </w:hyperlink>
      <w:r w:rsidRPr="005C4AF0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Pr="005C4AF0">
          <w:rPr>
            <w:rStyle w:val="af2"/>
            <w:rFonts w:ascii="Times New Roman" w:hAnsi="Times New Roman" w:cs="Times New Roman"/>
            <w:sz w:val="24"/>
            <w:szCs w:val="24"/>
          </w:rPr>
          <w:t>stuart.parkin@mpi-halle.mpg.de</w:t>
        </w:r>
      </w:hyperlink>
    </w:p>
    <w:p w14:paraId="6F72CA4C" w14:textId="77777777" w:rsidR="000C326E" w:rsidRDefault="000C326E" w:rsidP="000C326E">
      <w:pPr>
        <w:spacing w:line="480" w:lineRule="auto"/>
        <w:jc w:val="left"/>
        <w:rPr>
          <w:rStyle w:val="af2"/>
          <w:rFonts w:ascii="Times New Roman" w:hAnsi="Times New Roman" w:cs="Times New Roman"/>
          <w:sz w:val="24"/>
          <w:szCs w:val="24"/>
        </w:rPr>
      </w:pPr>
    </w:p>
    <w:p w14:paraId="21C7B5A1" w14:textId="77777777" w:rsidR="000C326E" w:rsidRPr="003E61C3" w:rsidRDefault="000C326E" w:rsidP="000C326E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E61C3">
        <w:rPr>
          <w:rFonts w:ascii="Times New Roman" w:hAnsi="Times New Roman" w:cs="Times New Roman"/>
          <w:b/>
          <w:bCs/>
          <w:sz w:val="24"/>
          <w:szCs w:val="24"/>
        </w:rPr>
        <w:t xml:space="preserve">This PDF file includes: </w:t>
      </w:r>
    </w:p>
    <w:p w14:paraId="7382F4AC" w14:textId="4CA7B1C0" w:rsidR="000C326E" w:rsidRPr="005C4AF0" w:rsidRDefault="000C326E" w:rsidP="000C326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E61C3">
        <w:rPr>
          <w:rFonts w:ascii="Times New Roman" w:hAnsi="Times New Roman" w:cs="Times New Roman"/>
          <w:sz w:val="24"/>
          <w:szCs w:val="24"/>
        </w:rPr>
        <w:t>Supplementary Fig</w:t>
      </w:r>
      <w:r w:rsidR="003D384A">
        <w:rPr>
          <w:rFonts w:ascii="Times New Roman" w:hAnsi="Times New Roman" w:cs="Times New Roman" w:hint="eastAsia"/>
          <w:sz w:val="24"/>
          <w:szCs w:val="24"/>
        </w:rPr>
        <w:t>ures</w:t>
      </w:r>
      <w:r w:rsidRPr="003E61C3">
        <w:rPr>
          <w:rFonts w:ascii="Times New Roman" w:hAnsi="Times New Roman" w:cs="Times New Roman"/>
          <w:sz w:val="24"/>
          <w:szCs w:val="24"/>
        </w:rPr>
        <w:t xml:space="preserve"> S1 to S</w:t>
      </w:r>
      <w:r>
        <w:rPr>
          <w:rFonts w:ascii="Times New Roman" w:hAnsi="Times New Roman" w:cs="Times New Roman"/>
          <w:sz w:val="24"/>
          <w:szCs w:val="24"/>
        </w:rPr>
        <w:t>8</w:t>
      </w:r>
    </w:p>
    <w:p w14:paraId="01F156C3" w14:textId="77777777" w:rsidR="000C326E" w:rsidRPr="004E1BB5" w:rsidRDefault="000C326E" w:rsidP="000C326E">
      <w:pPr>
        <w:spacing w:line="480" w:lineRule="auto"/>
        <w:rPr>
          <w:rFonts w:ascii="Times New Roman" w:hAnsi="Times New Roman" w:cs="Times New Roman"/>
        </w:rPr>
      </w:pPr>
    </w:p>
    <w:p w14:paraId="229A1616" w14:textId="77777777" w:rsidR="000C326E" w:rsidRPr="004E1BB5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4E1BB5">
        <w:rPr>
          <w:rFonts w:ascii="Times New Roman" w:hAnsi="Times New Roman" w:cs="Times New Roman"/>
        </w:rPr>
        <w:br w:type="page"/>
      </w:r>
    </w:p>
    <w:p w14:paraId="0C4E1A05" w14:textId="77777777" w:rsidR="000C326E" w:rsidRPr="005C4AF0" w:rsidRDefault="000C326E" w:rsidP="000C326E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5ED8F651" wp14:editId="446E67C7">
            <wp:extent cx="3416300" cy="2525361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8479" cy="253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8FBFF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 S</w:t>
      </w:r>
      <w:r w:rsidRPr="005C4AF0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 Band alignment of SnTe/PbTe monolayer LSLs at room temperature. </w:t>
      </w:r>
      <w:r w:rsidRPr="005C4AF0">
        <w:rPr>
          <w:rFonts w:ascii="Times New Roman" w:hAnsi="Times New Roman" w:cs="Times New Roman"/>
          <w:sz w:val="24"/>
          <w:szCs w:val="24"/>
        </w:rPr>
        <w:t>Spatially resolved d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>/d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 w:rsidRPr="005C4AF0">
        <w:rPr>
          <w:rFonts w:ascii="Times New Roman" w:hAnsi="Times New Roman" w:cs="Times New Roman"/>
          <w:sz w:val="24"/>
          <w:szCs w:val="24"/>
        </w:rPr>
        <w:t xml:space="preserve"> spectra acquired at 300 K along the path indicated by the dashed arrow in the inset image. Setpoints: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1.5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30 pA for positive bias voltage and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−0.6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30 pA for negative bias voltage. The seesaw band bending is no longer seen given that the SnTe monolayer is paraelectric at this temperature.</w:t>
      </w:r>
    </w:p>
    <w:p w14:paraId="29F838BC" w14:textId="77777777" w:rsidR="000C326E" w:rsidRPr="005C4AF0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br w:type="page"/>
      </w:r>
    </w:p>
    <w:p w14:paraId="32A548A2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901BC7" wp14:editId="65867D01">
            <wp:extent cx="5704386" cy="2245767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1682" cy="22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03B82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 S</w:t>
      </w:r>
      <w:r w:rsidRPr="005C4AF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C4AF0">
        <w:rPr>
          <w:rFonts w:ascii="Times New Roman" w:hAnsi="Times New Roman" w:cs="Times New Roman"/>
          <w:b/>
          <w:sz w:val="24"/>
          <w:szCs w:val="24"/>
        </w:rPr>
        <w:t>Differential conductance spectra across a dual-junction structure acquired at 4.7 K.</w:t>
      </w:r>
      <w:r w:rsidRPr="005C4A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a,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4AF0">
        <w:rPr>
          <w:rFonts w:ascii="Times New Roman" w:hAnsi="Times New Roman" w:cs="Times New Roman"/>
          <w:sz w:val="24"/>
          <w:szCs w:val="24"/>
        </w:rPr>
        <w:t xml:space="preserve">Topography image of the dual-junction structure. This image was acquired at a bias voltage between the CBMs of SnTe and PbTe MLs, thus the PbTe sections appear higher than those of SnTe. Setpoint: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 w:rsidRPr="005C4AF0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1.5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3 pA. The blue and green dashed squares indicate the areas that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4A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S8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F6CAD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6CAD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5C4AF0">
        <w:rPr>
          <w:rFonts w:ascii="Times New Roman" w:hAnsi="Times New Roman" w:cs="Times New Roman"/>
          <w:sz w:val="24"/>
          <w:szCs w:val="24"/>
        </w:rPr>
        <w:t xml:space="preserve"> were acquired.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b,</w:t>
      </w:r>
      <w:r w:rsidRPr="005C4AF0">
        <w:rPr>
          <w:rFonts w:ascii="Times New Roman" w:hAnsi="Times New Roman" w:cs="Times New Roman"/>
          <w:sz w:val="24"/>
          <w:szCs w:val="24"/>
        </w:rPr>
        <w:t xml:space="preserve"> d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>/d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 w:rsidRPr="005C4AF0">
        <w:rPr>
          <w:rFonts w:ascii="Times New Roman" w:hAnsi="Times New Roman" w:cs="Times New Roman"/>
          <w:sz w:val="24"/>
          <w:szCs w:val="24"/>
        </w:rPr>
        <w:t xml:space="preserve"> spectra acquired along the dashed arrow in 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5C4AF0">
        <w:rPr>
          <w:rFonts w:ascii="Times New Roman" w:hAnsi="Times New Roman" w:cs="Times New Roman"/>
          <w:sz w:val="24"/>
          <w:szCs w:val="24"/>
        </w:rPr>
        <w:t xml:space="preserve">. This structure was grown on bilayer graphene substrate, thereby the VBM is below </w:t>
      </w:r>
      <w:r w:rsidRPr="005C4AF0">
        <w:rPr>
          <w:rFonts w:ascii="Times New Roman" w:hAnsi="Times New Roman" w:cs="Times New Roman"/>
          <w:i/>
          <w:sz w:val="24"/>
          <w:szCs w:val="24"/>
        </w:rPr>
        <w:t>E</w:t>
      </w:r>
      <w:r w:rsidRPr="005C4AF0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5C4AF0">
        <w:rPr>
          <w:rFonts w:ascii="Times New Roman" w:hAnsi="Times New Roman" w:cs="Times New Roman"/>
          <w:sz w:val="24"/>
          <w:szCs w:val="24"/>
        </w:rPr>
        <w:t>, different from that in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4AF0">
        <w:rPr>
          <w:rFonts w:ascii="Times New Roman" w:hAnsi="Times New Roman" w:cs="Times New Roman"/>
          <w:sz w:val="24"/>
          <w:szCs w:val="24"/>
        </w:rPr>
        <w:t xml:space="preserve"> 3. Setpoint: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 w:rsidRPr="005C4AF0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−0.4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100 pA. Discontinuities in section I can be observed at −0.16 eV and −0.27 eV, corresponding to the energies of the band apices of the second- and third-order 1D bound states in section III.</w:t>
      </w:r>
    </w:p>
    <w:p w14:paraId="7A5796BB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3E8018" w14:textId="77777777" w:rsidR="000C326E" w:rsidRPr="005C4AF0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br w:type="page"/>
      </w:r>
    </w:p>
    <w:p w14:paraId="31C4CB72" w14:textId="77777777" w:rsidR="000C326E" w:rsidRPr="005C4AF0" w:rsidRDefault="000C326E" w:rsidP="000C326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7675CA" wp14:editId="2291ABD6">
            <wp:extent cx="5274310" cy="207264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DAD21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 S</w:t>
      </w:r>
      <w:r w:rsidRPr="005C4AF0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C4AF0">
        <w:rPr>
          <w:rFonts w:ascii="Times New Roman" w:hAnsi="Times New Roman" w:cs="Times New Roman"/>
          <w:b/>
          <w:bCs/>
          <w:sz w:val="24"/>
          <w:szCs w:val="24"/>
        </w:rPr>
        <w:t>Potential energy for the quantum mechanical model of lateral ferroelectric tunnel junction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5C4AF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C4AF0">
        <w:rPr>
          <w:rFonts w:ascii="Times New Roman" w:hAnsi="Times New Roman" w:cs="Times New Roman"/>
          <w:sz w:val="24"/>
          <w:szCs w:val="24"/>
        </w:rPr>
        <w:t xml:space="preserve">Regions (i), (ii), (I) and (III) are SnTe 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5C4AF0">
        <w:rPr>
          <w:rFonts w:ascii="Times New Roman" w:hAnsi="Times New Roman" w:cs="Times New Roman"/>
          <w:sz w:val="24"/>
          <w:szCs w:val="24"/>
        </w:rPr>
        <w:t xml:space="preserve"> sections, a</w:t>
      </w:r>
      <w:r>
        <w:rPr>
          <w:rFonts w:ascii="Times New Roman" w:hAnsi="Times New Roman" w:cs="Times New Roman"/>
          <w:sz w:val="24"/>
          <w:szCs w:val="24"/>
        </w:rPr>
        <w:t>nd</w:t>
      </w:r>
      <w:r w:rsidRPr="005C4AF0">
        <w:rPr>
          <w:rFonts w:ascii="Times New Roman" w:hAnsi="Times New Roman" w:cs="Times New Roman"/>
          <w:sz w:val="24"/>
          <w:szCs w:val="24"/>
        </w:rPr>
        <w:t xml:space="preserve"> the polarization </w:t>
      </w:r>
      <w:r>
        <w:rPr>
          <w:rFonts w:ascii="Times New Roman" w:hAnsi="Times New Roman" w:cs="Times New Roman"/>
          <w:sz w:val="24"/>
          <w:szCs w:val="24"/>
        </w:rPr>
        <w:t xml:space="preserve">direction </w:t>
      </w:r>
      <w:r w:rsidRPr="00B1443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5C4AF0">
        <w:rPr>
          <w:rFonts w:ascii="Times New Roman" w:hAnsi="Times New Roman" w:cs="Times New Roman"/>
          <w:sz w:val="24"/>
          <w:szCs w:val="24"/>
        </w:rPr>
        <w:t xml:space="preserve"> is rotated 90° in (i) and (ii) with respect to (I) and (III). Due to the suppression of transmission through SnTe </w:t>
      </w:r>
      <w:r>
        <w:rPr>
          <w:rFonts w:ascii="Times New Roman" w:hAnsi="Times New Roman" w:cs="Times New Roman"/>
          <w:sz w:val="24"/>
          <w:szCs w:val="24"/>
        </w:rPr>
        <w:t>ML</w:t>
      </w:r>
      <w:r w:rsidRPr="005C4AF0">
        <w:rPr>
          <w:rFonts w:ascii="Times New Roman" w:hAnsi="Times New Roman" w:cs="Times New Roman"/>
          <w:sz w:val="24"/>
          <w:szCs w:val="24"/>
        </w:rPr>
        <w:t xml:space="preserve"> regions of mutually orthogonal polarization, we represent the interfaces (i)/(I) and (III)/(ii) as infinite barriers with negligible width. The paraelectric PbTe strip is modelled as a barrier of height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 w:rsidRPr="005C4AF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C4AF0">
        <w:rPr>
          <w:rFonts w:ascii="Times New Roman" w:hAnsi="Times New Roman" w:cs="Times New Roman"/>
          <w:sz w:val="24"/>
          <w:szCs w:val="24"/>
        </w:rPr>
        <w:t xml:space="preserve">, width </w:t>
      </w:r>
      <w:r w:rsidRPr="005C4AF0">
        <w:rPr>
          <w:rFonts w:ascii="Times New Roman" w:hAnsi="Times New Roman" w:cs="Times New Roman"/>
          <w:i/>
          <w:sz w:val="24"/>
          <w:szCs w:val="24"/>
        </w:rPr>
        <w:t>L</w:t>
      </w:r>
      <w:r w:rsidRPr="005C4AF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C4AF0">
        <w:rPr>
          <w:rFonts w:ascii="Times New Roman" w:hAnsi="Times New Roman" w:cs="Times New Roman"/>
          <w:sz w:val="24"/>
          <w:szCs w:val="24"/>
        </w:rPr>
        <w:t xml:space="preserve"> and at a </w:t>
      </w:r>
      <w:r w:rsidRPr="005C4AF0">
        <w:rPr>
          <w:rFonts w:ascii="Times New Roman" w:hAnsi="Times New Roman" w:cs="Times New Roman"/>
          <w:i/>
          <w:sz w:val="24"/>
          <w:szCs w:val="24"/>
        </w:rPr>
        <w:t>L</w:t>
      </w:r>
      <w:r w:rsidRPr="005C4AF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C4AF0">
        <w:rPr>
          <w:rFonts w:ascii="Times New Roman" w:hAnsi="Times New Roman" w:cs="Times New Roman"/>
          <w:sz w:val="24"/>
          <w:szCs w:val="24"/>
        </w:rPr>
        <w:t xml:space="preserve"> distance of the (III)/(ii) interface, with boundaries </w:t>
      </w:r>
      <w:r w:rsidRPr="005C4AF0">
        <w:rPr>
          <w:rFonts w:ascii="Times New Roman" w:hAnsi="Times New Roman" w:cs="Times New Roman"/>
          <w:i/>
          <w:iCs/>
          <w:sz w:val="24"/>
          <w:szCs w:val="24"/>
        </w:rPr>
        <w:t>a = L − L</w:t>
      </w:r>
      <w:r w:rsidRPr="005C4AF0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5C4AF0">
        <w:rPr>
          <w:rFonts w:ascii="Times New Roman" w:hAnsi="Times New Roman" w:cs="Times New Roman"/>
          <w:i/>
          <w:iCs/>
          <w:sz w:val="24"/>
          <w:szCs w:val="24"/>
        </w:rPr>
        <w:t xml:space="preserve"> − L</w:t>
      </w:r>
      <w:r w:rsidRPr="005C4AF0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5C4AF0">
        <w:rPr>
          <w:rFonts w:ascii="Times New Roman" w:hAnsi="Times New Roman" w:cs="Times New Roman"/>
          <w:sz w:val="24"/>
          <w:szCs w:val="24"/>
        </w:rPr>
        <w:t xml:space="preserve"> and </w:t>
      </w:r>
      <w:r w:rsidRPr="005C4AF0">
        <w:rPr>
          <w:rFonts w:ascii="Times New Roman" w:hAnsi="Times New Roman" w:cs="Times New Roman"/>
          <w:i/>
          <w:iCs/>
          <w:sz w:val="24"/>
          <w:szCs w:val="24"/>
        </w:rPr>
        <w:t>b = L − L</w:t>
      </w:r>
      <w:r w:rsidRPr="005C4AF0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5C4AF0">
        <w:rPr>
          <w:rFonts w:ascii="Times New Roman" w:hAnsi="Times New Roman" w:cs="Times New Roman"/>
          <w:sz w:val="24"/>
          <w:szCs w:val="24"/>
        </w:rPr>
        <w:t>. The potential is zero otherwise. The numerical values of all the relevant parameters are given in</w:t>
      </w:r>
      <w:r>
        <w:rPr>
          <w:rFonts w:ascii="Times New Roman" w:hAnsi="Times New Roman" w:cs="Times New Roman"/>
          <w:sz w:val="24"/>
          <w:szCs w:val="24"/>
        </w:rPr>
        <w:t xml:space="preserve"> part 4 of the Methods section</w:t>
      </w:r>
      <w:r w:rsidRPr="005C4AF0">
        <w:rPr>
          <w:rFonts w:ascii="Times New Roman" w:hAnsi="Times New Roman" w:cs="Times New Roman"/>
          <w:sz w:val="24"/>
          <w:szCs w:val="24"/>
        </w:rPr>
        <w:t>.</w:t>
      </w:r>
    </w:p>
    <w:p w14:paraId="38A7A73A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C7268D" w14:textId="77777777" w:rsidR="000C326E" w:rsidRPr="005C4AF0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br w:type="page"/>
      </w:r>
    </w:p>
    <w:p w14:paraId="7D1EB7D3" w14:textId="77777777" w:rsidR="000C326E" w:rsidRPr="005C4AF0" w:rsidRDefault="000C326E" w:rsidP="000C326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7A087C" wp14:editId="69A44B6B">
            <wp:extent cx="3149600" cy="5212046"/>
            <wp:effectExtent l="0" t="0" r="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54637" cy="522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F1A3B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5C4AF0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43F8A">
        <w:rPr>
          <w:rFonts w:ascii="Times New Roman" w:hAnsi="Times New Roman" w:cs="Times New Roman"/>
          <w:b/>
          <w:bCs/>
          <w:sz w:val="24"/>
          <w:szCs w:val="24"/>
        </w:rPr>
        <w:t>Energy dependence of the d</w:t>
      </w:r>
      <w:r w:rsidRPr="00043F8A">
        <w:rPr>
          <w:rFonts w:ascii="Times New Roman" w:hAnsi="Times New Roman" w:cs="Times New Roman"/>
          <w:b/>
          <w:bCs/>
          <w:i/>
          <w:sz w:val="24"/>
          <w:szCs w:val="24"/>
        </w:rPr>
        <w:t>I</w:t>
      </w:r>
      <w:r w:rsidRPr="00043F8A">
        <w:rPr>
          <w:rFonts w:ascii="Times New Roman" w:hAnsi="Times New Roman" w:cs="Times New Roman"/>
          <w:b/>
          <w:bCs/>
          <w:sz w:val="24"/>
          <w:szCs w:val="24"/>
        </w:rPr>
        <w:t>/d</w:t>
      </w:r>
      <w:r w:rsidRPr="00043F8A">
        <w:rPr>
          <w:rFonts w:ascii="Times New Roman" w:hAnsi="Times New Roman" w:cs="Times New Roman"/>
          <w:b/>
          <w:bCs/>
          <w:i/>
          <w:sz w:val="24"/>
          <w:szCs w:val="24"/>
        </w:rPr>
        <w:t>V</w:t>
      </w:r>
      <w:r w:rsidRPr="00043F8A">
        <w:rPr>
          <w:rFonts w:ascii="Times New Roman" w:hAnsi="Times New Roman" w:cs="Times New Roman"/>
          <w:b/>
          <w:bCs/>
          <w:sz w:val="24"/>
          <w:szCs w:val="24"/>
        </w:rPr>
        <w:t xml:space="preserve"> intensity profiles extracted from 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43F8A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043F8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C4AF0">
        <w:rPr>
          <w:rFonts w:ascii="Times New Roman" w:hAnsi="Times New Roman" w:cs="Times New Roman"/>
          <w:sz w:val="24"/>
          <w:szCs w:val="24"/>
        </w:rPr>
        <w:t xml:space="preserve"> The data points in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4A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B63D7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5C4AF0">
        <w:rPr>
          <w:rFonts w:ascii="Times New Roman" w:hAnsi="Times New Roman" w:cs="Times New Roman"/>
          <w:sz w:val="24"/>
          <w:szCs w:val="24"/>
        </w:rPr>
        <w:t xml:space="preserve"> are derived from these curves following the definition in Fig</w:t>
      </w:r>
      <w:r>
        <w:rPr>
          <w:rFonts w:ascii="Times New Roman" w:hAnsi="Times New Roman" w:cs="Times New Roman"/>
          <w:sz w:val="24"/>
          <w:szCs w:val="24"/>
        </w:rPr>
        <w:t>. 3</w:t>
      </w:r>
      <w:r w:rsidRPr="00CB63D7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5C4AF0">
        <w:rPr>
          <w:rFonts w:ascii="Times New Roman" w:hAnsi="Times New Roman" w:cs="Times New Roman"/>
          <w:sz w:val="24"/>
          <w:szCs w:val="24"/>
        </w:rPr>
        <w:t>. Corresponding energies are labeled on the right. An averaged constant background has been subtracted in each profile. The profiles are vertically shifted with an interval of 0.25 nS for clarity.</w:t>
      </w:r>
    </w:p>
    <w:p w14:paraId="0D1E1796" w14:textId="77777777" w:rsidR="000C326E" w:rsidRPr="005C4AF0" w:rsidRDefault="000C326E" w:rsidP="000C326E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br w:type="page"/>
      </w:r>
      <w:r w:rsidRPr="005C4A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EE47EC" wp14:editId="764A12D4">
            <wp:extent cx="5274310" cy="2129155"/>
            <wp:effectExtent l="0" t="0" r="254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B9A46" w14:textId="77777777" w:rsidR="000C326E" w:rsidRPr="005C4AF0" w:rsidRDefault="000C326E" w:rsidP="000C326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 S</w:t>
      </w:r>
      <w:r w:rsidRPr="005C4AF0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Absence of energy dependence in the effective position of the tunnel barrier between two SnTe ML sections with polarization directions perpendicular to each other. </w:t>
      </w:r>
      <w:r>
        <w:rPr>
          <w:rFonts w:ascii="Times New Roman" w:hAnsi="Times New Roman" w:cs="Times New Roman" w:hint="eastAsia"/>
          <w:b/>
          <w:sz w:val="24"/>
          <w:szCs w:val="24"/>
        </w:rPr>
        <w:t>a,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4AF0">
        <w:rPr>
          <w:rFonts w:ascii="Times New Roman" w:hAnsi="Times New Roman" w:cs="Times New Roman"/>
          <w:sz w:val="24"/>
          <w:szCs w:val="24"/>
        </w:rPr>
        <w:t>Spatially resolved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4AF0">
        <w:rPr>
          <w:rFonts w:ascii="Times New Roman" w:hAnsi="Times New Roman" w:cs="Times New Roman"/>
          <w:sz w:val="24"/>
          <w:szCs w:val="24"/>
        </w:rPr>
        <w:t>d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>/d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 w:rsidRPr="005C4AF0">
        <w:rPr>
          <w:rFonts w:ascii="Times New Roman" w:hAnsi="Times New Roman" w:cs="Times New Roman"/>
          <w:sz w:val="24"/>
          <w:szCs w:val="24"/>
        </w:rPr>
        <w:t xml:space="preserve"> spectra acquired across two tunnel junctions. The Roman labels I to V indicate the same material sections as those in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4A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B63D7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5C4AF0">
        <w:rPr>
          <w:rFonts w:ascii="Times New Roman" w:hAnsi="Times New Roman" w:cs="Times New Roman"/>
          <w:sz w:val="24"/>
          <w:szCs w:val="24"/>
        </w:rPr>
        <w:t xml:space="preserve"> of main text. Setpoint: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−0.2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50 pA. </w:t>
      </w:r>
      <w:r>
        <w:rPr>
          <w:rFonts w:ascii="Times New Roman" w:hAnsi="Times New Roman" w:cs="Times New Roman" w:hint="eastAsia"/>
          <w:b/>
          <w:sz w:val="24"/>
          <w:szCs w:val="24"/>
        </w:rPr>
        <w:t>b,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4AF0">
        <w:rPr>
          <w:rFonts w:ascii="Times New Roman" w:hAnsi="Times New Roman" w:cs="Times New Roman"/>
          <w:sz w:val="24"/>
          <w:szCs w:val="24"/>
        </w:rPr>
        <w:t>Extracted tunnel barrier effective positions (</w:t>
      </w:r>
      <w:r>
        <w:rPr>
          <w:rFonts w:ascii="Times New Roman" w:hAnsi="Times New Roman" w:cs="Times New Roman" w:hint="eastAsia"/>
          <w:sz w:val="24"/>
          <w:szCs w:val="24"/>
        </w:rPr>
        <w:t>red</w:t>
      </w:r>
      <w:r w:rsidRPr="005C4AF0">
        <w:rPr>
          <w:rFonts w:ascii="Times New Roman" w:hAnsi="Times New Roman" w:cs="Times New Roman"/>
          <w:sz w:val="24"/>
          <w:szCs w:val="24"/>
        </w:rPr>
        <w:t xml:space="preserve"> spots) between regions III and V, which exhibit no observable energy dependence. </w:t>
      </w:r>
    </w:p>
    <w:p w14:paraId="5EDA65E4" w14:textId="77777777" w:rsidR="000C326E" w:rsidRPr="005C4AF0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br w:type="page"/>
      </w:r>
    </w:p>
    <w:p w14:paraId="7B83BC55" w14:textId="77777777" w:rsidR="000C326E" w:rsidRPr="005C4AF0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7DD0749" w14:textId="77777777" w:rsidR="000C326E" w:rsidRPr="005C4AF0" w:rsidRDefault="000C326E" w:rsidP="000C326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C15703" wp14:editId="1E33DBA5">
            <wp:extent cx="3855492" cy="1927746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63172" cy="1931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D3F7B" w14:textId="77777777" w:rsidR="000C326E" w:rsidRPr="00794985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5C4AF0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. Simulated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43F8A">
        <w:rPr>
          <w:rFonts w:ascii="Times New Roman" w:hAnsi="Times New Roman" w:cs="Times New Roman"/>
          <w:b/>
          <w:bCs/>
          <w:sz w:val="24"/>
          <w:szCs w:val="24"/>
        </w:rPr>
        <w:t>nergy dependence of the effective barrier positions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94985">
        <w:rPr>
          <w:rFonts w:ascii="Times New Roman" w:hAnsi="Times New Roman" w:cs="Times New Roman"/>
          <w:sz w:val="24"/>
          <w:szCs w:val="24"/>
        </w:rPr>
        <w:t xml:space="preserve">The value of </w:t>
      </w:r>
      <w:r w:rsidRPr="00794985">
        <w:rPr>
          <w:rFonts w:ascii="Times New Roman" w:hAnsi="Times New Roman" w:cs="Times New Roman"/>
          <w:i/>
          <w:sz w:val="24"/>
          <w:szCs w:val="24"/>
        </w:rPr>
        <w:t>x</w:t>
      </w:r>
      <w:r w:rsidRPr="00794985">
        <w:rPr>
          <w:rFonts w:ascii="Times New Roman" w:hAnsi="Times New Roman" w:cs="Times New Roman"/>
          <w:sz w:val="24"/>
          <w:szCs w:val="24"/>
          <w:vertAlign w:val="subscript"/>
        </w:rPr>
        <w:t>b</w:t>
      </w:r>
      <w:r w:rsidRPr="00794985">
        <w:rPr>
          <w:rFonts w:ascii="Times New Roman" w:hAnsi="Times New Roman" w:cs="Times New Roman"/>
          <w:sz w:val="24"/>
          <w:szCs w:val="24"/>
        </w:rPr>
        <w:t xml:space="preserve"> (red dots) was extracted from the simulated electronic standing wave patterns in Fig. 3</w:t>
      </w:r>
      <w:r w:rsidRPr="00CB63D7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overlaid into</w:t>
      </w:r>
      <w:r w:rsidRPr="00794985">
        <w:rPr>
          <w:rFonts w:ascii="Times New Roman" w:hAnsi="Times New Roman" w:cs="Times New Roman"/>
          <w:sz w:val="24"/>
          <w:szCs w:val="24"/>
        </w:rPr>
        <w:t xml:space="preserve"> the raw data.</w:t>
      </w:r>
    </w:p>
    <w:p w14:paraId="0B2921DC" w14:textId="77777777" w:rsidR="000C326E" w:rsidRPr="005C4AF0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br w:type="page"/>
      </w:r>
    </w:p>
    <w:p w14:paraId="4404B609" w14:textId="77777777" w:rsidR="000C326E" w:rsidRDefault="000C326E" w:rsidP="000C326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C4A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7DFC58" wp14:editId="6A4686AC">
            <wp:extent cx="5274310" cy="31788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84B31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5C4AF0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43F8A">
        <w:rPr>
          <w:rFonts w:ascii="Times New Roman" w:hAnsi="Times New Roman" w:cs="Times New Roman"/>
          <w:b/>
          <w:bCs/>
          <w:sz w:val="24"/>
          <w:szCs w:val="24"/>
        </w:rPr>
        <w:t xml:space="preserve">Schematic of the domain wall manipulation procedure. </w:t>
      </w:r>
      <w:r w:rsidRPr="005C4AF0">
        <w:rPr>
          <w:rFonts w:ascii="Times New Roman" w:hAnsi="Times New Roman" w:cs="Times New Roman"/>
          <w:sz w:val="24"/>
          <w:szCs w:val="24"/>
        </w:rPr>
        <w:t xml:space="preserve">The tip is raised from the imaging height by 1 nm </w:t>
      </w:r>
      <w:r>
        <w:rPr>
          <w:rFonts w:ascii="Times New Roman" w:hAnsi="Times New Roman" w:cs="Times New Roman"/>
          <w:sz w:val="24"/>
          <w:szCs w:val="24"/>
        </w:rPr>
        <w:t>before</w:t>
      </w:r>
      <w:r w:rsidRPr="005C4AF0">
        <w:rPr>
          <w:rFonts w:ascii="Times New Roman" w:hAnsi="Times New Roman" w:cs="Times New Roman"/>
          <w:sz w:val="24"/>
          <w:szCs w:val="24"/>
        </w:rPr>
        <w:t xml:space="preserve"> applying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5C4AF0">
        <w:rPr>
          <w:rFonts w:ascii="Times New Roman" w:hAnsi="Times New Roman" w:cs="Times New Roman"/>
          <w:sz w:val="24"/>
          <w:szCs w:val="24"/>
        </w:rPr>
        <w:t xml:space="preserve">external electric field </w:t>
      </w:r>
      <w:r>
        <w:rPr>
          <w:rFonts w:ascii="Times New Roman" w:hAnsi="Times New Roman" w:cs="Times New Roman"/>
          <w:sz w:val="24"/>
          <w:szCs w:val="24"/>
        </w:rPr>
        <w:t>so as not to</w:t>
      </w:r>
      <w:r w:rsidRPr="005C4AF0">
        <w:rPr>
          <w:rFonts w:ascii="Times New Roman" w:hAnsi="Times New Roman" w:cs="Times New Roman"/>
          <w:sz w:val="24"/>
          <w:szCs w:val="24"/>
        </w:rPr>
        <w:t xml:space="preserve"> induc</w:t>
      </w:r>
      <w:r>
        <w:rPr>
          <w:rFonts w:ascii="Times New Roman" w:hAnsi="Times New Roman" w:cs="Times New Roman"/>
          <w:sz w:val="24"/>
          <w:szCs w:val="24"/>
        </w:rPr>
        <w:t>e a</w:t>
      </w:r>
      <w:r w:rsidRPr="005C4AF0">
        <w:rPr>
          <w:rFonts w:ascii="Times New Roman" w:hAnsi="Times New Roman" w:cs="Times New Roman"/>
          <w:sz w:val="24"/>
          <w:szCs w:val="24"/>
        </w:rPr>
        <w:t xml:space="preserve"> high tunneling current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5C4AF0">
        <w:rPr>
          <w:rFonts w:ascii="Times New Roman" w:hAnsi="Times New Roman" w:cs="Times New Roman"/>
          <w:sz w:val="24"/>
          <w:szCs w:val="24"/>
        </w:rPr>
        <w:t xml:space="preserve">to the substrate. The polarization of the outermost SnTe </w:t>
      </w:r>
      <w:r>
        <w:rPr>
          <w:rFonts w:ascii="Times New Roman" w:hAnsi="Times New Roman" w:cs="Times New Roman"/>
          <w:sz w:val="24"/>
          <w:szCs w:val="24"/>
        </w:rPr>
        <w:t xml:space="preserve">ML </w:t>
      </w:r>
      <w:r w:rsidRPr="005C4AF0">
        <w:rPr>
          <w:rFonts w:ascii="Times New Roman" w:hAnsi="Times New Roman" w:cs="Times New Roman"/>
          <w:sz w:val="24"/>
          <w:szCs w:val="24"/>
        </w:rPr>
        <w:t xml:space="preserve">section is switched by the horizontal component of the electric field between the STM tip and the substrate. See </w:t>
      </w:r>
      <w:r>
        <w:rPr>
          <w:rFonts w:ascii="Times New Roman" w:hAnsi="Times New Roman" w:cs="Times New Roman"/>
          <w:sz w:val="24"/>
          <w:szCs w:val="24"/>
        </w:rPr>
        <w:t xml:space="preserve">part 3 within the </w:t>
      </w:r>
      <w:r w:rsidRPr="005C4AF0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section </w:t>
      </w:r>
      <w:r w:rsidRPr="005C4AF0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additional </w:t>
      </w:r>
      <w:r w:rsidRPr="005C4AF0">
        <w:rPr>
          <w:rFonts w:ascii="Times New Roman" w:hAnsi="Times New Roman" w:cs="Times New Roman"/>
          <w:sz w:val="24"/>
          <w:szCs w:val="24"/>
        </w:rPr>
        <w:t>details.</w:t>
      </w:r>
      <w:r w:rsidRPr="005C4AF0" w:rsidDel="008E24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F95B10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273A7F" w14:textId="77777777" w:rsidR="000C326E" w:rsidRPr="005C4AF0" w:rsidRDefault="000C326E" w:rsidP="000C326E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sz w:val="24"/>
          <w:szCs w:val="24"/>
        </w:rPr>
        <w:br w:type="page"/>
      </w:r>
    </w:p>
    <w:p w14:paraId="0DFBF122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A951FF" wp14:editId="30BB717D">
            <wp:extent cx="5274310" cy="32207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E5469" w14:textId="77777777" w:rsidR="000C326E" w:rsidRPr="005C4AF0" w:rsidRDefault="000C326E" w:rsidP="000C32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AF0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C4AF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5C4AF0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 M</w:t>
      </w:r>
      <w:r w:rsidRPr="005C4AF0">
        <w:rPr>
          <w:rFonts w:ascii="Times New Roman" w:hAnsi="Times New Roman" w:cs="Times New Roman"/>
          <w:b/>
          <w:sz w:val="24"/>
          <w:szCs w:val="24"/>
        </w:rPr>
        <w:t>ethod for determining the polarization direction in the dual-junction structures.</w:t>
      </w:r>
      <w:r w:rsidRPr="005C4AF0">
        <w:rPr>
          <w:rFonts w:ascii="Times New Roman" w:hAnsi="Times New Roman" w:cs="Times New Roman"/>
          <w:sz w:val="24"/>
          <w:szCs w:val="24"/>
        </w:rPr>
        <w:t xml:space="preserve"> Th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C4AF0">
        <w:rPr>
          <w:rFonts w:ascii="Times New Roman" w:hAnsi="Times New Roman" w:cs="Times New Roman"/>
          <w:sz w:val="24"/>
          <w:szCs w:val="24"/>
        </w:rPr>
        <w:t xml:space="preserve"> dual-junction structure </w:t>
      </w:r>
      <w:r>
        <w:rPr>
          <w:rFonts w:ascii="Times New Roman" w:hAnsi="Times New Roman" w:cs="Times New Roman"/>
          <w:sz w:val="24"/>
          <w:szCs w:val="24"/>
        </w:rPr>
        <w:t xml:space="preserve">examined here </w:t>
      </w:r>
      <w:r w:rsidRPr="005C4AF0">
        <w:rPr>
          <w:rFonts w:ascii="Times New Roman" w:hAnsi="Times New Roman" w:cs="Times New Roman"/>
          <w:sz w:val="24"/>
          <w:szCs w:val="24"/>
        </w:rPr>
        <w:t>is the same as that in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4A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5C4AF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>a, b,</w:t>
      </w:r>
      <w:r w:rsidRPr="005C4AF0">
        <w:rPr>
          <w:rFonts w:ascii="Times New Roman" w:hAnsi="Times New Roman" w:cs="Times New Roman"/>
          <w:sz w:val="24"/>
          <w:szCs w:val="24"/>
        </w:rPr>
        <w:t xml:space="preserve"> Atom resolved topography images of the areas indicated by the blue</w:t>
      </w:r>
      <w:r w:rsidRPr="007B4301">
        <w:rPr>
          <w:rFonts w:ascii="Times New Roman" w:hAnsi="Times New Roman" w:cs="Times New Roman"/>
          <w:sz w:val="24"/>
          <w:szCs w:val="24"/>
        </w:rPr>
        <w:t xml:space="preserve"> (</w:t>
      </w:r>
      <w:r w:rsidRPr="0092499F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7B4301">
        <w:rPr>
          <w:rFonts w:ascii="Times New Roman" w:hAnsi="Times New Roman" w:cs="Times New Roman"/>
          <w:sz w:val="24"/>
          <w:szCs w:val="24"/>
        </w:rPr>
        <w:t>)</w:t>
      </w:r>
      <w:r w:rsidRPr="005C4AF0">
        <w:rPr>
          <w:rFonts w:ascii="Times New Roman" w:hAnsi="Times New Roman" w:cs="Times New Roman"/>
          <w:sz w:val="24"/>
          <w:szCs w:val="24"/>
        </w:rPr>
        <w:t xml:space="preserve"> and green (</w:t>
      </w:r>
      <w:r w:rsidRPr="0092499F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5C4AF0">
        <w:rPr>
          <w:rFonts w:ascii="Times New Roman" w:hAnsi="Times New Roman" w:cs="Times New Roman"/>
          <w:sz w:val="24"/>
          <w:szCs w:val="24"/>
        </w:rPr>
        <w:t>) dashed squares in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C4A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4693D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5C4AF0">
        <w:rPr>
          <w:rFonts w:ascii="Times New Roman" w:hAnsi="Times New Roman" w:cs="Times New Roman"/>
          <w:sz w:val="24"/>
          <w:szCs w:val="24"/>
        </w:rPr>
        <w:t xml:space="preserve">. Setpoint: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−0.11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100 pA for both images. </w:t>
      </w:r>
      <w:r>
        <w:rPr>
          <w:rFonts w:ascii="Times New Roman" w:hAnsi="Times New Roman" w:cs="Times New Roman" w:hint="eastAsia"/>
          <w:b/>
          <w:sz w:val="24"/>
          <w:szCs w:val="24"/>
        </w:rPr>
        <w:t>c, d,</w:t>
      </w:r>
      <w:r w:rsidRPr="005C4AF0">
        <w:rPr>
          <w:rFonts w:ascii="Times New Roman" w:hAnsi="Times New Roman" w:cs="Times New Roman"/>
          <w:sz w:val="24"/>
          <w:szCs w:val="24"/>
        </w:rPr>
        <w:t xml:space="preserve"> Fourier transformed images of </w:t>
      </w:r>
      <w:r w:rsidRPr="0014693D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14693D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5C4AF0">
        <w:rPr>
          <w:rFonts w:ascii="Times New Roman" w:hAnsi="Times New Roman" w:cs="Times New Roman"/>
          <w:sz w:val="24"/>
          <w:szCs w:val="24"/>
        </w:rPr>
        <w:t xml:space="preserve">, respectively.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5C4AF0">
        <w:rPr>
          <w:rFonts w:ascii="Times New Roman" w:hAnsi="Times New Roman" w:cs="Times New Roman"/>
          <w:sz w:val="24"/>
          <w:szCs w:val="24"/>
        </w:rPr>
        <w:t xml:space="preserve"> polarization directions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443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5C4AF0">
        <w:rPr>
          <w:rFonts w:ascii="Times New Roman" w:hAnsi="Times New Roman" w:cs="Times New Roman"/>
          <w:sz w:val="24"/>
          <w:szCs w:val="24"/>
        </w:rPr>
        <w:t xml:space="preserve"> in </w:t>
      </w:r>
      <w:r w:rsidRPr="0092499F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92499F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, </w:t>
      </w:r>
      <w:r w:rsidRPr="005C4AF0">
        <w:rPr>
          <w:rFonts w:ascii="Times New Roman" w:hAnsi="Times New Roman" w:cs="Times New Roman"/>
          <w:sz w:val="24"/>
          <w:szCs w:val="24"/>
        </w:rPr>
        <w:t xml:space="preserve">are extracted by identifying the crystalline direction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C4AF0">
        <w:rPr>
          <w:rFonts w:ascii="Times New Roman" w:hAnsi="Times New Roman" w:cs="Times New Roman"/>
          <w:sz w:val="24"/>
          <w:szCs w:val="24"/>
        </w:rPr>
        <w:t xml:space="preserve">SnTe ML </w:t>
      </w:r>
      <w:r>
        <w:rPr>
          <w:rFonts w:ascii="Times New Roman" w:hAnsi="Times New Roman" w:cs="Times New Roman"/>
          <w:sz w:val="24"/>
          <w:szCs w:val="24"/>
        </w:rPr>
        <w:t>having a</w:t>
      </w:r>
      <w:r w:rsidRPr="005C4AF0">
        <w:rPr>
          <w:rFonts w:ascii="Times New Roman" w:hAnsi="Times New Roman" w:cs="Times New Roman"/>
          <w:sz w:val="24"/>
          <w:szCs w:val="24"/>
        </w:rPr>
        <w:t xml:space="preserve"> larger lattice constant from the Fourier transformed images. </w:t>
      </w:r>
      <w:r>
        <w:rPr>
          <w:rFonts w:ascii="Times New Roman" w:hAnsi="Times New Roman" w:cs="Times New Roman" w:hint="eastAsia"/>
          <w:b/>
          <w:sz w:val="24"/>
          <w:szCs w:val="24"/>
        </w:rPr>
        <w:t>e, f,</w:t>
      </w:r>
      <w:r w:rsidRPr="005C4AF0">
        <w:rPr>
          <w:rFonts w:ascii="Times New Roman" w:hAnsi="Times New Roman" w:cs="Times New Roman"/>
          <w:sz w:val="24"/>
          <w:szCs w:val="24"/>
        </w:rPr>
        <w:t xml:space="preserve"> Topography images of the dual-junction area acquired as negative (</w:t>
      </w:r>
      <w:r w:rsidRPr="0014693D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5C4AF0">
        <w:rPr>
          <w:rFonts w:ascii="Times New Roman" w:hAnsi="Times New Roman" w:cs="Times New Roman"/>
          <w:sz w:val="24"/>
          <w:szCs w:val="24"/>
        </w:rPr>
        <w:t>) and positive (</w:t>
      </w:r>
      <w:r w:rsidRPr="0014693D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5C4AF0">
        <w:rPr>
          <w:rFonts w:ascii="Times New Roman" w:hAnsi="Times New Roman" w:cs="Times New Roman"/>
          <w:sz w:val="24"/>
          <w:szCs w:val="24"/>
        </w:rPr>
        <w:t xml:space="preserve">) bias voltages, respectively. A free edge of the SnTe ML with upward band bending is resolved, so that the polarization direction in the SnTe </w:t>
      </w:r>
      <w:r>
        <w:rPr>
          <w:rFonts w:ascii="Times New Roman" w:hAnsi="Times New Roman" w:cs="Times New Roman"/>
          <w:sz w:val="24"/>
          <w:szCs w:val="24"/>
        </w:rPr>
        <w:t xml:space="preserve">ML </w:t>
      </w:r>
      <w:r w:rsidRPr="005C4AF0">
        <w:rPr>
          <w:rFonts w:ascii="Times New Roman" w:hAnsi="Times New Roman" w:cs="Times New Roman"/>
          <w:sz w:val="24"/>
          <w:szCs w:val="24"/>
        </w:rPr>
        <w:t xml:space="preserve">section with the edge can be determined. The polarization directions in the other SnTe </w:t>
      </w:r>
      <w:r>
        <w:rPr>
          <w:rFonts w:ascii="Times New Roman" w:hAnsi="Times New Roman" w:cs="Times New Roman"/>
          <w:sz w:val="24"/>
          <w:szCs w:val="24"/>
        </w:rPr>
        <w:t xml:space="preserve">ML </w:t>
      </w:r>
      <w:r w:rsidRPr="005C4AF0">
        <w:rPr>
          <w:rFonts w:ascii="Times New Roman" w:hAnsi="Times New Roman" w:cs="Times New Roman"/>
          <w:sz w:val="24"/>
          <w:szCs w:val="24"/>
        </w:rPr>
        <w:t xml:space="preserve">sections can be deduced accordingly. Setpoints: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−0.6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3 pA for </w:t>
      </w:r>
      <w:r w:rsidRPr="0014693D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5C4AF0">
        <w:rPr>
          <w:rFonts w:ascii="Times New Roman" w:hAnsi="Times New Roman" w:cs="Times New Roman"/>
          <w:sz w:val="24"/>
          <w:szCs w:val="24"/>
        </w:rPr>
        <w:t xml:space="preserve">, and </w:t>
      </w:r>
      <w:r w:rsidRPr="005C4AF0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1.5 V, </w:t>
      </w:r>
      <w:r w:rsidRPr="005C4AF0">
        <w:rPr>
          <w:rFonts w:ascii="Times New Roman" w:hAnsi="Times New Roman" w:cs="Times New Roman"/>
          <w:i/>
          <w:sz w:val="24"/>
          <w:szCs w:val="24"/>
        </w:rPr>
        <w:t>I</w:t>
      </w:r>
      <w:r w:rsidRPr="005C4AF0">
        <w:rPr>
          <w:rFonts w:ascii="Times New Roman" w:hAnsi="Times New Roman" w:cs="Times New Roman"/>
          <w:sz w:val="24"/>
          <w:szCs w:val="24"/>
        </w:rPr>
        <w:t xml:space="preserve"> = 3 pA for </w:t>
      </w:r>
      <w:r w:rsidRPr="0014693D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5C4AF0">
        <w:rPr>
          <w:rFonts w:ascii="Times New Roman" w:hAnsi="Times New Roman" w:cs="Times New Roman"/>
          <w:sz w:val="24"/>
          <w:szCs w:val="24"/>
        </w:rPr>
        <w:t>.</w:t>
      </w:r>
    </w:p>
    <w:p w14:paraId="541E7B68" w14:textId="77777777" w:rsidR="000903EE" w:rsidRPr="000C326E" w:rsidRDefault="000903EE">
      <w:pPr>
        <w:rPr>
          <w:rFonts w:hint="eastAsia"/>
        </w:rPr>
      </w:pPr>
    </w:p>
    <w:sectPr w:rsidR="000903EE" w:rsidRPr="000C326E" w:rsidSect="000C326E">
      <w:footerReference w:type="default" r:id="rId17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BBBA9" w14:textId="77777777" w:rsidR="0067649B" w:rsidRDefault="0067649B" w:rsidP="000C326E">
      <w:pPr>
        <w:rPr>
          <w:rFonts w:hint="eastAsia"/>
        </w:rPr>
      </w:pPr>
      <w:r>
        <w:separator/>
      </w:r>
    </w:p>
  </w:endnote>
  <w:endnote w:type="continuationSeparator" w:id="0">
    <w:p w14:paraId="3DBE97EC" w14:textId="77777777" w:rsidR="0067649B" w:rsidRDefault="0067649B" w:rsidP="000C326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1857563"/>
      <w:docPartObj>
        <w:docPartGallery w:val="Page Numbers (Bottom of Page)"/>
        <w:docPartUnique/>
      </w:docPartObj>
    </w:sdtPr>
    <w:sdtContent>
      <w:p w14:paraId="21FD97B0" w14:textId="77777777" w:rsidR="00CE7C06" w:rsidRDefault="00000000">
        <w:pPr>
          <w:pStyle w:val="af0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651E1">
          <w:rPr>
            <w:noProof/>
            <w:lang w:val="zh-CN"/>
          </w:rPr>
          <w:t>23</w:t>
        </w:r>
        <w:r>
          <w:fldChar w:fldCharType="end"/>
        </w:r>
      </w:p>
    </w:sdtContent>
  </w:sdt>
  <w:p w14:paraId="18B0F529" w14:textId="77777777" w:rsidR="00CE7C06" w:rsidRDefault="00CE7C06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5F708" w14:textId="77777777" w:rsidR="0067649B" w:rsidRDefault="0067649B" w:rsidP="000C326E">
      <w:pPr>
        <w:rPr>
          <w:rFonts w:hint="eastAsia"/>
        </w:rPr>
      </w:pPr>
      <w:r>
        <w:separator/>
      </w:r>
    </w:p>
  </w:footnote>
  <w:footnote w:type="continuationSeparator" w:id="0">
    <w:p w14:paraId="06A97DFC" w14:textId="77777777" w:rsidR="0067649B" w:rsidRDefault="0067649B" w:rsidP="000C326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16B"/>
    <w:rsid w:val="000903EE"/>
    <w:rsid w:val="000C326E"/>
    <w:rsid w:val="003D384A"/>
    <w:rsid w:val="005C6108"/>
    <w:rsid w:val="00644E9E"/>
    <w:rsid w:val="0067649B"/>
    <w:rsid w:val="006E0E5C"/>
    <w:rsid w:val="0070016B"/>
    <w:rsid w:val="007C10C1"/>
    <w:rsid w:val="009C6C5E"/>
    <w:rsid w:val="00CE7C06"/>
    <w:rsid w:val="00FC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F9BC98"/>
  <w15:chartTrackingRefBased/>
  <w15:docId w15:val="{67087DF9-A549-4404-B647-16583702F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32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01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01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01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016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016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016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016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016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016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016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00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00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0016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0016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0016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0016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0016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0016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001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00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01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001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01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001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016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0016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00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0016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0016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C32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C326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C3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C326E"/>
    <w:rPr>
      <w:sz w:val="18"/>
      <w:szCs w:val="18"/>
    </w:rPr>
  </w:style>
  <w:style w:type="character" w:styleId="af2">
    <w:name w:val="Hyperlink"/>
    <w:basedOn w:val="a0"/>
    <w:uiPriority w:val="99"/>
    <w:unhideWhenUsed/>
    <w:rsid w:val="000C326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art.parkin@mpi-halle.mpg.de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barraza@uark.edu" TargetMode="Externa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hyperlink" Target="mailto:changkai@baqis.ac.cn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2438</Words>
  <Characters>2707</Characters>
  <Application>Microsoft Office Word</Application>
  <DocSecurity>0</DocSecurity>
  <Lines>69</Lines>
  <Paragraphs>13</Paragraphs>
  <ScaleCrop>false</ScaleCrop>
  <Company/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子昂 高</dc:creator>
  <cp:keywords/>
  <dc:description/>
  <cp:lastModifiedBy>Kai Chang</cp:lastModifiedBy>
  <cp:revision>3</cp:revision>
  <dcterms:created xsi:type="dcterms:W3CDTF">2025-03-19T02:53:00Z</dcterms:created>
  <dcterms:modified xsi:type="dcterms:W3CDTF">2025-03-19T02:54:00Z</dcterms:modified>
</cp:coreProperties>
</file>