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C777" w14:textId="77777777" w:rsidR="00C27F7B" w:rsidRPr="00C27F7B" w:rsidRDefault="00C27F7B" w:rsidP="00C27F7B">
      <w:pPr>
        <w:spacing w:line="480" w:lineRule="auto"/>
        <w:jc w:val="both"/>
        <w:rPr>
          <w:rFonts w:ascii="Helvetica Neue" w:hAnsi="Helvetica Neue" w:cs="Arial"/>
          <w:b/>
          <w:bCs/>
          <w:sz w:val="22"/>
          <w:szCs w:val="22"/>
        </w:rPr>
      </w:pPr>
      <w:proofErr w:type="spellStart"/>
      <w:r w:rsidRPr="00C27F7B">
        <w:rPr>
          <w:rFonts w:ascii="Helvetica Neue" w:hAnsi="Helvetica Neue" w:cs="Arial"/>
          <w:b/>
          <w:bCs/>
          <w:sz w:val="22"/>
          <w:szCs w:val="22"/>
        </w:rPr>
        <w:t>Supplementary</w:t>
      </w:r>
      <w:proofErr w:type="spellEnd"/>
    </w:p>
    <w:tbl>
      <w:tblPr>
        <w:tblpPr w:leftFromText="141" w:rightFromText="141" w:vertAnchor="page" w:horzAnchor="margin" w:tblpY="3763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2167"/>
        <w:gridCol w:w="2029"/>
        <w:gridCol w:w="3070"/>
      </w:tblGrid>
      <w:tr w:rsidR="00C27F7B" w:rsidRPr="00C27F7B" w14:paraId="671F542C" w14:textId="77777777" w:rsidTr="00F74B19">
        <w:trPr>
          <w:trHeight w:val="333"/>
        </w:trPr>
        <w:tc>
          <w:tcPr>
            <w:tcW w:w="10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0FFE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Subset</w:t>
            </w:r>
          </w:p>
        </w:tc>
        <w:tc>
          <w:tcPr>
            <w:tcW w:w="21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068C2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3A727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69DC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Phenotype</w:t>
            </w:r>
          </w:p>
        </w:tc>
      </w:tr>
      <w:tr w:rsidR="00C27F7B" w:rsidRPr="00C27F7B" w14:paraId="68F16C8B" w14:textId="77777777" w:rsidTr="00F74B19">
        <w:trPr>
          <w:trHeight w:val="333"/>
        </w:trPr>
        <w:tc>
          <w:tcPr>
            <w:tcW w:w="10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ED125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NK cells</w:t>
            </w:r>
          </w:p>
        </w:tc>
        <w:tc>
          <w:tcPr>
            <w:tcW w:w="2167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6A00E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6EEE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73DF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CD45+/CD3-/CD19-/CD16+CD56+</w:t>
            </w:r>
          </w:p>
        </w:tc>
      </w:tr>
      <w:tr w:rsidR="00C27F7B" w:rsidRPr="00C27F7B" w14:paraId="7637F5D5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E10B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B cells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3374B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0D06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8671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CD45+/CD3-/CD19+</w:t>
            </w:r>
          </w:p>
        </w:tc>
      </w:tr>
      <w:tr w:rsidR="00C27F7B" w:rsidRPr="00C27F7B" w14:paraId="5D67C414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EDEB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319BB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Pre-germinal B cells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EC91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4CF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CD27-/IgM+/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++</w:t>
            </w:r>
          </w:p>
        </w:tc>
      </w:tr>
      <w:tr w:rsidR="00C27F7B" w:rsidRPr="00C27F7B" w14:paraId="43C36D59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A0D40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563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Switched CD27- B cells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799DB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6359B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CD27-/IgM-/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-</w:t>
            </w:r>
          </w:p>
        </w:tc>
      </w:tr>
      <w:tr w:rsidR="00C27F7B" w:rsidRPr="00C27F7B" w14:paraId="6A941BF6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6DAB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106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Memory B cells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C6D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ED8E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CD27+/CD38-</w:t>
            </w:r>
          </w:p>
        </w:tc>
      </w:tr>
      <w:tr w:rsidR="00C27F7B" w:rsidRPr="00C27F7B" w14:paraId="3FED9668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1AAD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411B0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7520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Switched MBC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275C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IgM-/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-</w:t>
            </w:r>
          </w:p>
        </w:tc>
      </w:tr>
      <w:tr w:rsidR="00C27F7B" w:rsidRPr="00C27F7B" w14:paraId="616CE907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ED5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03EF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DA2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Unswitched MBC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D6E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IgM+/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+</w:t>
            </w:r>
          </w:p>
        </w:tc>
      </w:tr>
      <w:tr w:rsidR="00C27F7B" w:rsidRPr="00C27F7B" w14:paraId="75C19168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4A99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6C2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408C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 xml:space="preserve"> MBC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0C63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IgM-/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IgD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+</w:t>
            </w:r>
          </w:p>
        </w:tc>
      </w:tr>
      <w:tr w:rsidR="00C27F7B" w:rsidRPr="00C27F7B" w14:paraId="4B8DC752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44A0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C32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Plasma cells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2F25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477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CD27+/CD38++</w:t>
            </w:r>
          </w:p>
        </w:tc>
      </w:tr>
      <w:tr w:rsidR="00C27F7B" w:rsidRPr="00C27F7B" w14:paraId="530EA435" w14:textId="77777777" w:rsidTr="00F74B19">
        <w:trPr>
          <w:trHeight w:val="333"/>
        </w:trPr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470E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 cells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B2448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BAF0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592D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CD45+/CD3+/CD19-</w:t>
            </w:r>
          </w:p>
        </w:tc>
      </w:tr>
      <w:tr w:rsidR="00C27F7B" w:rsidRPr="00C27F7B" w14:paraId="4B4E3150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733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82A9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CD4+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336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AFD8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CD4+/CD8-/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TCRgd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-</w:t>
            </w:r>
          </w:p>
        </w:tc>
      </w:tr>
      <w:tr w:rsidR="00C27F7B" w:rsidRPr="00C27F7B" w14:paraId="6EAB4C5B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6A62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0E2B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630F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Naive CD4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14D3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CD27+/CD45RA+</w:t>
            </w:r>
          </w:p>
        </w:tc>
      </w:tr>
      <w:tr w:rsidR="00C27F7B" w:rsidRPr="00C27F7B" w14:paraId="685C7ABB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D2D0E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63E6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62C0C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CM CD4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AEA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CD27+/CD45RA-</w:t>
            </w:r>
          </w:p>
        </w:tc>
      </w:tr>
      <w:tr w:rsidR="00C27F7B" w:rsidRPr="00C27F7B" w14:paraId="2FF3E8DE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D37C4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1404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AE69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EM CD4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CF4B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CD27-/CD45RA-</w:t>
            </w:r>
          </w:p>
        </w:tc>
      </w:tr>
      <w:tr w:rsidR="00C27F7B" w:rsidRPr="00C27F7B" w14:paraId="785F1863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59D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D0F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7667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TD CD4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3F1C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CD27-/CD45RA+</w:t>
            </w:r>
          </w:p>
        </w:tc>
      </w:tr>
      <w:tr w:rsidR="00C27F7B" w:rsidRPr="00C27F7B" w14:paraId="0D975577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778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1C06D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CD8+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FE09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846F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CD4-/CD8+/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TCRgd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-</w:t>
            </w:r>
          </w:p>
        </w:tc>
      </w:tr>
      <w:tr w:rsidR="00C27F7B" w:rsidRPr="00C27F7B" w14:paraId="55551B1D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660A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64613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B203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Naive CD8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FE29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CD27+/CD45RA+</w:t>
            </w:r>
          </w:p>
        </w:tc>
      </w:tr>
      <w:tr w:rsidR="00C27F7B" w:rsidRPr="00C27F7B" w14:paraId="201CEB31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E1A6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7A65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5A8BC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CM CD8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6E64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CD27+/CD45RA-</w:t>
            </w:r>
          </w:p>
        </w:tc>
      </w:tr>
      <w:tr w:rsidR="00C27F7B" w:rsidRPr="00C27F7B" w14:paraId="01EF877F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6F8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E2E6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75DF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EM CD8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B52E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CD27-/CD45RA-</w:t>
            </w:r>
          </w:p>
        </w:tc>
      </w:tr>
      <w:tr w:rsidR="00C27F7B" w:rsidRPr="00C27F7B" w14:paraId="415F470E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DC82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A3FE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12DD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TD CD8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D139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CD27-/CD45RA+</w:t>
            </w:r>
          </w:p>
        </w:tc>
      </w:tr>
      <w:tr w:rsidR="00C27F7B" w:rsidRPr="00C27F7B" w14:paraId="31FF169B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5CBA2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2071A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Double negative T cells</w:t>
            </w:r>
          </w:p>
        </w:tc>
        <w:tc>
          <w:tcPr>
            <w:tcW w:w="202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75707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24E35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CD4-/CD8-/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TCRgd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val="en-US" w:eastAsia="de-DE"/>
                <w14:ligatures w14:val="none"/>
              </w:rPr>
              <w:t>-</w:t>
            </w:r>
          </w:p>
        </w:tc>
      </w:tr>
      <w:tr w:rsidR="00C27F7B" w:rsidRPr="00C27F7B" w14:paraId="013EA153" w14:textId="77777777" w:rsidTr="00F74B19">
        <w:trPr>
          <w:trHeight w:val="333"/>
        </w:trPr>
        <w:tc>
          <w:tcPr>
            <w:tcW w:w="109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2F980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A5806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</w:pP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TCRgd</w:t>
            </w:r>
            <w:proofErr w:type="spellEnd"/>
          </w:p>
        </w:tc>
        <w:tc>
          <w:tcPr>
            <w:tcW w:w="202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FC4AF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933A1" w14:textId="77777777" w:rsidR="00C27F7B" w:rsidRPr="00C27F7B" w:rsidRDefault="00C27F7B" w:rsidP="00F74B19">
            <w:pPr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CD3+/</w:t>
            </w:r>
            <w:proofErr w:type="spellStart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TCRgd</w:t>
            </w:r>
            <w:proofErr w:type="spellEnd"/>
            <w:r w:rsidRPr="00C27F7B">
              <w:rPr>
                <w:rFonts w:ascii="Helvetica Neue" w:eastAsia="Times New Roman" w:hAnsi="Helvetica Neue" w:cs="Times New Roman"/>
                <w:color w:val="000000"/>
                <w:kern w:val="0"/>
                <w:sz w:val="22"/>
                <w:szCs w:val="22"/>
                <w:lang w:val="en-US" w:eastAsia="de-DE"/>
                <w14:ligatures w14:val="none"/>
              </w:rPr>
              <w:t>+</w:t>
            </w:r>
          </w:p>
        </w:tc>
      </w:tr>
    </w:tbl>
    <w:p w14:paraId="5ABFADF7" w14:textId="77777777" w:rsidR="00C27F7B" w:rsidRDefault="00C27F7B" w:rsidP="00C27F7B">
      <w:pPr>
        <w:spacing w:after="120" w:line="480" w:lineRule="auto"/>
        <w:jc w:val="both"/>
        <w:rPr>
          <w:rFonts w:ascii="Helvetica Neue" w:hAnsi="Helvetica Neue" w:cs="Arial"/>
          <w:color w:val="000000"/>
          <w:sz w:val="22"/>
          <w:szCs w:val="22"/>
          <w:lang w:val="en-US"/>
        </w:rPr>
      </w:pPr>
      <w:r w:rsidRPr="00C27F7B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lang w:val="en-US"/>
        </w:rPr>
        <w:t xml:space="preserve">Supplementary Table 1. </w:t>
      </w:r>
      <w:r w:rsidRPr="00C27F7B">
        <w:rPr>
          <w:rFonts w:ascii="Helvetica Neue" w:eastAsia="Helvetica Neue" w:hAnsi="Helvetica Neue" w:cs="Helvetica Neue"/>
          <w:bCs/>
          <w:color w:val="000000" w:themeColor="text1"/>
          <w:sz w:val="22"/>
          <w:szCs w:val="22"/>
          <w:lang w:val="en-US"/>
        </w:rPr>
        <w:t>Immunophenotyping of lymphocyte subsets</w:t>
      </w:r>
      <w:r w:rsidRPr="00C27F7B">
        <w:rPr>
          <w:rFonts w:ascii="Helvetica Neue" w:hAnsi="Helvetica Neue" w:cs="Arial"/>
          <w:color w:val="000000"/>
          <w:sz w:val="22"/>
          <w:szCs w:val="22"/>
          <w:lang w:val="en-US"/>
        </w:rPr>
        <w:t xml:space="preserve">. Abbreviations: NK, natural killer; IgM, immunoglobulin M; </w:t>
      </w:r>
      <w:proofErr w:type="spellStart"/>
      <w:r w:rsidRPr="00C27F7B">
        <w:rPr>
          <w:rFonts w:ascii="Helvetica Neue" w:hAnsi="Helvetica Neue" w:cs="Arial"/>
          <w:color w:val="000000"/>
          <w:sz w:val="22"/>
          <w:szCs w:val="22"/>
          <w:lang w:val="en-US"/>
        </w:rPr>
        <w:t>IgD</w:t>
      </w:r>
      <w:proofErr w:type="spellEnd"/>
      <w:r w:rsidRPr="00C27F7B">
        <w:rPr>
          <w:rFonts w:ascii="Helvetica Neue" w:hAnsi="Helvetica Neue" w:cs="Arial"/>
          <w:color w:val="000000"/>
          <w:sz w:val="22"/>
          <w:szCs w:val="22"/>
          <w:lang w:val="en-US"/>
        </w:rPr>
        <w:t xml:space="preserve">, immunoglobulin D; MBC, memory B cells; CM, central memory; EM, effector memory; TD, terminally differentiated; TCR, T cell receptor. </w:t>
      </w:r>
    </w:p>
    <w:p w14:paraId="6A27C75F" w14:textId="77777777" w:rsidR="00C27F7B" w:rsidRDefault="00C27F7B" w:rsidP="00C27F7B">
      <w:pPr>
        <w:spacing w:after="120" w:line="480" w:lineRule="auto"/>
        <w:jc w:val="both"/>
        <w:rPr>
          <w:rFonts w:ascii="Helvetica Neue" w:hAnsi="Helvetica Neue" w:cs="Arial"/>
          <w:color w:val="000000"/>
          <w:sz w:val="22"/>
          <w:szCs w:val="22"/>
          <w:lang w:val="en-US"/>
        </w:rPr>
      </w:pPr>
    </w:p>
    <w:p w14:paraId="04767FFA" w14:textId="77777777" w:rsidR="00C27F7B" w:rsidRPr="00C27F7B" w:rsidRDefault="00C27F7B" w:rsidP="00C27F7B">
      <w:pPr>
        <w:spacing w:after="120" w:line="480" w:lineRule="auto"/>
        <w:jc w:val="both"/>
        <w:rPr>
          <w:rFonts w:ascii="Helvetica Neue" w:hAnsi="Helvetica Neue" w:cs="Arial"/>
          <w:color w:val="000000"/>
          <w:sz w:val="22"/>
          <w:szCs w:val="22"/>
          <w:lang w:val="en-US"/>
        </w:rPr>
      </w:pPr>
    </w:p>
    <w:p w14:paraId="0681BB25" w14:textId="77777777" w:rsidR="00C27F7B" w:rsidRPr="00C27F7B" w:rsidRDefault="00C27F7B" w:rsidP="00C27F7B">
      <w:pPr>
        <w:spacing w:after="120" w:line="480" w:lineRule="auto"/>
        <w:jc w:val="both"/>
        <w:rPr>
          <w:rFonts w:ascii="Helvetica Neue" w:hAnsi="Helvetica Neue"/>
          <w:sz w:val="22"/>
          <w:szCs w:val="22"/>
          <w:lang w:val="en-US"/>
        </w:rPr>
      </w:pPr>
    </w:p>
    <w:p w14:paraId="01741C11" w14:textId="7F8888B0" w:rsidR="00C27F7B" w:rsidRPr="00C27F7B" w:rsidRDefault="00C27F7B" w:rsidP="00C27F7B">
      <w:pPr>
        <w:spacing w:after="120" w:line="480" w:lineRule="auto"/>
        <w:jc w:val="both"/>
        <w:rPr>
          <w:rFonts w:ascii="Helvetica Neue" w:hAnsi="Helvetica Neue" w:cs="Arial"/>
          <w:color w:val="000000"/>
          <w:sz w:val="22"/>
          <w:szCs w:val="22"/>
          <w:lang w:val="en-US"/>
        </w:rPr>
      </w:pPr>
      <w:r w:rsidRPr="00C27F7B">
        <w:rPr>
          <w:rFonts w:ascii="Helvetica Neue" w:hAnsi="Helvetica Neue" w:cs="Arial"/>
          <w:color w:val="000000"/>
          <w:sz w:val="22"/>
          <w:szCs w:val="22"/>
          <w:lang w:val="en-US"/>
        </w:rPr>
        <w:t xml:space="preserve">. </w:t>
      </w:r>
    </w:p>
    <w:p w14:paraId="5E657697" w14:textId="77777777" w:rsidR="00C27F7B" w:rsidRPr="00C27F7B" w:rsidRDefault="00C27F7B" w:rsidP="00C27F7B">
      <w:pPr>
        <w:spacing w:after="120" w:line="480" w:lineRule="auto"/>
        <w:jc w:val="both"/>
        <w:rPr>
          <w:rFonts w:ascii="Helvetica Neue" w:hAnsi="Helvetica Neue"/>
          <w:sz w:val="22"/>
          <w:szCs w:val="22"/>
          <w:lang w:val="en-US"/>
        </w:rPr>
      </w:pPr>
    </w:p>
    <w:p w14:paraId="75836475" w14:textId="77777777" w:rsidR="00C27F7B" w:rsidRPr="00ED4497" w:rsidRDefault="00C27F7B" w:rsidP="00C27F7B">
      <w:pPr>
        <w:spacing w:line="480" w:lineRule="auto"/>
        <w:rPr>
          <w:rFonts w:ascii="Helvetica Neue" w:hAnsi="Helvetica Neue" w:cs="Arial"/>
          <w:b/>
          <w:bCs/>
          <w:sz w:val="22"/>
          <w:szCs w:val="22"/>
          <w:lang w:val="en-US"/>
        </w:rPr>
      </w:pPr>
      <w:r w:rsidRPr="00ED4497">
        <w:rPr>
          <w:rFonts w:ascii="Helvetica Neue" w:hAnsi="Helvetica Neue" w:cs="Arial"/>
          <w:b/>
          <w:bCs/>
          <w:sz w:val="22"/>
          <w:szCs w:val="22"/>
          <w:lang w:val="en-US"/>
        </w:rPr>
        <w:br w:type="page"/>
      </w:r>
    </w:p>
    <w:p w14:paraId="4CB1CD7F" w14:textId="77777777" w:rsidR="00C27F7B" w:rsidRPr="00ED4497" w:rsidRDefault="00C27F7B" w:rsidP="00C27F7B">
      <w:pPr>
        <w:spacing w:line="480" w:lineRule="auto"/>
        <w:jc w:val="both"/>
        <w:rPr>
          <w:rFonts w:ascii="Helvetica Neue" w:hAnsi="Helvetica Neue" w:cs="Arial"/>
          <w:b/>
          <w:bCs/>
          <w:sz w:val="22"/>
          <w:szCs w:val="22"/>
          <w:lang w:val="en-US"/>
        </w:rPr>
        <w:sectPr w:rsidR="00C27F7B" w:rsidRPr="00ED4497" w:rsidSect="00C27F7B">
          <w:headerReference w:type="default" r:id="rId4"/>
          <w:footerReference w:type="even" r:id="rId5"/>
          <w:footerReference w:type="default" r:id="rId6"/>
          <w:pgSz w:w="11900" w:h="16840"/>
          <w:pgMar w:top="1417" w:right="1417" w:bottom="1134" w:left="1417" w:header="708" w:footer="708" w:gutter="0"/>
          <w:lnNumType w:countBy="1" w:restart="continuous"/>
          <w:cols w:space="708"/>
          <w:docGrid w:linePitch="360"/>
        </w:sectPr>
      </w:pPr>
    </w:p>
    <w:p w14:paraId="5C2557AD" w14:textId="77777777" w:rsidR="00C27F7B" w:rsidRPr="00ED4497" w:rsidRDefault="00C27F7B" w:rsidP="00C27F7B">
      <w:pPr>
        <w:spacing w:line="480" w:lineRule="auto"/>
        <w:jc w:val="both"/>
        <w:rPr>
          <w:rFonts w:ascii="Helvetica Neue" w:hAnsi="Helvetica Neue" w:cs="Arial"/>
          <w:b/>
          <w:bCs/>
          <w:sz w:val="22"/>
          <w:szCs w:val="22"/>
          <w:lang w:val="en-US"/>
        </w:rPr>
      </w:pPr>
      <w:r w:rsidRPr="00ED4497">
        <w:rPr>
          <w:rFonts w:ascii="Helvetica Neue" w:hAnsi="Helvetica Neue" w:cs="Arial"/>
          <w:b/>
          <w:bCs/>
          <w:noProof/>
          <w:sz w:val="22"/>
          <w:szCs w:val="22"/>
          <w:lang w:val="en-US"/>
        </w:rPr>
        <w:lastRenderedPageBreak/>
        <w:drawing>
          <wp:inline distT="0" distB="0" distL="0" distR="0" wp14:anchorId="59B7E3BC" wp14:editId="7EA87B2F">
            <wp:extent cx="7804150" cy="5019442"/>
            <wp:effectExtent l="0" t="0" r="0" b="0"/>
            <wp:docPr id="1901374776" name="Grafik 3" descr="Ein Bild, das Text, Diagramm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74776" name="Grafik 3" descr="Ein Bild, das Text, Diagramm, Zahl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2" r="-4" b="4795"/>
                    <a:stretch/>
                  </pic:blipFill>
                  <pic:spPr bwMode="auto">
                    <a:xfrm>
                      <a:off x="0" y="0"/>
                      <a:ext cx="7847697" cy="5047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1802F" w14:textId="77777777" w:rsidR="00C27F7B" w:rsidRPr="00ED4497" w:rsidRDefault="00C27F7B" w:rsidP="00C27F7B">
      <w:pPr>
        <w:spacing w:line="480" w:lineRule="auto"/>
        <w:rPr>
          <w:rFonts w:ascii="Helvetica Neue" w:hAnsi="Helvetica Neue" w:cs="Arial"/>
          <w:b/>
          <w:bCs/>
          <w:sz w:val="22"/>
          <w:szCs w:val="22"/>
          <w:lang w:val="en-US"/>
        </w:rPr>
        <w:sectPr w:rsidR="00C27F7B" w:rsidRPr="00ED4497" w:rsidSect="00C27F7B">
          <w:pgSz w:w="16840" w:h="11900" w:orient="landscape"/>
          <w:pgMar w:top="1417" w:right="1134" w:bottom="1417" w:left="1417" w:header="708" w:footer="708" w:gutter="0"/>
          <w:cols w:space="708"/>
          <w:docGrid w:linePitch="360"/>
        </w:sectPr>
      </w:pPr>
      <w:r w:rsidRPr="00ED4497">
        <w:rPr>
          <w:rFonts w:ascii="Helvetica Neue" w:hAnsi="Helvetica Neue" w:cs="Arial"/>
          <w:b/>
          <w:bCs/>
          <w:sz w:val="22"/>
          <w:szCs w:val="22"/>
          <w:lang w:val="en-US"/>
        </w:rPr>
        <w:t xml:space="preserve">Supplementary figure 2. </w:t>
      </w:r>
      <w:r w:rsidRPr="00ED4497">
        <w:rPr>
          <w:rFonts w:ascii="Helvetica Neue" w:hAnsi="Helvetica Neue" w:cs="Arial"/>
          <w:sz w:val="22"/>
          <w:szCs w:val="22"/>
          <w:lang w:val="en-US"/>
        </w:rPr>
        <w:t xml:space="preserve">Samples. </w:t>
      </w:r>
      <w:r w:rsidRPr="00ED4497">
        <w:rPr>
          <w:rFonts w:ascii="Helvetica Neue" w:hAnsi="Helvetica Neue" w:cs="Arial"/>
          <w:b/>
          <w:bCs/>
          <w:sz w:val="22"/>
          <w:szCs w:val="22"/>
          <w:lang w:val="en-US"/>
        </w:rPr>
        <w:br/>
      </w:r>
    </w:p>
    <w:p w14:paraId="11BF59FA" w14:textId="77777777" w:rsidR="00C27F7B" w:rsidRPr="00ED4497" w:rsidRDefault="00C27F7B" w:rsidP="00C27F7B">
      <w:pPr>
        <w:spacing w:line="480" w:lineRule="auto"/>
        <w:jc w:val="both"/>
        <w:rPr>
          <w:rFonts w:ascii="Helvetica Neue" w:hAnsi="Helvetica Neue" w:cs="Arial"/>
          <w:b/>
          <w:bCs/>
          <w:sz w:val="22"/>
          <w:szCs w:val="22"/>
          <w:lang w:val="en-US"/>
        </w:rPr>
      </w:pPr>
      <w:r w:rsidRPr="00ED4497">
        <w:rPr>
          <w:rFonts w:ascii="Helvetica Neue" w:hAnsi="Helvetica Neue" w:cs="Arial"/>
          <w:b/>
          <w:bCs/>
          <w:noProof/>
          <w:sz w:val="22"/>
          <w:szCs w:val="22"/>
          <w:lang w:val="en-US"/>
        </w:rPr>
        <w:lastRenderedPageBreak/>
        <w:drawing>
          <wp:inline distT="0" distB="0" distL="0" distR="0" wp14:anchorId="208ABCC0" wp14:editId="0577E333">
            <wp:extent cx="5756910" cy="8147050"/>
            <wp:effectExtent l="0" t="0" r="0" b="0"/>
            <wp:docPr id="20904003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00382" name="Grafik 20904003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B898F" w14:textId="77777777" w:rsidR="00C27F7B" w:rsidRPr="00ED4497" w:rsidRDefault="00C27F7B" w:rsidP="00C27F7B">
      <w:pPr>
        <w:spacing w:line="480" w:lineRule="auto"/>
        <w:jc w:val="both"/>
        <w:rPr>
          <w:rFonts w:ascii="Helvetica Neue" w:hAnsi="Helvetica Neue" w:cs="Arial"/>
          <w:sz w:val="22"/>
          <w:szCs w:val="22"/>
          <w:lang w:val="en-US"/>
        </w:rPr>
      </w:pPr>
      <w:r w:rsidRPr="00ED4497">
        <w:rPr>
          <w:rFonts w:ascii="Helvetica Neue" w:hAnsi="Helvetica Neue" w:cs="Arial"/>
          <w:b/>
          <w:bCs/>
          <w:sz w:val="22"/>
          <w:szCs w:val="22"/>
          <w:lang w:val="en-US"/>
        </w:rPr>
        <w:t xml:space="preserve">Supplementary figure 2. </w:t>
      </w:r>
      <w:r w:rsidRPr="00ED4497">
        <w:rPr>
          <w:rFonts w:ascii="Helvetica Neue" w:hAnsi="Helvetica Neue" w:cs="Arial"/>
          <w:sz w:val="22"/>
          <w:szCs w:val="22"/>
          <w:lang w:val="en-US"/>
        </w:rPr>
        <w:t xml:space="preserve">Lymphocyte gating. Abbreviations: FSC, forward scatter; SSC, side scatter; NK, natural killer. </w:t>
      </w:r>
    </w:p>
    <w:p w14:paraId="0B092691" w14:textId="77777777" w:rsidR="00C27F7B" w:rsidRPr="00ED4497" w:rsidRDefault="00C27F7B" w:rsidP="00C27F7B">
      <w:pPr>
        <w:spacing w:line="480" w:lineRule="auto"/>
        <w:jc w:val="both"/>
        <w:rPr>
          <w:rFonts w:ascii="Helvetica Neue" w:hAnsi="Helvetica Neue" w:cs="Arial"/>
          <w:b/>
          <w:bCs/>
          <w:sz w:val="22"/>
          <w:szCs w:val="22"/>
          <w:lang w:val="en-US"/>
        </w:rPr>
      </w:pPr>
    </w:p>
    <w:p w14:paraId="78A8E5A5" w14:textId="791946A3" w:rsidR="004C745C" w:rsidRPr="00C27F7B" w:rsidRDefault="00C27F7B" w:rsidP="00C27F7B">
      <w:pPr>
        <w:rPr>
          <w:lang w:val="en-US"/>
        </w:rPr>
      </w:pPr>
      <w:r w:rsidRPr="00ED4497">
        <w:rPr>
          <w:rFonts w:ascii="Helvetica Neue" w:hAnsi="Helvetica Neue" w:cs="Arial"/>
          <w:b/>
          <w:bCs/>
          <w:noProof/>
          <w:sz w:val="22"/>
          <w:szCs w:val="22"/>
          <w:lang w:val="en-US"/>
        </w:rPr>
        <w:drawing>
          <wp:inline distT="0" distB="0" distL="0" distR="0" wp14:anchorId="6353E003" wp14:editId="0CF0DAA4">
            <wp:extent cx="5756910" cy="4411345"/>
            <wp:effectExtent l="0" t="0" r="0" b="0"/>
            <wp:docPr id="1878570558" name="Grafik 5" descr="Ein Bild, das Diagramm, Reihe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70558" name="Grafik 5" descr="Ein Bild, das Diagramm, Reihe, Text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7">
        <w:rPr>
          <w:rFonts w:ascii="Helvetica Neue" w:hAnsi="Helvetica Neue" w:cs="Arial"/>
          <w:b/>
          <w:bCs/>
          <w:sz w:val="22"/>
          <w:szCs w:val="22"/>
          <w:lang w:val="en-US"/>
        </w:rPr>
        <w:t xml:space="preserve">Supplementary figure 3. </w:t>
      </w:r>
      <w:r w:rsidRPr="00ED4497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lang w:val="en-US"/>
        </w:rPr>
        <w:t xml:space="preserve">Available data and trends in absolute </w:t>
      </w:r>
      <w:proofErr w:type="spellStart"/>
      <w:r w:rsidRPr="00ED4497">
        <w:rPr>
          <w:rFonts w:ascii="Helvetica Neue" w:eastAsia="Helvetica Neue" w:hAnsi="Helvetica Neue" w:cs="Helvetica Neue"/>
          <w:iCs/>
          <w:color w:val="000000" w:themeColor="text1"/>
          <w:sz w:val="22"/>
          <w:szCs w:val="22"/>
          <w:lang w:val="en-US"/>
        </w:rPr>
        <w:t>lymp</w:t>
      </w:r>
      <w:proofErr w:type="spellEnd"/>
    </w:p>
    <w:sectPr w:rsidR="004C745C" w:rsidRPr="00C27F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425495903"/>
      <w:docPartObj>
        <w:docPartGallery w:val="Page Numbers (Bottom of Page)"/>
        <w:docPartUnique/>
      </w:docPartObj>
    </w:sdtPr>
    <w:sdtContent>
      <w:p w14:paraId="4948AE5A" w14:textId="77777777" w:rsidR="00000000" w:rsidRDefault="00000000" w:rsidP="00E43287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4558891" w14:textId="77777777" w:rsidR="00000000" w:rsidRDefault="00000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  <w:sz w:val="20"/>
        <w:szCs w:val="20"/>
      </w:rPr>
      <w:id w:val="-725527426"/>
      <w:docPartObj>
        <w:docPartGallery w:val="Page Numbers (Bottom of Page)"/>
        <w:docPartUnique/>
      </w:docPartObj>
    </w:sdtPr>
    <w:sdtContent>
      <w:p w14:paraId="18641D3D" w14:textId="77777777" w:rsidR="00000000" w:rsidRPr="00FC085D" w:rsidRDefault="00000000" w:rsidP="00E43287">
        <w:pPr>
          <w:pStyle w:val="Fuzeile"/>
          <w:framePr w:wrap="none" w:vAnchor="text" w:hAnchor="margin" w:xAlign="center" w:y="1"/>
          <w:rPr>
            <w:rStyle w:val="Seitenzahl"/>
            <w:sz w:val="20"/>
            <w:szCs w:val="20"/>
          </w:rPr>
        </w:pPr>
        <w:r w:rsidRPr="00FC085D">
          <w:rPr>
            <w:rStyle w:val="Seitenzahl"/>
            <w:sz w:val="20"/>
            <w:szCs w:val="20"/>
          </w:rPr>
          <w:fldChar w:fldCharType="begin"/>
        </w:r>
        <w:r w:rsidRPr="00FC085D">
          <w:rPr>
            <w:rStyle w:val="Seitenzahl"/>
            <w:sz w:val="20"/>
            <w:szCs w:val="20"/>
          </w:rPr>
          <w:instrText xml:space="preserve"> PAGE </w:instrText>
        </w:r>
        <w:r w:rsidRPr="00FC085D">
          <w:rPr>
            <w:rStyle w:val="Seitenzahl"/>
            <w:sz w:val="20"/>
            <w:szCs w:val="20"/>
          </w:rPr>
          <w:fldChar w:fldCharType="separate"/>
        </w:r>
        <w:r w:rsidRPr="00FC085D">
          <w:rPr>
            <w:rStyle w:val="Seitenzahl"/>
            <w:noProof/>
            <w:sz w:val="20"/>
            <w:szCs w:val="20"/>
          </w:rPr>
          <w:t>1</w:t>
        </w:r>
        <w:r w:rsidRPr="00FC085D">
          <w:rPr>
            <w:rStyle w:val="Seitenzahl"/>
            <w:sz w:val="20"/>
            <w:szCs w:val="20"/>
          </w:rPr>
          <w:fldChar w:fldCharType="end"/>
        </w:r>
      </w:p>
    </w:sdtContent>
  </w:sdt>
  <w:p w14:paraId="53C26787" w14:textId="77777777" w:rsidR="00000000" w:rsidRDefault="00000000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4B6D6" w14:textId="77777777" w:rsidR="00000000" w:rsidRPr="009E4DB7" w:rsidRDefault="00000000" w:rsidP="00685A2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7B"/>
    <w:rsid w:val="00064B0B"/>
    <w:rsid w:val="001E20D3"/>
    <w:rsid w:val="004C745C"/>
    <w:rsid w:val="004F78C4"/>
    <w:rsid w:val="007B4E12"/>
    <w:rsid w:val="00917085"/>
    <w:rsid w:val="00B5516E"/>
    <w:rsid w:val="00C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B0180A"/>
  <w15:chartTrackingRefBased/>
  <w15:docId w15:val="{4C4A9AA3-4CE6-A54B-AAB4-CD596B87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7F7B"/>
  </w:style>
  <w:style w:type="paragraph" w:styleId="berschrift1">
    <w:name w:val="heading 1"/>
    <w:basedOn w:val="Standard"/>
    <w:next w:val="Standard"/>
    <w:link w:val="berschrift1Zchn"/>
    <w:uiPriority w:val="9"/>
    <w:qFormat/>
    <w:rsid w:val="00C2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F7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F7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F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F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F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F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F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7F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F7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F7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F7B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27F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F7B"/>
  </w:style>
  <w:style w:type="paragraph" w:styleId="Fuzeile">
    <w:name w:val="footer"/>
    <w:basedOn w:val="Standard"/>
    <w:link w:val="FuzeileZchn"/>
    <w:uiPriority w:val="99"/>
    <w:unhideWhenUsed/>
    <w:rsid w:val="00C27F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F7B"/>
  </w:style>
  <w:style w:type="character" w:styleId="Seitenzahl">
    <w:name w:val="page number"/>
    <w:basedOn w:val="Absatz-Standardschriftart"/>
    <w:uiPriority w:val="99"/>
    <w:semiHidden/>
    <w:unhideWhenUsed/>
    <w:rsid w:val="00C27F7B"/>
  </w:style>
  <w:style w:type="character" w:styleId="Zeilennummer">
    <w:name w:val="line number"/>
    <w:basedOn w:val="Absatz-Standardschriftart"/>
    <w:uiPriority w:val="99"/>
    <w:semiHidden/>
    <w:unhideWhenUsed/>
    <w:rsid w:val="00C2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Strasser</dc:creator>
  <cp:keywords/>
  <dc:description/>
  <cp:lastModifiedBy>Sophie Strasser</cp:lastModifiedBy>
  <cp:revision>1</cp:revision>
  <dcterms:created xsi:type="dcterms:W3CDTF">2025-04-02T15:31:00Z</dcterms:created>
  <dcterms:modified xsi:type="dcterms:W3CDTF">2025-04-02T15:34:00Z</dcterms:modified>
</cp:coreProperties>
</file>