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3CB9D" w14:textId="77777777" w:rsidR="00F26427" w:rsidRPr="00F26427" w:rsidRDefault="00F26427" w:rsidP="00F26427">
      <w:pPr>
        <w:rPr>
          <w:b/>
          <w:bCs/>
        </w:rPr>
      </w:pPr>
      <w:r w:rsidRPr="00F26427">
        <w:rPr>
          <w:b/>
          <w:bCs/>
        </w:rPr>
        <w:t xml:space="preserve">Additional information. Supplementary information </w:t>
      </w:r>
    </w:p>
    <w:p w14:paraId="4D171010" w14:textId="77777777" w:rsidR="00F26427" w:rsidRPr="00F26427" w:rsidRDefault="00F26427" w:rsidP="00F26427">
      <w:r w:rsidRPr="00F26427">
        <w:t xml:space="preserve">Extended Data Figure 1. Generation of mutant strains with monomorphic HAIUS loci by locus deletion. a. Schematic representation of the wild-type locus, </w:t>
      </w:r>
      <w:r w:rsidRPr="00F26427">
        <w:rPr>
          <w:i/>
          <w:iCs/>
        </w:rPr>
        <w:t>∆fet3a∆ftr1a</w:t>
      </w:r>
      <w:r w:rsidRPr="00F26427">
        <w:t xml:space="preserve">, and </w:t>
      </w:r>
      <w:r w:rsidRPr="00F26427">
        <w:rPr>
          <w:i/>
          <w:iCs/>
        </w:rPr>
        <w:t>∆fet3b∆ftr1b</w:t>
      </w:r>
      <w:r w:rsidRPr="00F26427">
        <w:t xml:space="preserve"> loci, indicating primers used for PCR validation and expected amplicon sizes. b. Validation PCR of transformants obtained by amplification of the 5’ flanking region of the deleted locus, and whole-locus PCR of mutants to assess homokaryosis. Homokaryotic mutants are indicated in bold. Expected PCR amplicon sizes are depicted. WT, wild-type; M, loading marker.</w:t>
      </w:r>
    </w:p>
    <w:p w14:paraId="08D02157" w14:textId="77777777" w:rsidR="00F26427" w:rsidRPr="00F26427" w:rsidRDefault="00F26427" w:rsidP="00F26427">
      <w:r w:rsidRPr="00F26427">
        <w:t>Extended Data Figure 2. Generation of mutant strains with monomorphic HAIUS loci by promoter exchange. a. Schematic representation of the wild-type locus, M2Y and Y2M strains where the promoter has been exchanged. Primers for PCR validation are indicated, together with the expected amplicon sizes for the wildtype and mutant strains. b. Validation PCR of transformants obtained by amplification of the 5’ flanking region of the modified locus, and whole-locus PCR of the positive mutants to assess homokaryosis. Homokaryotic strains are indicated in bold. Expected PCR amplicon sizes are depicted for each PCR. WT, wild-type; MUT, mutant; M, loading marker.</w:t>
      </w:r>
    </w:p>
    <w:p w14:paraId="339BACD2" w14:textId="77777777" w:rsidR="00F26427" w:rsidRPr="00F26427" w:rsidRDefault="00F26427" w:rsidP="00F26427">
      <w:r w:rsidRPr="00F26427">
        <w:t xml:space="preserve">Supplementary Figure 3. Generation of mutant strains by deletion of the gene </w:t>
      </w:r>
      <w:r w:rsidRPr="00F26427">
        <w:rPr>
          <w:i/>
          <w:iCs/>
        </w:rPr>
        <w:t>dkl</w:t>
      </w:r>
      <w:r w:rsidRPr="00F26427">
        <w:t xml:space="preserve">. a Wild type locus (in green)  recombines with the deletion cassette (in orange) which contains the auxotrophy marker pyrG. The new mutant locus amplifies a 4907 bp fragment by PCR with the primers dklP1/dklP2, whereas the wild type locus amplifies a 5940 bp fragment. b Validation PCRs from three transformants showed that Mut1 and Mut3 had the correct mutant locus. </w:t>
      </w:r>
    </w:p>
    <w:p w14:paraId="7641C030" w14:textId="77777777" w:rsidR="00F26427" w:rsidRPr="00F26427" w:rsidRDefault="00F26427" w:rsidP="00F26427">
      <w:r w:rsidRPr="00F26427">
        <w:t xml:space="preserve">Extended Data Figure 4. Generation of mutant strains by deletion of the gene </w:t>
      </w:r>
      <w:r w:rsidRPr="00F26427">
        <w:rPr>
          <w:i/>
          <w:iCs/>
        </w:rPr>
        <w:t>dfl</w:t>
      </w:r>
      <w:r w:rsidRPr="00F26427">
        <w:t xml:space="preserve">. a Wild type locus (in green)  recombines with the deletion cassette (in orange) which contains the auxotrophy marker pyrG. The new mutant locus amplifies a 4650 bp fragment by PCR with the primers dflP1/dflP2, whereas the wild type locus amplifies a 4100 bp fragment. b Validation PCRs showed that Mut1 and Mut2 transformants had the correct mutant locus. </w:t>
      </w:r>
    </w:p>
    <w:p w14:paraId="5376F1B7" w14:textId="77777777" w:rsidR="00F26427" w:rsidRPr="00F26427" w:rsidRDefault="00F26427" w:rsidP="00F26427">
      <w:r w:rsidRPr="00F26427">
        <w:rPr>
          <w:lang w:val="es-ES"/>
        </w:rPr>
        <w:t>Extended Data Figure 5. Classification of differentially expressed genes based on log₂FC values during reverse transition in the wild-type strain compared to ∆</w:t>
      </w:r>
      <w:r w:rsidRPr="00F26427">
        <w:rPr>
          <w:i/>
          <w:iCs/>
          <w:lang w:val="es-ES"/>
        </w:rPr>
        <w:t>dkl</w:t>
      </w:r>
      <w:r w:rsidRPr="00F26427">
        <w:rPr>
          <w:lang w:val="es-ES"/>
        </w:rPr>
        <w:t xml:space="preserve"> and ∆</w:t>
      </w:r>
      <w:r w:rsidRPr="00F26427">
        <w:rPr>
          <w:i/>
          <w:iCs/>
          <w:lang w:val="es-ES"/>
        </w:rPr>
        <w:t xml:space="preserve">dfl </w:t>
      </w:r>
      <w:r w:rsidRPr="00F26427">
        <w:rPr>
          <w:lang w:val="es-ES"/>
        </w:rPr>
        <w:t>mutants. a Heatmap representing dysregulation of all differentially expressed genes during reverse transition in the wild-type strain compared to ∆</w:t>
      </w:r>
      <w:r w:rsidRPr="00F26427">
        <w:rPr>
          <w:i/>
          <w:iCs/>
          <w:lang w:val="es-ES"/>
        </w:rPr>
        <w:t>dkl</w:t>
      </w:r>
      <w:r w:rsidRPr="00F26427">
        <w:rPr>
          <w:lang w:val="es-ES"/>
        </w:rPr>
        <w:t xml:space="preserve"> and ∆</w:t>
      </w:r>
      <w:r w:rsidRPr="00F26427">
        <w:rPr>
          <w:i/>
          <w:iCs/>
          <w:lang w:val="es-ES"/>
        </w:rPr>
        <w:t xml:space="preserve">dfl </w:t>
      </w:r>
      <w:r w:rsidRPr="00F26427">
        <w:rPr>
          <w:lang w:val="es-ES"/>
        </w:rPr>
        <w:t>mutants. Genes were clustered based on their expression profiles across conditions. b Heatmap of genes upregulated in the wild-type (WT, log₂FC ≥ 1) and showing a positive trend in both ∆</w:t>
      </w:r>
      <w:r w:rsidRPr="00F26427">
        <w:rPr>
          <w:i/>
          <w:iCs/>
          <w:lang w:val="es-ES"/>
        </w:rPr>
        <w:t xml:space="preserve">dkl </w:t>
      </w:r>
      <w:r w:rsidRPr="00F26427">
        <w:rPr>
          <w:lang w:val="es-ES"/>
        </w:rPr>
        <w:t>(log₂FC_dkl &gt; 0) and ∆</w:t>
      </w:r>
      <w:r w:rsidRPr="00F26427">
        <w:rPr>
          <w:i/>
          <w:iCs/>
          <w:lang w:val="es-ES"/>
        </w:rPr>
        <w:t xml:space="preserve">dfl </w:t>
      </w:r>
      <w:r w:rsidRPr="00F26427">
        <w:rPr>
          <w:lang w:val="es-ES"/>
        </w:rPr>
        <w:t>(log₂FC_dfl &gt; 0) mutants. c Heatmap of genes downregulated in WT (log₂FC ≤ -1) and showing a negative trend in both ∆</w:t>
      </w:r>
      <w:r w:rsidRPr="00F26427">
        <w:rPr>
          <w:i/>
          <w:iCs/>
          <w:lang w:val="es-ES"/>
        </w:rPr>
        <w:t xml:space="preserve">dkl </w:t>
      </w:r>
      <w:r w:rsidRPr="00F26427">
        <w:rPr>
          <w:lang w:val="es-ES"/>
        </w:rPr>
        <w:t>and ∆</w:t>
      </w:r>
      <w:r w:rsidRPr="00F26427">
        <w:rPr>
          <w:i/>
          <w:iCs/>
          <w:lang w:val="es-ES"/>
        </w:rPr>
        <w:t>dfl</w:t>
      </w:r>
      <w:r w:rsidRPr="00F26427">
        <w:rPr>
          <w:lang w:val="es-ES"/>
        </w:rPr>
        <w:t xml:space="preserve"> mutants. d Heatmap of genes downregulated in WT (log₂FC ≤ -1) but showing a negative trend in ∆</w:t>
      </w:r>
      <w:r w:rsidRPr="00F26427">
        <w:rPr>
          <w:i/>
          <w:iCs/>
          <w:lang w:val="es-ES"/>
        </w:rPr>
        <w:t>dfl</w:t>
      </w:r>
      <w:r w:rsidRPr="00F26427">
        <w:rPr>
          <w:lang w:val="es-ES"/>
        </w:rPr>
        <w:t xml:space="preserve"> and a positive trend in ∆</w:t>
      </w:r>
      <w:r w:rsidRPr="00F26427">
        <w:rPr>
          <w:i/>
          <w:iCs/>
          <w:lang w:val="es-ES"/>
        </w:rPr>
        <w:t>dkl</w:t>
      </w:r>
      <w:r w:rsidRPr="00F26427">
        <w:rPr>
          <w:lang w:val="es-ES"/>
        </w:rPr>
        <w:t>. e Heatmap of genes downregulated in WT (log₂FC ≤ -1) but showing a positive trend in ∆</w:t>
      </w:r>
      <w:r w:rsidRPr="00F26427">
        <w:rPr>
          <w:i/>
          <w:iCs/>
          <w:lang w:val="es-ES"/>
        </w:rPr>
        <w:t xml:space="preserve">dfl </w:t>
      </w:r>
      <w:r w:rsidRPr="00F26427">
        <w:rPr>
          <w:lang w:val="es-ES"/>
        </w:rPr>
        <w:t>and a negative trend in ∆</w:t>
      </w:r>
      <w:r w:rsidRPr="00F26427">
        <w:rPr>
          <w:i/>
          <w:iCs/>
          <w:lang w:val="es-ES"/>
        </w:rPr>
        <w:t xml:space="preserve">dkl. </w:t>
      </w:r>
      <w:r w:rsidRPr="00F26427">
        <w:rPr>
          <w:lang w:val="es-ES"/>
        </w:rPr>
        <w:t>f Heatmap of genes downregulated in WT (log₂FC ≤ -1) but showing a positive trend in both ∆</w:t>
      </w:r>
      <w:r w:rsidRPr="00F26427">
        <w:rPr>
          <w:i/>
          <w:iCs/>
          <w:lang w:val="es-ES"/>
        </w:rPr>
        <w:t xml:space="preserve">dkl </w:t>
      </w:r>
      <w:r w:rsidRPr="00F26427">
        <w:rPr>
          <w:lang w:val="es-ES"/>
        </w:rPr>
        <w:t>and ∆</w:t>
      </w:r>
      <w:r w:rsidRPr="00F26427">
        <w:rPr>
          <w:i/>
          <w:iCs/>
          <w:lang w:val="es-ES"/>
        </w:rPr>
        <w:t xml:space="preserve">dfl. </w:t>
      </w:r>
      <w:r w:rsidRPr="00F26427">
        <w:rPr>
          <w:lang w:val="es-ES"/>
        </w:rPr>
        <w:t>g Heatmap of genes upregulated in WT (log₂FC ≥ 1) but showing a negative trend in both ∆</w:t>
      </w:r>
      <w:r w:rsidRPr="00F26427">
        <w:rPr>
          <w:i/>
          <w:iCs/>
          <w:lang w:val="es-ES"/>
        </w:rPr>
        <w:t xml:space="preserve">dkl </w:t>
      </w:r>
      <w:r w:rsidRPr="00F26427">
        <w:rPr>
          <w:lang w:val="es-ES"/>
        </w:rPr>
        <w:t>and ∆</w:t>
      </w:r>
      <w:r w:rsidRPr="00F26427">
        <w:rPr>
          <w:i/>
          <w:iCs/>
          <w:lang w:val="es-ES"/>
        </w:rPr>
        <w:t>dfl</w:t>
      </w:r>
      <w:r w:rsidRPr="00F26427">
        <w:rPr>
          <w:lang w:val="es-ES"/>
        </w:rPr>
        <w:t>. h Heatmap of genes upregulated in WT (log₂FC ≥ 1) but showing a negative trend in ∆</w:t>
      </w:r>
      <w:r w:rsidRPr="00F26427">
        <w:rPr>
          <w:i/>
          <w:iCs/>
          <w:lang w:val="es-ES"/>
        </w:rPr>
        <w:t xml:space="preserve">dfl </w:t>
      </w:r>
      <w:r w:rsidRPr="00F26427">
        <w:rPr>
          <w:lang w:val="es-ES"/>
        </w:rPr>
        <w:t>and a positive trend in ∆</w:t>
      </w:r>
      <w:r w:rsidRPr="00F26427">
        <w:rPr>
          <w:i/>
          <w:iCs/>
          <w:lang w:val="es-ES"/>
        </w:rPr>
        <w:t xml:space="preserve">dkl </w:t>
      </w:r>
      <w:r w:rsidRPr="00F26427">
        <w:rPr>
          <w:lang w:val="es-ES"/>
        </w:rPr>
        <w:t>. i Heatmap of genes upregulated in WT (log₂FC ≥ 1) but showing a positive trend in ∆</w:t>
      </w:r>
      <w:r w:rsidRPr="00F26427">
        <w:rPr>
          <w:i/>
          <w:iCs/>
          <w:lang w:val="es-ES"/>
        </w:rPr>
        <w:t>dfl</w:t>
      </w:r>
      <w:r w:rsidRPr="00F26427">
        <w:rPr>
          <w:lang w:val="es-ES"/>
        </w:rPr>
        <w:t xml:space="preserve"> and a negative trend in ∆</w:t>
      </w:r>
      <w:r w:rsidRPr="00F26427">
        <w:rPr>
          <w:i/>
          <w:iCs/>
          <w:lang w:val="es-ES"/>
        </w:rPr>
        <w:t>dkl</w:t>
      </w:r>
      <w:r w:rsidRPr="00F26427">
        <w:rPr>
          <w:lang w:val="es-ES"/>
        </w:rPr>
        <w:t>.</w:t>
      </w:r>
    </w:p>
    <w:p w14:paraId="1523D220" w14:textId="77777777" w:rsidR="00F26427" w:rsidRPr="00F26427" w:rsidRDefault="00F26427" w:rsidP="00F26427">
      <w:r w:rsidRPr="00F26427">
        <w:t xml:space="preserve">Extended Data Figure 6. Conservation of dimorphic paralogous gene families and H2H structures in Mucorales. a Gene structure of the HAIUS system in twelve different Mucorales. b Gene structure of </w:t>
      </w:r>
      <w:r w:rsidRPr="00F26427">
        <w:lastRenderedPageBreak/>
        <w:t xml:space="preserve">the </w:t>
      </w:r>
      <w:r w:rsidRPr="00F26427">
        <w:rPr>
          <w:i/>
          <w:iCs/>
        </w:rPr>
        <w:t xml:space="preserve">svf1 </w:t>
      </w:r>
      <w:r w:rsidRPr="00F26427">
        <w:t xml:space="preserve">(survival factor 1) gene family in twelve different Mucorales. c Phylogenetic clustering of </w:t>
      </w:r>
      <w:r w:rsidRPr="00F26427">
        <w:rPr>
          <w:i/>
          <w:iCs/>
        </w:rPr>
        <w:t>svf1</w:t>
      </w:r>
      <w:r w:rsidRPr="00F26427">
        <w:t xml:space="preserve"> orthologs. Pink: orthologs similar to the yeast </w:t>
      </w:r>
      <w:r w:rsidRPr="00F26427">
        <w:rPr>
          <w:i/>
          <w:iCs/>
        </w:rPr>
        <w:t>svf1</w:t>
      </w:r>
      <w:r w:rsidRPr="00F26427">
        <w:t xml:space="preserve"> of </w:t>
      </w:r>
      <w:r w:rsidRPr="00F26427">
        <w:rPr>
          <w:i/>
          <w:iCs/>
        </w:rPr>
        <w:t>M. circinelloides</w:t>
      </w:r>
      <w:r w:rsidRPr="00F26427">
        <w:t xml:space="preserve"> (Y). Blue and green: orthologs similar to the mycelium </w:t>
      </w:r>
      <w:r w:rsidRPr="00F26427">
        <w:rPr>
          <w:i/>
          <w:iCs/>
        </w:rPr>
        <w:t>svf1</w:t>
      </w:r>
      <w:r w:rsidRPr="00F26427">
        <w:t xml:space="preserve"> of </w:t>
      </w:r>
      <w:r w:rsidRPr="00F26427">
        <w:rPr>
          <w:i/>
          <w:iCs/>
        </w:rPr>
        <w:t>M. circinelloides</w:t>
      </w:r>
      <w:r w:rsidRPr="00F26427">
        <w:t xml:space="preserve"> (M). Green: Mucorales from the Rhizopodaceae, which only present orthologue genes to the </w:t>
      </w:r>
      <w:r w:rsidRPr="00F26427">
        <w:rPr>
          <w:i/>
          <w:iCs/>
        </w:rPr>
        <w:t xml:space="preserve">svf1 </w:t>
      </w:r>
      <w:r w:rsidRPr="00F26427">
        <w:t xml:space="preserve">expressed in mycelium in </w:t>
      </w:r>
      <w:r w:rsidRPr="00F26427">
        <w:rPr>
          <w:i/>
          <w:iCs/>
        </w:rPr>
        <w:t>M. circinelloides</w:t>
      </w:r>
      <w:r w:rsidRPr="00F26427">
        <w:t xml:space="preserve">. </w:t>
      </w:r>
    </w:p>
    <w:p w14:paraId="1A40C488" w14:textId="77777777" w:rsidR="00F26427" w:rsidRPr="00F26427" w:rsidRDefault="00F26427" w:rsidP="00F26427">
      <w:r w:rsidRPr="00F26427">
        <w:t xml:space="preserve">Extended Data Figure 7. Conservation of dimorphic paralogous gene families in Mucorales. Comparison of orthogroups defined in </w:t>
      </w:r>
      <w:r w:rsidRPr="00F26427">
        <w:rPr>
          <w:i/>
          <w:iCs/>
        </w:rPr>
        <w:t>M. lusitanicus</w:t>
      </w:r>
      <w:r w:rsidRPr="00F26427">
        <w:t xml:space="preserve"> with orthogroups in </w:t>
      </w:r>
      <w:r w:rsidRPr="00F26427">
        <w:rPr>
          <w:i/>
          <w:iCs/>
        </w:rPr>
        <w:t>Mucor circinelloides</w:t>
      </w:r>
      <w:r w:rsidRPr="00F26427">
        <w:t xml:space="preserve"> (Mc), </w:t>
      </w:r>
      <w:r w:rsidRPr="00F26427">
        <w:rPr>
          <w:i/>
          <w:iCs/>
        </w:rPr>
        <w:t xml:space="preserve">Rhizopus microsporus </w:t>
      </w:r>
      <w:r w:rsidRPr="00F26427">
        <w:t xml:space="preserve">(Rm), </w:t>
      </w:r>
      <w:r w:rsidRPr="00F26427">
        <w:rPr>
          <w:i/>
          <w:iCs/>
        </w:rPr>
        <w:t>Rhizopus delemar</w:t>
      </w:r>
      <w:r w:rsidRPr="00F26427">
        <w:t xml:space="preserve"> (Rd), </w:t>
      </w:r>
      <w:r w:rsidRPr="00F26427">
        <w:rPr>
          <w:i/>
          <w:iCs/>
        </w:rPr>
        <w:t xml:space="preserve">Ellisomyces anomalus </w:t>
      </w:r>
      <w:r w:rsidRPr="00F26427">
        <w:t xml:space="preserve">(Ea), </w:t>
      </w:r>
      <w:r w:rsidRPr="00F26427">
        <w:rPr>
          <w:i/>
          <w:iCs/>
        </w:rPr>
        <w:t xml:space="preserve">Mucor circinelloides </w:t>
      </w:r>
      <w:r w:rsidRPr="00F26427">
        <w:t xml:space="preserve">(Mc), Thamnidium elegans (Te), Mucor mucedo (Mm), Cokeromyces recurvatus (Cv), </w:t>
      </w:r>
      <w:r w:rsidRPr="00F26427">
        <w:rPr>
          <w:i/>
          <w:iCs/>
        </w:rPr>
        <w:t xml:space="preserve">Mycotypha africana </w:t>
      </w:r>
      <w:r w:rsidRPr="00F26427">
        <w:t xml:space="preserve">(Ma), </w:t>
      </w:r>
      <w:r w:rsidRPr="00F26427">
        <w:rPr>
          <w:i/>
          <w:iCs/>
        </w:rPr>
        <w:t xml:space="preserve">Sporodiniella umbellata </w:t>
      </w:r>
      <w:r w:rsidRPr="00F26427">
        <w:t xml:space="preserve">(Su), </w:t>
      </w:r>
      <w:r w:rsidRPr="00F26427">
        <w:rPr>
          <w:i/>
          <w:iCs/>
        </w:rPr>
        <w:t xml:space="preserve">Rhizopus stolonifer </w:t>
      </w:r>
      <w:r w:rsidRPr="00F26427">
        <w:t xml:space="preserve">(Rs), and </w:t>
      </w:r>
      <w:r w:rsidRPr="00F26427">
        <w:rPr>
          <w:i/>
          <w:iCs/>
        </w:rPr>
        <w:t xml:space="preserve">Syzygites megalocarpus </w:t>
      </w:r>
      <w:r w:rsidRPr="00F26427">
        <w:t xml:space="preserve">(Sm). Morphological and functional categories: Yeast (L), Mycelium (M), Constitutive (C), and Dimorphic (D, genes with at least one paralog that is differentially expressed). Orthogroups: MG (orthogroups where </w:t>
      </w:r>
      <w:r w:rsidRPr="00F26427">
        <w:rPr>
          <w:i/>
          <w:iCs/>
        </w:rPr>
        <w:t>Mucor lusitanicus</w:t>
      </w:r>
      <w:r w:rsidRPr="00F26427">
        <w:t xml:space="preserve"> has a greater number of components than the compared organism), ME (orthogroups where </w:t>
      </w:r>
      <w:r w:rsidRPr="00F26427">
        <w:rPr>
          <w:i/>
          <w:iCs/>
        </w:rPr>
        <w:t>Mucor lusitanicus</w:t>
      </w:r>
      <w:r w:rsidRPr="00F26427">
        <w:t xml:space="preserve"> has the same number of components as the compared organism), and ML (orthogroups where </w:t>
      </w:r>
      <w:r w:rsidRPr="00F26427">
        <w:rPr>
          <w:i/>
          <w:iCs/>
        </w:rPr>
        <w:t>Mucor lusitanicus</w:t>
      </w:r>
      <w:r w:rsidRPr="00F26427">
        <w:t xml:space="preserve"> has fewer components than the compared organism), NNO (genes that were not assigned to any orthogroup). In blue, Mucoraceae and Mycophataceae; in yellow, Rhizopodaceae.</w:t>
      </w:r>
    </w:p>
    <w:p w14:paraId="41C06402" w14:textId="77777777" w:rsidR="00F26427" w:rsidRPr="00F26427" w:rsidRDefault="00F26427" w:rsidP="00F26427">
      <w:r w:rsidRPr="00F26427">
        <w:t xml:space="preserve">Extended Data Figure 8. Markers of dimorphism in three families of Mucorales. Solid color represents presence of the marker, whereas white color represents absence of the marker. </w:t>
      </w:r>
    </w:p>
    <w:p w14:paraId="0CC968F6" w14:textId="77777777" w:rsidR="00F26427" w:rsidRPr="00F26427" w:rsidRDefault="00F26427" w:rsidP="00F26427">
      <w:r w:rsidRPr="00F26427">
        <w:t>Supplementary Table 1. Transcriptomic data from four growth states analyzed in three distinct comparisons.</w:t>
      </w:r>
    </w:p>
    <w:p w14:paraId="25CC5CBE" w14:textId="77777777" w:rsidR="00F26427" w:rsidRPr="00F26427" w:rsidRDefault="00F26427" w:rsidP="00F26427">
      <w:r w:rsidRPr="00F26427">
        <w:t>Supplementary Table 2. Lists of differentially expressed genes (DEGs).</w:t>
      </w:r>
    </w:p>
    <w:p w14:paraId="2C0EA16B" w14:textId="77777777" w:rsidR="00F26427" w:rsidRPr="00F26427" w:rsidRDefault="00F26427" w:rsidP="00F26427">
      <w:r w:rsidRPr="00F26427">
        <w:t xml:space="preserve">Supplementary Table 3. DEGs proportions in the genome of </w:t>
      </w:r>
      <w:r w:rsidRPr="00F26427">
        <w:rPr>
          <w:i/>
          <w:iCs/>
        </w:rPr>
        <w:t>M. lusitanicus</w:t>
      </w:r>
      <w:r w:rsidRPr="00F26427">
        <w:t xml:space="preserve">. </w:t>
      </w:r>
    </w:p>
    <w:p w14:paraId="485348C8" w14:textId="77777777" w:rsidR="00F26427" w:rsidRPr="00F26427" w:rsidRDefault="00F26427" w:rsidP="00F26427">
      <w:r w:rsidRPr="00F26427">
        <w:t xml:space="preserve">Supplementary Table 4. List of gene families identified in the genome of </w:t>
      </w:r>
      <w:r w:rsidRPr="00F26427">
        <w:rPr>
          <w:i/>
          <w:iCs/>
        </w:rPr>
        <w:t>M. lusitanicus</w:t>
      </w:r>
      <w:r w:rsidRPr="00F26427">
        <w:t xml:space="preserve">. </w:t>
      </w:r>
    </w:p>
    <w:p w14:paraId="3E1C025D" w14:textId="77777777" w:rsidR="00F26427" w:rsidRPr="00F26427" w:rsidRDefault="00F26427" w:rsidP="00F26427">
      <w:r w:rsidRPr="00F26427">
        <w:t xml:space="preserve">Supplementary Table 5. List of gene families with dimorphic paralogs identified in the genome of </w:t>
      </w:r>
      <w:r w:rsidRPr="00F26427">
        <w:rPr>
          <w:i/>
          <w:iCs/>
        </w:rPr>
        <w:t>M. lusitanicus</w:t>
      </w:r>
      <w:r w:rsidRPr="00F26427">
        <w:t xml:space="preserve">. </w:t>
      </w:r>
    </w:p>
    <w:p w14:paraId="53937E3A" w14:textId="77777777" w:rsidR="00F26427" w:rsidRPr="00F26427" w:rsidRDefault="00F26427" w:rsidP="00F26427">
      <w:r w:rsidRPr="00F26427">
        <w:t>Supplementary Table 6. List of genes structured in H2H configuration</w:t>
      </w:r>
      <w:r w:rsidRPr="00F26427">
        <w:rPr>
          <w:i/>
          <w:iCs/>
        </w:rPr>
        <w:t xml:space="preserve"> </w:t>
      </w:r>
      <w:r w:rsidRPr="00F26427">
        <w:t xml:space="preserve">in the genome of </w:t>
      </w:r>
      <w:r w:rsidRPr="00F26427">
        <w:rPr>
          <w:i/>
          <w:iCs/>
        </w:rPr>
        <w:t>M. lusitanicus</w:t>
      </w:r>
      <w:r w:rsidRPr="00F26427">
        <w:t xml:space="preserve">. </w:t>
      </w:r>
    </w:p>
    <w:p w14:paraId="5C5E6C1B" w14:textId="77777777" w:rsidR="00F26427" w:rsidRPr="00F26427" w:rsidRDefault="00F26427" w:rsidP="00F26427">
      <w:r w:rsidRPr="00F26427">
        <w:t>Supplementary Table 7. List of genes structured in H2H configuration and related to dimorphism</w:t>
      </w:r>
      <w:r w:rsidRPr="00F26427">
        <w:rPr>
          <w:i/>
          <w:iCs/>
        </w:rPr>
        <w:t xml:space="preserve"> </w:t>
      </w:r>
      <w:r w:rsidRPr="00F26427">
        <w:t xml:space="preserve">in the genome of </w:t>
      </w:r>
      <w:r w:rsidRPr="00F26427">
        <w:rPr>
          <w:i/>
          <w:iCs/>
        </w:rPr>
        <w:t>M. lusitanicus</w:t>
      </w:r>
      <w:r w:rsidRPr="00F26427">
        <w:t xml:space="preserve">. </w:t>
      </w:r>
    </w:p>
    <w:p w14:paraId="2D663D5F" w14:textId="77777777" w:rsidR="00F26427" w:rsidRPr="00F26427" w:rsidRDefault="00F26427" w:rsidP="00F26427">
      <w:r w:rsidRPr="00F26427">
        <w:t xml:space="preserve">Supplementary Table 8. List of genes exclusively expressed in mycelium in the genome of </w:t>
      </w:r>
      <w:r w:rsidRPr="00F26427">
        <w:rPr>
          <w:i/>
          <w:iCs/>
        </w:rPr>
        <w:t>M. lusitanicus</w:t>
      </w:r>
      <w:r w:rsidRPr="00F26427">
        <w:t>.</w:t>
      </w:r>
    </w:p>
    <w:p w14:paraId="464D3F20" w14:textId="77777777" w:rsidR="00F26427" w:rsidRPr="00F26427" w:rsidRDefault="00F26427" w:rsidP="00F26427">
      <w:r w:rsidRPr="00F26427">
        <w:t xml:space="preserve">Supplementary Table 9. List of genes exclusively expressed in yeast in the genome of </w:t>
      </w:r>
      <w:r w:rsidRPr="00F26427">
        <w:rPr>
          <w:i/>
          <w:iCs/>
        </w:rPr>
        <w:t>M. lusitanicus</w:t>
      </w:r>
      <w:r w:rsidRPr="00F26427">
        <w:t>.</w:t>
      </w:r>
    </w:p>
    <w:p w14:paraId="1C7B91C2" w14:textId="77777777" w:rsidR="00F26427" w:rsidRPr="00F26427" w:rsidRDefault="00F26427" w:rsidP="00F26427">
      <w:r w:rsidRPr="00F26427">
        <w:t>Supplementary Table 10. List of primers used in this work.</w:t>
      </w:r>
    </w:p>
    <w:p w14:paraId="3BC075E5"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427"/>
    <w:rsid w:val="00564317"/>
    <w:rsid w:val="00732981"/>
    <w:rsid w:val="00AC0449"/>
    <w:rsid w:val="00AD604E"/>
    <w:rsid w:val="00F264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4CCF8"/>
  <w15:chartTrackingRefBased/>
  <w15:docId w15:val="{E8AC219A-3378-481D-857E-325A9CC2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64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64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64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64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64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64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64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64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64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4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64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64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64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64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64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64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64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6427"/>
    <w:rPr>
      <w:rFonts w:eastAsiaTheme="majorEastAsia" w:cstheme="majorBidi"/>
      <w:color w:val="272727" w:themeColor="text1" w:themeTint="D8"/>
    </w:rPr>
  </w:style>
  <w:style w:type="paragraph" w:styleId="Title">
    <w:name w:val="Title"/>
    <w:basedOn w:val="Normal"/>
    <w:next w:val="Normal"/>
    <w:link w:val="TitleChar"/>
    <w:uiPriority w:val="10"/>
    <w:qFormat/>
    <w:rsid w:val="00F264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64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64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64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6427"/>
    <w:pPr>
      <w:spacing w:before="160"/>
      <w:jc w:val="center"/>
    </w:pPr>
    <w:rPr>
      <w:i/>
      <w:iCs/>
      <w:color w:val="404040" w:themeColor="text1" w:themeTint="BF"/>
    </w:rPr>
  </w:style>
  <w:style w:type="character" w:customStyle="1" w:styleId="QuoteChar">
    <w:name w:val="Quote Char"/>
    <w:basedOn w:val="DefaultParagraphFont"/>
    <w:link w:val="Quote"/>
    <w:uiPriority w:val="29"/>
    <w:rsid w:val="00F26427"/>
    <w:rPr>
      <w:i/>
      <w:iCs/>
      <w:color w:val="404040" w:themeColor="text1" w:themeTint="BF"/>
    </w:rPr>
  </w:style>
  <w:style w:type="paragraph" w:styleId="ListParagraph">
    <w:name w:val="List Paragraph"/>
    <w:basedOn w:val="Normal"/>
    <w:uiPriority w:val="34"/>
    <w:qFormat/>
    <w:rsid w:val="00F26427"/>
    <w:pPr>
      <w:ind w:left="720"/>
      <w:contextualSpacing/>
    </w:pPr>
  </w:style>
  <w:style w:type="character" w:styleId="IntenseEmphasis">
    <w:name w:val="Intense Emphasis"/>
    <w:basedOn w:val="DefaultParagraphFont"/>
    <w:uiPriority w:val="21"/>
    <w:qFormat/>
    <w:rsid w:val="00F26427"/>
    <w:rPr>
      <w:i/>
      <w:iCs/>
      <w:color w:val="0F4761" w:themeColor="accent1" w:themeShade="BF"/>
    </w:rPr>
  </w:style>
  <w:style w:type="paragraph" w:styleId="IntenseQuote">
    <w:name w:val="Intense Quote"/>
    <w:basedOn w:val="Normal"/>
    <w:next w:val="Normal"/>
    <w:link w:val="IntenseQuoteChar"/>
    <w:uiPriority w:val="30"/>
    <w:qFormat/>
    <w:rsid w:val="00F264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6427"/>
    <w:rPr>
      <w:i/>
      <w:iCs/>
      <w:color w:val="0F4761" w:themeColor="accent1" w:themeShade="BF"/>
    </w:rPr>
  </w:style>
  <w:style w:type="character" w:styleId="IntenseReference">
    <w:name w:val="Intense Reference"/>
    <w:basedOn w:val="DefaultParagraphFont"/>
    <w:uiPriority w:val="32"/>
    <w:qFormat/>
    <w:rsid w:val="00F264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0121726">
      <w:bodyDiv w:val="1"/>
      <w:marLeft w:val="0"/>
      <w:marRight w:val="0"/>
      <w:marTop w:val="0"/>
      <w:marBottom w:val="0"/>
      <w:divBdr>
        <w:top w:val="none" w:sz="0" w:space="0" w:color="auto"/>
        <w:left w:val="none" w:sz="0" w:space="0" w:color="auto"/>
        <w:bottom w:val="none" w:sz="0" w:space="0" w:color="auto"/>
        <w:right w:val="none" w:sz="0" w:space="0" w:color="auto"/>
      </w:divBdr>
    </w:div>
    <w:div w:id="1905220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943</Words>
  <Characters>5379</Characters>
  <Application>Microsoft Office Word</Application>
  <DocSecurity>0</DocSecurity>
  <Lines>44</Lines>
  <Paragraphs>12</Paragraphs>
  <ScaleCrop>false</ScaleCrop>
  <Company>Springer Nature</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2025-04-08T04:11:00Z</dcterms:created>
  <dcterms:modified xsi:type="dcterms:W3CDTF">2025-04-08T04:11:00Z</dcterms:modified>
</cp:coreProperties>
</file>