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86F10" w14:paraId="1995D6BC" w14:textId="77777777" w:rsidTr="00335143">
        <w:tc>
          <w:tcPr>
            <w:tcW w:w="9360" w:type="dxa"/>
            <w:shd w:val="clear" w:color="auto" w:fill="auto"/>
            <w:tcMar>
              <w:top w:w="100" w:type="dxa"/>
              <w:left w:w="100" w:type="dxa"/>
              <w:bottom w:w="100" w:type="dxa"/>
              <w:right w:w="100" w:type="dxa"/>
            </w:tcMar>
          </w:tcPr>
          <w:p w14:paraId="6F3D3136" w14:textId="77777777" w:rsidR="00586F10" w:rsidRDefault="00586F10" w:rsidP="00335143">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4304778" wp14:editId="6C0AD58B">
                  <wp:extent cx="5810250" cy="3632200"/>
                  <wp:effectExtent l="0" t="0" r="0" b="0"/>
                  <wp:docPr id="1" name="image1.png" descr="A diagram of a computer&#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 name="image1.png" descr="A diagram of a computer&#10;&#10;Description automatically generated with medium confidence"/>
                          <pic:cNvPicPr preferRelativeResize="0"/>
                        </pic:nvPicPr>
                        <pic:blipFill>
                          <a:blip r:embed="rId4"/>
                          <a:srcRect/>
                          <a:stretch>
                            <a:fillRect/>
                          </a:stretch>
                        </pic:blipFill>
                        <pic:spPr>
                          <a:xfrm>
                            <a:off x="0" y="0"/>
                            <a:ext cx="5810250" cy="3632200"/>
                          </a:xfrm>
                          <a:prstGeom prst="rect">
                            <a:avLst/>
                          </a:prstGeom>
                          <a:ln/>
                        </pic:spPr>
                      </pic:pic>
                    </a:graphicData>
                  </a:graphic>
                </wp:inline>
              </w:drawing>
            </w:r>
          </w:p>
        </w:tc>
      </w:tr>
      <w:tr w:rsidR="00586F10" w14:paraId="6D6F5C2E" w14:textId="77777777" w:rsidTr="00335143">
        <w:tc>
          <w:tcPr>
            <w:tcW w:w="9360" w:type="dxa"/>
            <w:shd w:val="clear" w:color="auto" w:fill="auto"/>
            <w:tcMar>
              <w:top w:w="100" w:type="dxa"/>
              <w:left w:w="100" w:type="dxa"/>
              <w:bottom w:w="100" w:type="dxa"/>
              <w:right w:w="100" w:type="dxa"/>
            </w:tcMar>
          </w:tcPr>
          <w:p w14:paraId="245BB65A" w14:textId="77777777" w:rsidR="00586F10" w:rsidRDefault="00586F10" w:rsidP="00335143">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Extended Data Figure 1</w:t>
            </w:r>
            <w:r>
              <w:rPr>
                <w:rFonts w:ascii="Times New Roman" w:eastAsia="Times New Roman" w:hAnsi="Times New Roman" w:cs="Times New Roman"/>
                <w:sz w:val="24"/>
                <w:szCs w:val="24"/>
              </w:rPr>
              <w:t xml:space="preserve">. The mouse head/brain processing pipeline is summarized below. (1) Radiological images are acquired, both MRI &amp; CT, in vivo and ex vivo. (2) Mouse heads are received at CSHL and undergo skull decalcification. (3) Mouse heads are frozen into blocks. (4) Blocks are tape-transfer </w:t>
            </w:r>
            <w:proofErr w:type="spellStart"/>
            <w:r>
              <w:rPr>
                <w:rFonts w:ascii="Times New Roman" w:eastAsia="Times New Roman" w:hAnsi="Times New Roman" w:cs="Times New Roman"/>
                <w:sz w:val="24"/>
                <w:szCs w:val="24"/>
              </w:rPr>
              <w:t>cryosectioned</w:t>
            </w:r>
            <w:proofErr w:type="spellEnd"/>
            <w:r>
              <w:rPr>
                <w:rFonts w:ascii="Times New Roman" w:eastAsia="Times New Roman" w:hAnsi="Times New Roman" w:cs="Times New Roman"/>
                <w:sz w:val="24"/>
                <w:szCs w:val="24"/>
              </w:rPr>
              <w:t xml:space="preserve">. (5) Sections are stained on slide using an automated stainer for both Nissl and Myelin histology. (6) Sections are imaged with a Hamamatsu </w:t>
            </w:r>
            <w:proofErr w:type="spellStart"/>
            <w:r>
              <w:rPr>
                <w:rFonts w:ascii="Times New Roman" w:eastAsia="Times New Roman" w:hAnsi="Times New Roman" w:cs="Times New Roman"/>
                <w:sz w:val="24"/>
                <w:szCs w:val="24"/>
              </w:rPr>
              <w:t>Nanozoomer</w:t>
            </w:r>
            <w:proofErr w:type="spellEnd"/>
            <w:r>
              <w:rPr>
                <w:rFonts w:ascii="Times New Roman" w:eastAsia="Times New Roman" w:hAnsi="Times New Roman" w:cs="Times New Roman"/>
                <w:sz w:val="24"/>
                <w:szCs w:val="24"/>
              </w:rPr>
              <w:t>. (7) Following section image QC, section images are aligned and mapped into the in vivo stereotactic reference coordinate space. (8) Following additional analytics and atlas mapping, per subject outputs are released in both web viewable and downloadable formats. Black arrows indicate steps with key integration with the LIMS (an in-house built Laboratory Information Management System).</w:t>
            </w:r>
          </w:p>
        </w:tc>
      </w:tr>
    </w:tbl>
    <w:p w14:paraId="21BC0D0B" w14:textId="0EBC9AF1" w:rsidR="00577AF5" w:rsidRDefault="00577AF5"/>
    <w:p w14:paraId="7490B6BC" w14:textId="77777777" w:rsidR="00577AF5" w:rsidRDefault="00577AF5">
      <w:pPr>
        <w:spacing w:line="240" w:lineRule="auto"/>
      </w:pPr>
      <w:r>
        <w:br w:type="page"/>
      </w:r>
    </w:p>
    <w:tbl>
      <w:tblPr>
        <w:tblStyle w:val="TableGrid"/>
        <w:tblW w:w="0" w:type="auto"/>
        <w:tblLook w:val="04A0" w:firstRow="1" w:lastRow="0" w:firstColumn="1" w:lastColumn="0" w:noHBand="0" w:noVBand="1"/>
      </w:tblPr>
      <w:tblGrid>
        <w:gridCol w:w="9350"/>
      </w:tblGrid>
      <w:tr w:rsidR="00577AF5" w14:paraId="2B40218F" w14:textId="77777777" w:rsidTr="00577AF5">
        <w:tc>
          <w:tcPr>
            <w:tcW w:w="9350" w:type="dxa"/>
          </w:tcPr>
          <w:p w14:paraId="3B97024D" w14:textId="3DFEF447" w:rsidR="00577AF5" w:rsidRDefault="00577AF5">
            <w:r w:rsidRPr="00577AF5">
              <w:rPr>
                <w:noProof/>
              </w:rPr>
              <w:lastRenderedPageBreak/>
              <w:drawing>
                <wp:inline distT="0" distB="0" distL="0" distR="0" wp14:anchorId="78EE1A4A" wp14:editId="61737933">
                  <wp:extent cx="5943600" cy="4280535"/>
                  <wp:effectExtent l="0" t="0" r="0" b="0"/>
                  <wp:docPr id="1654732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732282" name=""/>
                          <pic:cNvPicPr/>
                        </pic:nvPicPr>
                        <pic:blipFill>
                          <a:blip r:embed="rId5"/>
                          <a:stretch>
                            <a:fillRect/>
                          </a:stretch>
                        </pic:blipFill>
                        <pic:spPr>
                          <a:xfrm>
                            <a:off x="0" y="0"/>
                            <a:ext cx="5943600" cy="4280535"/>
                          </a:xfrm>
                          <a:prstGeom prst="rect">
                            <a:avLst/>
                          </a:prstGeom>
                        </pic:spPr>
                      </pic:pic>
                    </a:graphicData>
                  </a:graphic>
                </wp:inline>
              </w:drawing>
            </w:r>
          </w:p>
        </w:tc>
      </w:tr>
      <w:tr w:rsidR="00577AF5" w14:paraId="791F33B7" w14:textId="77777777" w:rsidTr="00577AF5">
        <w:tc>
          <w:tcPr>
            <w:tcW w:w="9350" w:type="dxa"/>
          </w:tcPr>
          <w:p w14:paraId="56543FC4" w14:textId="45EA75EC" w:rsidR="00577AF5" w:rsidRPr="00577AF5" w:rsidRDefault="00577AF5">
            <w:pPr>
              <w:rPr>
                <w:rFonts w:ascii="Times New Roman" w:eastAsia="Times New Roman" w:hAnsi="Times New Roman" w:cs="Times New Roman"/>
              </w:rPr>
            </w:pPr>
            <w:r w:rsidRPr="718A313E">
              <w:rPr>
                <w:rFonts w:ascii="Times New Roman" w:hAnsi="Times New Roman" w:cs="Times New Roman"/>
                <w:b/>
                <w:bCs/>
              </w:rPr>
              <w:t>Extended data Figure 2:</w:t>
            </w:r>
            <w:r w:rsidRPr="718A313E">
              <w:rPr>
                <w:b/>
                <w:bCs/>
              </w:rPr>
              <w:t xml:space="preserve"> </w:t>
            </w:r>
            <w:r w:rsidRPr="718A313E">
              <w:rPr>
                <w:rFonts w:ascii="Times New Roman" w:eastAsia="Times New Roman" w:hAnsi="Times New Roman" w:cs="Times New Roman"/>
                <w:b/>
                <w:bCs/>
              </w:rPr>
              <w:t xml:space="preserve">Additional </w:t>
            </w:r>
            <w:r w:rsidRPr="718A313E">
              <w:rPr>
                <w:rFonts w:ascii="Times New Roman" w:eastAsia="Times New Roman" w:hAnsi="Times New Roman" w:cs="Times New Roman"/>
                <w:b/>
                <w:bCs/>
                <w:i/>
                <w:iCs/>
              </w:rPr>
              <w:t>in vivo</w:t>
            </w:r>
            <w:r w:rsidRPr="718A313E">
              <w:rPr>
                <w:rFonts w:ascii="Times New Roman" w:eastAsia="Times New Roman" w:hAnsi="Times New Roman" w:cs="Times New Roman"/>
                <w:b/>
                <w:bCs/>
              </w:rPr>
              <w:t xml:space="preserve"> and </w:t>
            </w:r>
            <w:r w:rsidRPr="718A313E">
              <w:rPr>
                <w:rFonts w:ascii="Times New Roman" w:eastAsia="Times New Roman" w:hAnsi="Times New Roman" w:cs="Times New Roman"/>
                <w:b/>
                <w:bCs/>
                <w:i/>
                <w:iCs/>
              </w:rPr>
              <w:t>ex vivo</w:t>
            </w:r>
            <w:r w:rsidRPr="718A313E">
              <w:rPr>
                <w:rFonts w:ascii="Times New Roman" w:eastAsia="Times New Roman" w:hAnsi="Times New Roman" w:cs="Times New Roman"/>
                <w:b/>
                <w:bCs/>
              </w:rPr>
              <w:t xml:space="preserve"> population-averaged diffusion MRI parameter maps of the female mouse brain.</w:t>
            </w:r>
            <w:r w:rsidRPr="718A313E">
              <w:rPr>
                <w:rFonts w:ascii="Times New Roman" w:eastAsia="Times New Roman" w:hAnsi="Times New Roman" w:cs="Times New Roman"/>
              </w:rPr>
              <w:t xml:space="preserve"> </w:t>
            </w:r>
            <w:r w:rsidRPr="718A313E">
              <w:rPr>
                <w:rFonts w:ascii="Times New Roman" w:eastAsia="Times New Roman" w:hAnsi="Times New Roman" w:cs="Times New Roman"/>
                <w:b/>
                <w:bCs/>
              </w:rPr>
              <w:t>A:</w:t>
            </w:r>
            <w:r w:rsidRPr="718A313E">
              <w:rPr>
                <w:rFonts w:ascii="Times New Roman" w:eastAsia="Times New Roman" w:hAnsi="Times New Roman" w:cs="Times New Roman"/>
              </w:rPr>
              <w:t xml:space="preserve"> </w:t>
            </w:r>
            <w:r w:rsidRPr="718A313E">
              <w:rPr>
                <w:rFonts w:ascii="Times New Roman" w:eastAsia="Times New Roman" w:hAnsi="Times New Roman" w:cs="Times New Roman"/>
                <w:i/>
                <w:iCs/>
              </w:rPr>
              <w:t xml:space="preserve">In vivo </w:t>
            </w:r>
            <w:r w:rsidRPr="718A313E">
              <w:rPr>
                <w:rFonts w:ascii="Times New Roman" w:eastAsia="Times New Roman" w:hAnsi="Times New Roman" w:cs="Times New Roman"/>
              </w:rPr>
              <w:t xml:space="preserve">and </w:t>
            </w:r>
            <w:r w:rsidRPr="718A313E">
              <w:rPr>
                <w:rFonts w:ascii="Times New Roman" w:eastAsia="Times New Roman" w:hAnsi="Times New Roman" w:cs="Times New Roman"/>
                <w:i/>
                <w:iCs/>
              </w:rPr>
              <w:t>ex vivo</w:t>
            </w:r>
            <w:r w:rsidRPr="718A313E">
              <w:rPr>
                <w:rFonts w:ascii="Times New Roman" w:eastAsia="Times New Roman" w:hAnsi="Times New Roman" w:cs="Times New Roman"/>
              </w:rPr>
              <w:t xml:space="preserve"> axial diffusivity (AD), radial diffusivity (RD), axial kurtosis (AK), and radial kurtosis (RK) derived from the empirical diffusion tensor and kurtosis model. </w:t>
            </w:r>
            <w:r w:rsidRPr="718A313E">
              <w:rPr>
                <w:rFonts w:ascii="Times New Roman" w:eastAsia="Times New Roman" w:hAnsi="Times New Roman" w:cs="Times New Roman"/>
                <w:b/>
                <w:bCs/>
              </w:rPr>
              <w:t>B:</w:t>
            </w:r>
            <w:r w:rsidRPr="718A313E">
              <w:rPr>
                <w:rFonts w:ascii="Times New Roman" w:eastAsia="Times New Roman" w:hAnsi="Times New Roman" w:cs="Times New Roman"/>
              </w:rPr>
              <w:t xml:space="preserve"> </w:t>
            </w:r>
            <w:r w:rsidRPr="718A313E">
              <w:rPr>
                <w:rFonts w:ascii="Times New Roman" w:eastAsia="Times New Roman" w:hAnsi="Times New Roman" w:cs="Times New Roman"/>
                <w:i/>
                <w:iCs/>
              </w:rPr>
              <w:t xml:space="preserve">In </w:t>
            </w:r>
            <w:r w:rsidRPr="718A313E">
              <w:rPr>
                <w:rFonts w:ascii="Times New Roman" w:eastAsia="Times New Roman" w:hAnsi="Times New Roman" w:cs="Times New Roman"/>
              </w:rPr>
              <w:t>vivo</w:t>
            </w:r>
            <w:r w:rsidRPr="718A313E">
              <w:rPr>
                <w:rFonts w:ascii="Times New Roman" w:eastAsia="Times New Roman" w:hAnsi="Times New Roman" w:cs="Times New Roman"/>
                <w:i/>
                <w:iCs/>
              </w:rPr>
              <w:t xml:space="preserve"> </w:t>
            </w:r>
            <w:r w:rsidRPr="718A313E">
              <w:rPr>
                <w:rFonts w:ascii="Times New Roman" w:eastAsia="Times New Roman" w:hAnsi="Times New Roman" w:cs="Times New Roman"/>
              </w:rPr>
              <w:t xml:space="preserve">and </w:t>
            </w:r>
            <w:r w:rsidRPr="718A313E">
              <w:rPr>
                <w:rFonts w:ascii="Times New Roman" w:eastAsia="Times New Roman" w:hAnsi="Times New Roman" w:cs="Times New Roman"/>
                <w:i/>
                <w:iCs/>
              </w:rPr>
              <w:t>ex vivo</w:t>
            </w:r>
            <w:r w:rsidRPr="718A313E">
              <w:rPr>
                <w:rFonts w:ascii="Times New Roman" w:eastAsia="Times New Roman" w:hAnsi="Times New Roman" w:cs="Times New Roman"/>
              </w:rPr>
              <w:t xml:space="preserve"> tissue microstructure parameters derived from a biophysical model, in which axons are approximated by long impermeable cylinders and cell bodies by spheres. Abbreviations:  </w:t>
            </w:r>
            <w:proofErr w:type="gramStart"/>
            <w:r w:rsidRPr="718A313E">
              <w:rPr>
                <w:rFonts w:ascii="Times New Roman" w:eastAsia="Times New Roman" w:hAnsi="Times New Roman" w:cs="Times New Roman"/>
                <w:i/>
                <w:iCs/>
                <w:sz w:val="24"/>
                <w:szCs w:val="24"/>
                <w:lang w:val="en-US"/>
              </w:rPr>
              <w:t>f</w:t>
            </w:r>
            <w:r w:rsidRPr="718A313E">
              <w:rPr>
                <w:rFonts w:ascii="Times New Roman" w:eastAsia="Times New Roman" w:hAnsi="Times New Roman" w:cs="Times New Roman"/>
              </w:rPr>
              <w:t xml:space="preserve"> :</w:t>
            </w:r>
            <w:proofErr w:type="gramEnd"/>
            <w:r w:rsidRPr="718A313E">
              <w:rPr>
                <w:rFonts w:ascii="Times New Roman" w:eastAsia="Times New Roman" w:hAnsi="Times New Roman" w:cs="Times New Roman"/>
              </w:rPr>
              <w:t xml:space="preserve"> axonal fraction; </w:t>
            </w:r>
            <w:proofErr w:type="spellStart"/>
            <w:r w:rsidRPr="718A313E">
              <w:rPr>
                <w:rFonts w:ascii="Times New Roman" w:eastAsia="Times New Roman" w:hAnsi="Times New Roman" w:cs="Times New Roman"/>
                <w:i/>
                <w:iCs/>
                <w:sz w:val="24"/>
                <w:szCs w:val="24"/>
                <w:lang w:val="en-US"/>
              </w:rPr>
              <w:t>f</w:t>
            </w:r>
            <w:r w:rsidRPr="718A313E">
              <w:rPr>
                <w:rFonts w:ascii="Times New Roman" w:eastAsia="Times New Roman" w:hAnsi="Times New Roman" w:cs="Times New Roman"/>
                <w:i/>
                <w:iCs/>
                <w:sz w:val="24"/>
                <w:szCs w:val="24"/>
                <w:vertAlign w:val="subscript"/>
                <w:lang w:val="en-US"/>
              </w:rPr>
              <w:t>iso</w:t>
            </w:r>
            <w:proofErr w:type="spellEnd"/>
            <w:r w:rsidRPr="718A313E">
              <w:rPr>
                <w:rFonts w:ascii="Times New Roman" w:eastAsia="Times New Roman" w:hAnsi="Times New Roman" w:cs="Times New Roman"/>
                <w:sz w:val="24"/>
                <w:szCs w:val="24"/>
                <w:lang w:val="en-US"/>
              </w:rPr>
              <w:t>: fraction of isotropic diffusion compartment; p</w:t>
            </w:r>
            <w:r w:rsidRPr="718A313E">
              <w:rPr>
                <w:rFonts w:ascii="Times New Roman" w:eastAsia="Times New Roman" w:hAnsi="Times New Roman" w:cs="Times New Roman"/>
                <w:sz w:val="24"/>
                <w:szCs w:val="24"/>
                <w:vertAlign w:val="subscript"/>
                <w:lang w:val="en-US"/>
              </w:rPr>
              <w:t>2</w:t>
            </w:r>
            <w:r w:rsidRPr="718A313E">
              <w:rPr>
                <w:rFonts w:ascii="Times New Roman" w:eastAsia="Times New Roman" w:hAnsi="Times New Roman" w:cs="Times New Roman"/>
                <w:sz w:val="24"/>
                <w:szCs w:val="24"/>
                <w:lang w:val="en-US"/>
              </w:rPr>
              <w:t>: fiber dispersion; Da: intra-axonal axial diffusivity; D</w:t>
            </w:r>
            <w:r w:rsidRPr="718A313E">
              <w:rPr>
                <w:rFonts w:ascii="Times New Roman" w:eastAsia="Times New Roman" w:hAnsi="Times New Roman" w:cs="Times New Roman"/>
                <w:sz w:val="24"/>
                <w:szCs w:val="24"/>
                <w:vertAlign w:val="subscript"/>
                <w:lang w:val="en-US"/>
              </w:rPr>
              <w:t>e</w:t>
            </w:r>
            <w:r w:rsidRPr="718A313E">
              <w:rPr>
                <w:rFonts w:ascii="Times New Roman" w:eastAsia="Times New Roman" w:hAnsi="Times New Roman" w:cs="Times New Roman"/>
                <w:sz w:val="24"/>
                <w:szCs w:val="24"/>
                <w:vertAlign w:val="superscript"/>
                <w:lang w:val="en-US"/>
              </w:rPr>
              <w:t>||</w:t>
            </w:r>
            <w:r w:rsidRPr="718A313E">
              <w:rPr>
                <w:rFonts w:ascii="Times New Roman" w:eastAsia="Times New Roman" w:hAnsi="Times New Roman" w:cs="Times New Roman"/>
                <w:sz w:val="24"/>
                <w:szCs w:val="24"/>
                <w:lang w:val="en-US"/>
              </w:rPr>
              <w:t>: extracellular axial diffusivity; D</w:t>
            </w:r>
            <w:r w:rsidRPr="718A313E">
              <w:rPr>
                <w:rFonts w:ascii="Times New Roman" w:eastAsia="Times New Roman" w:hAnsi="Times New Roman" w:cs="Times New Roman"/>
                <w:sz w:val="24"/>
                <w:szCs w:val="24"/>
                <w:vertAlign w:val="subscript"/>
                <w:lang w:val="en-US"/>
              </w:rPr>
              <w:t>e</w:t>
            </w:r>
            <w:r w:rsidRPr="718A313E">
              <w:rPr>
                <w:rFonts w:ascii="Symbol" w:eastAsia="Symbol" w:hAnsi="Symbol" w:cs="Symbol"/>
                <w:sz w:val="24"/>
                <w:szCs w:val="24"/>
                <w:vertAlign w:val="superscript"/>
                <w:lang w:val="en-US"/>
              </w:rPr>
              <w:t>^</w:t>
            </w:r>
            <w:r w:rsidRPr="718A313E">
              <w:rPr>
                <w:rFonts w:ascii="Times New Roman" w:eastAsia="Times New Roman" w:hAnsi="Times New Roman" w:cs="Times New Roman"/>
                <w:sz w:val="24"/>
                <w:szCs w:val="24"/>
                <w:lang w:val="en-US"/>
              </w:rPr>
              <w:t xml:space="preserve">: extracellular radial diffusivity. </w:t>
            </w:r>
          </w:p>
        </w:tc>
      </w:tr>
    </w:tbl>
    <w:p w14:paraId="34DC9E95" w14:textId="6AA18715" w:rsidR="00577AF5" w:rsidRDefault="00577AF5"/>
    <w:p w14:paraId="51C828D0" w14:textId="77777777" w:rsidR="00577AF5" w:rsidRDefault="00577AF5">
      <w:pPr>
        <w:spacing w:line="240" w:lineRule="auto"/>
      </w:pPr>
      <w:r>
        <w:br w:type="page"/>
      </w:r>
    </w:p>
    <w:tbl>
      <w:tblPr>
        <w:tblStyle w:val="TableGrid"/>
        <w:tblW w:w="0" w:type="auto"/>
        <w:tblLook w:val="04A0" w:firstRow="1" w:lastRow="0" w:firstColumn="1" w:lastColumn="0" w:noHBand="0" w:noVBand="1"/>
      </w:tblPr>
      <w:tblGrid>
        <w:gridCol w:w="9350"/>
      </w:tblGrid>
      <w:tr w:rsidR="00577AF5" w14:paraId="2FE61211" w14:textId="77777777" w:rsidTr="00577AF5">
        <w:tc>
          <w:tcPr>
            <w:tcW w:w="9350" w:type="dxa"/>
          </w:tcPr>
          <w:p w14:paraId="588CE2CF" w14:textId="4E4B9D7D" w:rsidR="00577AF5" w:rsidRDefault="00577AF5">
            <w:r w:rsidRPr="00577AF5">
              <w:rPr>
                <w:noProof/>
              </w:rPr>
              <w:lastRenderedPageBreak/>
              <w:drawing>
                <wp:inline distT="0" distB="0" distL="0" distR="0" wp14:anchorId="45E5A046" wp14:editId="15426B6F">
                  <wp:extent cx="5943600" cy="5930265"/>
                  <wp:effectExtent l="0" t="0" r="0" b="635"/>
                  <wp:docPr id="918654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654446" name=""/>
                          <pic:cNvPicPr/>
                        </pic:nvPicPr>
                        <pic:blipFill>
                          <a:blip r:embed="rId6"/>
                          <a:stretch>
                            <a:fillRect/>
                          </a:stretch>
                        </pic:blipFill>
                        <pic:spPr>
                          <a:xfrm>
                            <a:off x="0" y="0"/>
                            <a:ext cx="5943600" cy="5930265"/>
                          </a:xfrm>
                          <a:prstGeom prst="rect">
                            <a:avLst/>
                          </a:prstGeom>
                        </pic:spPr>
                      </pic:pic>
                    </a:graphicData>
                  </a:graphic>
                </wp:inline>
              </w:drawing>
            </w:r>
          </w:p>
        </w:tc>
      </w:tr>
      <w:tr w:rsidR="00577AF5" w14:paraId="1A959F36" w14:textId="77777777" w:rsidTr="00577AF5">
        <w:tc>
          <w:tcPr>
            <w:tcW w:w="9350" w:type="dxa"/>
          </w:tcPr>
          <w:p w14:paraId="284FDB1D" w14:textId="51911549" w:rsidR="00577AF5" w:rsidRDefault="00577AF5">
            <w:r w:rsidRPr="00D453A7">
              <w:rPr>
                <w:rFonts w:ascii="Times New Roman" w:eastAsia="Times New Roman" w:hAnsi="Times New Roman" w:cs="Times New Roman"/>
                <w:b/>
                <w:bCs/>
              </w:rPr>
              <w:t>Extended Data Figure 3:</w:t>
            </w:r>
            <w:r>
              <w:rPr>
                <w:rFonts w:ascii="Times New Roman" w:eastAsia="Times New Roman" w:hAnsi="Times New Roman" w:cs="Times New Roman"/>
              </w:rPr>
              <w:t xml:space="preserve"> </w:t>
            </w:r>
            <w:r w:rsidRPr="756CA062">
              <w:rPr>
                <w:rFonts w:ascii="Times New Roman" w:eastAsia="Times New Roman" w:hAnsi="Times New Roman" w:cs="Times New Roman"/>
              </w:rPr>
              <w:t xml:space="preserve">Voxel-wise comparisons between </w:t>
            </w:r>
            <w:r w:rsidRPr="756CA062">
              <w:rPr>
                <w:rFonts w:ascii="Times New Roman" w:eastAsia="Times New Roman" w:hAnsi="Times New Roman" w:cs="Times New Roman"/>
                <w:i/>
                <w:iCs/>
              </w:rPr>
              <w:t>in vivo</w:t>
            </w:r>
            <w:r w:rsidRPr="756CA062">
              <w:rPr>
                <w:rFonts w:ascii="Times New Roman" w:eastAsia="Times New Roman" w:hAnsi="Times New Roman" w:cs="Times New Roman"/>
              </w:rPr>
              <w:t xml:space="preserve"> and </w:t>
            </w:r>
            <w:r w:rsidRPr="756CA062">
              <w:rPr>
                <w:rFonts w:ascii="Times New Roman" w:eastAsia="Times New Roman" w:hAnsi="Times New Roman" w:cs="Times New Roman"/>
                <w:i/>
                <w:iCs/>
              </w:rPr>
              <w:t>ex vivo</w:t>
            </w:r>
            <w:r w:rsidRPr="756CA062">
              <w:rPr>
                <w:rFonts w:ascii="Times New Roman" w:eastAsia="Times New Roman" w:hAnsi="Times New Roman" w:cs="Times New Roman"/>
              </w:rPr>
              <w:t xml:space="preserve"> v</w:t>
            </w:r>
            <w:r>
              <w:rPr>
                <w:rFonts w:ascii="Times New Roman" w:eastAsia="Times New Roman" w:hAnsi="Times New Roman" w:cs="Times New Roman"/>
              </w:rPr>
              <w:t>alues of axial diffusivity (AD), radial diffusivity (RD), axial kurtosis (AK), and radial kurtosis (RK), derived from the empirical diffusion tensor and kurtosis model and</w:t>
            </w:r>
            <w:r w:rsidRPr="756CA062">
              <w:rPr>
                <w:rFonts w:ascii="Times New Roman" w:eastAsia="Times New Roman" w:hAnsi="Times New Roman" w:cs="Times New Roman"/>
              </w:rPr>
              <w:t xml:space="preserve"> shown in scatter plots with Pearson correlation coefficient (</w:t>
            </w:r>
            <m:oMath>
              <m:r>
                <w:rPr>
                  <w:rFonts w:ascii="Cambria Math" w:hAnsi="Cambria Math"/>
                </w:rPr>
                <m:t>ρ</m:t>
              </m:r>
            </m:oMath>
            <w:r w:rsidRPr="756CA062">
              <w:rPr>
                <w:rFonts w:ascii="Times New Roman" w:eastAsia="Times New Roman" w:hAnsi="Times New Roman" w:cs="Times New Roman"/>
              </w:rPr>
              <w:t xml:space="preserve">) and 95% confidence interval (CI).  </w:t>
            </w:r>
            <w:r>
              <w:rPr>
                <w:rFonts w:ascii="Times New Roman" w:eastAsia="Times New Roman" w:hAnsi="Times New Roman" w:cs="Times New Roman"/>
              </w:rPr>
              <w:t xml:space="preserve">The solid lines represent the results of linear regression, and the dashed diagonal lines indicate the reference line for no change. The color indicates the density of voxels. Both </w:t>
            </w:r>
            <w:proofErr w:type="gramStart"/>
            <w:r>
              <w:rPr>
                <w:rFonts w:ascii="Times New Roman" w:eastAsia="Times New Roman" w:hAnsi="Times New Roman" w:cs="Times New Roman"/>
                <w:i/>
                <w:iCs/>
              </w:rPr>
              <w:t>ex</w:t>
            </w:r>
            <w:proofErr w:type="gramEnd"/>
            <w:r>
              <w:rPr>
                <w:rFonts w:ascii="Times New Roman" w:eastAsia="Times New Roman" w:hAnsi="Times New Roman" w:cs="Times New Roman"/>
                <w:i/>
                <w:iCs/>
              </w:rPr>
              <w:t xml:space="preserve"> vivo </w:t>
            </w:r>
            <w:r>
              <w:rPr>
                <w:rFonts w:ascii="Times New Roman" w:eastAsia="Times New Roman" w:hAnsi="Times New Roman" w:cs="Times New Roman"/>
              </w:rPr>
              <w:t xml:space="preserve">AD and RD are reduced compared to </w:t>
            </w:r>
            <w:r>
              <w:rPr>
                <w:rFonts w:ascii="Times New Roman" w:eastAsia="Times New Roman" w:hAnsi="Times New Roman" w:cs="Times New Roman"/>
                <w:i/>
                <w:iCs/>
              </w:rPr>
              <w:t xml:space="preserve">in vivo </w:t>
            </w:r>
            <w:r>
              <w:rPr>
                <w:rFonts w:ascii="Times New Roman" w:eastAsia="Times New Roman" w:hAnsi="Times New Roman" w:cs="Times New Roman"/>
              </w:rPr>
              <w:t xml:space="preserve">AD and RD, whereas </w:t>
            </w:r>
            <w:r>
              <w:rPr>
                <w:rFonts w:ascii="Times New Roman" w:eastAsia="Times New Roman" w:hAnsi="Times New Roman" w:cs="Times New Roman"/>
                <w:i/>
                <w:iCs/>
              </w:rPr>
              <w:t>ex vivo</w:t>
            </w:r>
            <w:r>
              <w:rPr>
                <w:rFonts w:ascii="Times New Roman" w:eastAsia="Times New Roman" w:hAnsi="Times New Roman" w:cs="Times New Roman"/>
              </w:rPr>
              <w:t xml:space="preserve"> AK and RK show slight increases compared to </w:t>
            </w:r>
            <w:r>
              <w:rPr>
                <w:rFonts w:ascii="Times New Roman" w:eastAsia="Times New Roman" w:hAnsi="Times New Roman" w:cs="Times New Roman"/>
                <w:i/>
                <w:iCs/>
              </w:rPr>
              <w:t xml:space="preserve">in vivo </w:t>
            </w:r>
            <w:r>
              <w:rPr>
                <w:rFonts w:ascii="Times New Roman" w:eastAsia="Times New Roman" w:hAnsi="Times New Roman" w:cs="Times New Roman"/>
              </w:rPr>
              <w:t xml:space="preserve">AK and RK. </w:t>
            </w:r>
          </w:p>
        </w:tc>
      </w:tr>
    </w:tbl>
    <w:p w14:paraId="4F402392" w14:textId="6B14B07F" w:rsidR="00FD7315" w:rsidRDefault="00FD7315"/>
    <w:p w14:paraId="13C3E277" w14:textId="77777777" w:rsidR="00FD7315" w:rsidRDefault="00FD7315">
      <w:pPr>
        <w:spacing w:line="240" w:lineRule="auto"/>
      </w:pPr>
      <w:r>
        <w:br w:type="page"/>
      </w:r>
    </w:p>
    <w:tbl>
      <w:tblPr>
        <w:tblStyle w:val="TableGrid"/>
        <w:tblW w:w="0" w:type="auto"/>
        <w:tblLook w:val="04A0" w:firstRow="1" w:lastRow="0" w:firstColumn="1" w:lastColumn="0" w:noHBand="0" w:noVBand="1"/>
      </w:tblPr>
      <w:tblGrid>
        <w:gridCol w:w="9350"/>
      </w:tblGrid>
      <w:tr w:rsidR="00FD7315" w14:paraId="41F4FBFC" w14:textId="77777777" w:rsidTr="00FD7315">
        <w:tc>
          <w:tcPr>
            <w:tcW w:w="9350" w:type="dxa"/>
          </w:tcPr>
          <w:p w14:paraId="3CA5DBFB" w14:textId="5D69D6CF" w:rsidR="00FD7315" w:rsidRDefault="00FD7315">
            <w:r w:rsidRPr="00FD7315">
              <w:rPr>
                <w:noProof/>
              </w:rPr>
              <w:lastRenderedPageBreak/>
              <w:drawing>
                <wp:inline distT="0" distB="0" distL="0" distR="0" wp14:anchorId="4062AF05" wp14:editId="24E13B45">
                  <wp:extent cx="5943600" cy="3957320"/>
                  <wp:effectExtent l="0" t="0" r="0" b="5080"/>
                  <wp:docPr id="1689381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381904" name=""/>
                          <pic:cNvPicPr/>
                        </pic:nvPicPr>
                        <pic:blipFill>
                          <a:blip r:embed="rId7"/>
                          <a:stretch>
                            <a:fillRect/>
                          </a:stretch>
                        </pic:blipFill>
                        <pic:spPr>
                          <a:xfrm>
                            <a:off x="0" y="0"/>
                            <a:ext cx="5943600" cy="3957320"/>
                          </a:xfrm>
                          <a:prstGeom prst="rect">
                            <a:avLst/>
                          </a:prstGeom>
                        </pic:spPr>
                      </pic:pic>
                    </a:graphicData>
                  </a:graphic>
                </wp:inline>
              </w:drawing>
            </w:r>
          </w:p>
        </w:tc>
      </w:tr>
      <w:tr w:rsidR="00FD7315" w14:paraId="6847483C" w14:textId="77777777" w:rsidTr="00FD7315">
        <w:tc>
          <w:tcPr>
            <w:tcW w:w="9350" w:type="dxa"/>
          </w:tcPr>
          <w:p w14:paraId="6E73B72E" w14:textId="26F927B9" w:rsidR="00FD7315" w:rsidRPr="00FD7315" w:rsidRDefault="00FD7315">
            <w:pPr>
              <w:rPr>
                <w:rFonts w:ascii="Times New Roman" w:eastAsia="Times New Roman" w:hAnsi="Times New Roman" w:cs="Times New Roman"/>
              </w:rPr>
            </w:pPr>
            <w:r w:rsidRPr="00D453A7">
              <w:rPr>
                <w:rFonts w:ascii="Times New Roman" w:eastAsia="Times New Roman" w:hAnsi="Times New Roman" w:cs="Times New Roman"/>
                <w:b/>
                <w:bCs/>
              </w:rPr>
              <w:t xml:space="preserve">Extended Data Figure </w:t>
            </w:r>
            <w:r>
              <w:rPr>
                <w:rFonts w:ascii="Times New Roman" w:eastAsia="Times New Roman" w:hAnsi="Times New Roman" w:cs="Times New Roman"/>
                <w:b/>
                <w:bCs/>
              </w:rPr>
              <w:t>4</w:t>
            </w:r>
            <w:r w:rsidRPr="00D453A7">
              <w:rPr>
                <w:rFonts w:ascii="Times New Roman" w:eastAsia="Times New Roman" w:hAnsi="Times New Roman" w:cs="Times New Roman"/>
                <w:b/>
                <w:bCs/>
              </w:rPr>
              <w:t>:</w:t>
            </w:r>
            <w:r>
              <w:rPr>
                <w:rFonts w:ascii="Times New Roman" w:eastAsia="Times New Roman" w:hAnsi="Times New Roman" w:cs="Times New Roman"/>
              </w:rPr>
              <w:t xml:space="preserve"> </w:t>
            </w:r>
            <w:r w:rsidRPr="756CA062">
              <w:rPr>
                <w:rFonts w:ascii="Times New Roman" w:eastAsia="Times New Roman" w:hAnsi="Times New Roman" w:cs="Times New Roman"/>
              </w:rPr>
              <w:t xml:space="preserve">Voxel-wise comparisons between </w:t>
            </w:r>
            <w:r w:rsidRPr="756CA062">
              <w:rPr>
                <w:rFonts w:ascii="Times New Roman" w:eastAsia="Times New Roman" w:hAnsi="Times New Roman" w:cs="Times New Roman"/>
                <w:i/>
                <w:iCs/>
              </w:rPr>
              <w:t>in vivo</w:t>
            </w:r>
            <w:r w:rsidRPr="756CA062">
              <w:rPr>
                <w:rFonts w:ascii="Times New Roman" w:eastAsia="Times New Roman" w:hAnsi="Times New Roman" w:cs="Times New Roman"/>
              </w:rPr>
              <w:t xml:space="preserve"> and </w:t>
            </w:r>
            <w:r w:rsidRPr="756CA062">
              <w:rPr>
                <w:rFonts w:ascii="Times New Roman" w:eastAsia="Times New Roman" w:hAnsi="Times New Roman" w:cs="Times New Roman"/>
                <w:i/>
                <w:iCs/>
              </w:rPr>
              <w:t>ex vivo</w:t>
            </w:r>
            <w:r w:rsidRPr="756CA062">
              <w:rPr>
                <w:rFonts w:ascii="Times New Roman" w:eastAsia="Times New Roman" w:hAnsi="Times New Roman" w:cs="Times New Roman"/>
              </w:rPr>
              <w:t xml:space="preserve"> v</w:t>
            </w:r>
            <w:r>
              <w:rPr>
                <w:rFonts w:ascii="Times New Roman" w:eastAsia="Times New Roman" w:hAnsi="Times New Roman" w:cs="Times New Roman"/>
              </w:rPr>
              <w:t>alues of axonal fraction (</w:t>
            </w:r>
            <w:r w:rsidRPr="00D453A7">
              <w:rPr>
                <w:rFonts w:ascii="Times New Roman" w:eastAsia="Times New Roman" w:hAnsi="Times New Roman" w:cs="Times New Roman"/>
                <w:i/>
                <w:iCs/>
              </w:rPr>
              <w:t>f</w:t>
            </w:r>
            <w:r>
              <w:rPr>
                <w:rFonts w:ascii="Times New Roman" w:eastAsia="Times New Roman" w:hAnsi="Times New Roman" w:cs="Times New Roman"/>
              </w:rPr>
              <w:t>), fraction of isotropic diffusion compartment (</w:t>
            </w:r>
            <w:proofErr w:type="spellStart"/>
            <w:r w:rsidRPr="00D453A7">
              <w:rPr>
                <w:rFonts w:ascii="Times New Roman" w:eastAsia="Times New Roman" w:hAnsi="Times New Roman" w:cs="Times New Roman"/>
                <w:i/>
                <w:iCs/>
              </w:rPr>
              <w:t>f</w:t>
            </w:r>
            <w:r w:rsidRPr="00D453A7">
              <w:rPr>
                <w:rFonts w:ascii="Times New Roman" w:eastAsia="Times New Roman" w:hAnsi="Times New Roman" w:cs="Times New Roman"/>
                <w:i/>
                <w:iCs/>
                <w:vertAlign w:val="subscript"/>
              </w:rPr>
              <w:t>iso</w:t>
            </w:r>
            <w:proofErr w:type="spellEnd"/>
            <w:r>
              <w:rPr>
                <w:rFonts w:ascii="Times New Roman" w:eastAsia="Times New Roman" w:hAnsi="Times New Roman" w:cs="Times New Roman"/>
              </w:rPr>
              <w:t>), fiber dispersion (p</w:t>
            </w:r>
            <w:r w:rsidRPr="00D453A7">
              <w:rPr>
                <w:rFonts w:ascii="Times New Roman" w:eastAsia="Times New Roman" w:hAnsi="Times New Roman" w:cs="Times New Roman"/>
                <w:vertAlign w:val="subscript"/>
              </w:rPr>
              <w:t>2</w:t>
            </w:r>
            <w:r>
              <w:rPr>
                <w:rFonts w:ascii="Times New Roman" w:eastAsia="Times New Roman" w:hAnsi="Times New Roman" w:cs="Times New Roman"/>
              </w:rPr>
              <w:t>), intra-axonal axial diffusivity (D</w:t>
            </w:r>
            <w:r w:rsidRPr="00932C91">
              <w:rPr>
                <w:rFonts w:ascii="Times New Roman" w:eastAsia="Times New Roman" w:hAnsi="Times New Roman" w:cs="Times New Roman"/>
                <w:vertAlign w:val="subscript"/>
              </w:rPr>
              <w:t>a</w:t>
            </w:r>
            <w:r>
              <w:rPr>
                <w:rFonts w:ascii="Times New Roman" w:eastAsia="Times New Roman" w:hAnsi="Times New Roman" w:cs="Times New Roman"/>
              </w:rPr>
              <w:t>), extracellular axial diffusivity (D</w:t>
            </w:r>
            <w:r w:rsidRPr="00D453A7">
              <w:rPr>
                <w:rFonts w:ascii="Times New Roman" w:eastAsia="Times New Roman" w:hAnsi="Times New Roman" w:cs="Times New Roman"/>
                <w:vertAlign w:val="subscript"/>
              </w:rPr>
              <w:t>e</w:t>
            </w:r>
            <w:r w:rsidRPr="00D453A7">
              <w:rPr>
                <w:rFonts w:ascii="Times New Roman" w:eastAsia="Times New Roman" w:hAnsi="Times New Roman" w:cs="Times New Roman"/>
                <w:vertAlign w:val="superscript"/>
              </w:rPr>
              <w:t>||</w:t>
            </w:r>
            <w:r>
              <w:rPr>
                <w:rFonts w:ascii="Times New Roman" w:eastAsia="Times New Roman" w:hAnsi="Times New Roman" w:cs="Times New Roman"/>
              </w:rPr>
              <w:t>), and extracellular radial diffusivity (D</w:t>
            </w:r>
            <w:r w:rsidRPr="00D453A7">
              <w:rPr>
                <w:rFonts w:ascii="Times New Roman" w:eastAsia="Times New Roman" w:hAnsi="Times New Roman" w:cs="Times New Roman"/>
                <w:vertAlign w:val="subscript"/>
              </w:rPr>
              <w:t>e</w:t>
            </w:r>
            <w:r w:rsidRPr="00D453A7">
              <w:rPr>
                <w:rFonts w:ascii="Times New Roman" w:eastAsia="Times New Roman" w:hAnsi="Times New Roman" w:cs="Times New Roman"/>
                <w:vertAlign w:val="superscript"/>
              </w:rPr>
              <w:sym w:font="Symbol" w:char="F05E"/>
            </w:r>
            <w:r>
              <w:rPr>
                <w:rFonts w:ascii="Times New Roman" w:eastAsia="Times New Roman" w:hAnsi="Times New Roman" w:cs="Times New Roman"/>
              </w:rPr>
              <w:t xml:space="preserve">), computed from the biophysical model and </w:t>
            </w:r>
            <w:r w:rsidRPr="756CA062">
              <w:rPr>
                <w:rFonts w:ascii="Times New Roman" w:eastAsia="Times New Roman" w:hAnsi="Times New Roman" w:cs="Times New Roman"/>
              </w:rPr>
              <w:t>shown in scatter plots with Pearson correlation coefficient (</w:t>
            </w:r>
            <m:oMath>
              <m:r>
                <w:rPr>
                  <w:rFonts w:ascii="Cambria Math" w:hAnsi="Cambria Math"/>
                </w:rPr>
                <m:t>ρ</m:t>
              </m:r>
            </m:oMath>
            <w:r w:rsidRPr="756CA062">
              <w:rPr>
                <w:rFonts w:ascii="Times New Roman" w:eastAsia="Times New Roman" w:hAnsi="Times New Roman" w:cs="Times New Roman"/>
              </w:rPr>
              <w:t xml:space="preserve">) and 95% confidence interval (CI). </w:t>
            </w:r>
            <w:r>
              <w:rPr>
                <w:rFonts w:ascii="Times New Roman" w:eastAsia="Times New Roman" w:hAnsi="Times New Roman" w:cs="Times New Roman"/>
              </w:rPr>
              <w:t xml:space="preserve">The solid lines represent the results of linear regression, and the dashed diagonal lines indicate the reference line for no change. </w:t>
            </w:r>
            <w:r w:rsidRPr="00932C91">
              <w:rPr>
                <w:rFonts w:ascii="Times New Roman" w:eastAsia="Times New Roman" w:hAnsi="Times New Roman" w:cs="Times New Roman"/>
                <w:i/>
                <w:iCs/>
              </w:rPr>
              <w:t>Ex vivo</w:t>
            </w:r>
            <w:r>
              <w:rPr>
                <w:rFonts w:ascii="Times New Roman" w:eastAsia="Times New Roman" w:hAnsi="Times New Roman" w:cs="Times New Roman"/>
              </w:rPr>
              <w:t xml:space="preserve"> </w:t>
            </w:r>
            <w:r w:rsidRPr="002420C9">
              <w:rPr>
                <w:rFonts w:ascii="Times New Roman" w:eastAsia="Times New Roman" w:hAnsi="Times New Roman" w:cs="Times New Roman"/>
                <w:i/>
                <w:iCs/>
              </w:rPr>
              <w:t>f</w:t>
            </w:r>
            <w:r>
              <w:rPr>
                <w:rFonts w:ascii="Times New Roman" w:eastAsia="Times New Roman" w:hAnsi="Times New Roman" w:cs="Times New Roman"/>
              </w:rPr>
              <w:t>, D</w:t>
            </w:r>
            <w:r w:rsidRPr="00932C91">
              <w:rPr>
                <w:rFonts w:ascii="Times New Roman" w:eastAsia="Times New Roman" w:hAnsi="Times New Roman" w:cs="Times New Roman"/>
                <w:vertAlign w:val="subscript"/>
              </w:rPr>
              <w:t>a</w:t>
            </w:r>
            <w:r>
              <w:rPr>
                <w:rFonts w:ascii="Times New Roman" w:eastAsia="Times New Roman" w:hAnsi="Times New Roman" w:cs="Times New Roman"/>
              </w:rPr>
              <w:t>, D</w:t>
            </w:r>
            <w:r w:rsidRPr="00D453A7">
              <w:rPr>
                <w:rFonts w:ascii="Times New Roman" w:eastAsia="Times New Roman" w:hAnsi="Times New Roman" w:cs="Times New Roman"/>
                <w:vertAlign w:val="subscript"/>
              </w:rPr>
              <w:t>e</w:t>
            </w:r>
            <w:r w:rsidRPr="00D453A7">
              <w:rPr>
                <w:rFonts w:ascii="Times New Roman" w:eastAsia="Times New Roman" w:hAnsi="Times New Roman" w:cs="Times New Roman"/>
                <w:vertAlign w:val="superscript"/>
              </w:rPr>
              <w:t>||</w:t>
            </w:r>
            <w:r>
              <w:rPr>
                <w:rFonts w:ascii="Times New Roman" w:eastAsia="Times New Roman" w:hAnsi="Times New Roman" w:cs="Times New Roman"/>
              </w:rPr>
              <w:t>, and D</w:t>
            </w:r>
            <w:r w:rsidRPr="00D453A7">
              <w:rPr>
                <w:rFonts w:ascii="Times New Roman" w:eastAsia="Times New Roman" w:hAnsi="Times New Roman" w:cs="Times New Roman"/>
                <w:vertAlign w:val="subscript"/>
              </w:rPr>
              <w:t>e</w:t>
            </w:r>
            <w:r w:rsidRPr="00D453A7">
              <w:rPr>
                <w:rFonts w:ascii="Times New Roman" w:eastAsia="Times New Roman" w:hAnsi="Times New Roman" w:cs="Times New Roman"/>
                <w:vertAlign w:val="superscript"/>
              </w:rPr>
              <w:sym w:font="Symbol" w:char="F05E"/>
            </w:r>
            <w:r>
              <w:rPr>
                <w:rFonts w:ascii="Times New Roman" w:eastAsia="Times New Roman" w:hAnsi="Times New Roman" w:cs="Times New Roman"/>
              </w:rPr>
              <w:t xml:space="preserve"> are lower than the </w:t>
            </w:r>
            <w:r w:rsidRPr="00932C91">
              <w:rPr>
                <w:rFonts w:ascii="Times New Roman" w:eastAsia="Times New Roman" w:hAnsi="Times New Roman" w:cs="Times New Roman"/>
                <w:i/>
                <w:iCs/>
              </w:rPr>
              <w:t>in vivo</w:t>
            </w:r>
            <w:r>
              <w:rPr>
                <w:rFonts w:ascii="Times New Roman" w:eastAsia="Times New Roman" w:hAnsi="Times New Roman" w:cs="Times New Roman"/>
              </w:rPr>
              <w:t xml:space="preserve"> results, and ex vivo </w:t>
            </w:r>
            <w:proofErr w:type="spellStart"/>
            <w:r w:rsidRPr="00D453A7">
              <w:rPr>
                <w:rFonts w:ascii="Times New Roman" w:eastAsia="Times New Roman" w:hAnsi="Times New Roman" w:cs="Times New Roman"/>
                <w:i/>
                <w:iCs/>
              </w:rPr>
              <w:t>f</w:t>
            </w:r>
            <w:r w:rsidRPr="00D453A7">
              <w:rPr>
                <w:rFonts w:ascii="Times New Roman" w:eastAsia="Times New Roman" w:hAnsi="Times New Roman" w:cs="Times New Roman"/>
                <w:i/>
                <w:iCs/>
                <w:vertAlign w:val="subscript"/>
              </w:rPr>
              <w:t>iso</w:t>
            </w:r>
            <w:proofErr w:type="spellEnd"/>
            <w:r>
              <w:rPr>
                <w:rFonts w:ascii="Times New Roman" w:eastAsia="Times New Roman" w:hAnsi="Times New Roman" w:cs="Times New Roman"/>
                <w:i/>
                <w:iCs/>
              </w:rPr>
              <w:t xml:space="preserve"> </w:t>
            </w:r>
            <w:r>
              <w:rPr>
                <w:rFonts w:ascii="Times New Roman" w:eastAsia="Times New Roman" w:hAnsi="Times New Roman" w:cs="Times New Roman"/>
              </w:rPr>
              <w:t>and p</w:t>
            </w:r>
            <w:r w:rsidRPr="002420C9">
              <w:rPr>
                <w:rFonts w:ascii="Times New Roman" w:eastAsia="Times New Roman" w:hAnsi="Times New Roman" w:cs="Times New Roman"/>
                <w:vertAlign w:val="subscript"/>
              </w:rPr>
              <w:t>2</w:t>
            </w:r>
            <w:r>
              <w:rPr>
                <w:rFonts w:ascii="Times New Roman" w:eastAsia="Times New Roman" w:hAnsi="Times New Roman" w:cs="Times New Roman"/>
              </w:rPr>
              <w:t xml:space="preserve"> are higher than the </w:t>
            </w:r>
            <w:r w:rsidRPr="002420C9">
              <w:rPr>
                <w:rFonts w:ascii="Times New Roman" w:eastAsia="Times New Roman" w:hAnsi="Times New Roman" w:cs="Times New Roman"/>
                <w:i/>
                <w:iCs/>
              </w:rPr>
              <w:t>in vivo</w:t>
            </w:r>
            <w:r>
              <w:rPr>
                <w:rFonts w:ascii="Times New Roman" w:eastAsia="Times New Roman" w:hAnsi="Times New Roman" w:cs="Times New Roman"/>
              </w:rPr>
              <w:t xml:space="preserve"> results. </w:t>
            </w:r>
          </w:p>
        </w:tc>
      </w:tr>
    </w:tbl>
    <w:p w14:paraId="2E5E19E8" w14:textId="7EB87FB3" w:rsidR="0081303E" w:rsidRDefault="0081303E"/>
    <w:p w14:paraId="04DEA50D" w14:textId="77777777" w:rsidR="0081303E" w:rsidRDefault="0081303E">
      <w:pPr>
        <w:spacing w:line="240" w:lineRule="auto"/>
      </w:pPr>
      <w:r>
        <w:br w:type="page"/>
      </w:r>
    </w:p>
    <w:tbl>
      <w:tblPr>
        <w:tblStyle w:val="TableGrid"/>
        <w:tblW w:w="0" w:type="auto"/>
        <w:tblLook w:val="04A0" w:firstRow="1" w:lastRow="0" w:firstColumn="1" w:lastColumn="0" w:noHBand="0" w:noVBand="1"/>
      </w:tblPr>
      <w:tblGrid>
        <w:gridCol w:w="9350"/>
      </w:tblGrid>
      <w:tr w:rsidR="0081303E" w14:paraId="7E8CF586" w14:textId="77777777" w:rsidTr="0081303E">
        <w:tc>
          <w:tcPr>
            <w:tcW w:w="9350" w:type="dxa"/>
          </w:tcPr>
          <w:p w14:paraId="66BD12F4" w14:textId="3C7F8989" w:rsidR="0081303E" w:rsidRDefault="0081303E">
            <w:pPr>
              <w:spacing w:line="240" w:lineRule="auto"/>
            </w:pPr>
            <w:r>
              <w:rPr>
                <w:noProof/>
              </w:rPr>
              <w:lastRenderedPageBreak/>
              <w:drawing>
                <wp:inline distT="0" distB="0" distL="0" distR="0" wp14:anchorId="03CC1C59" wp14:editId="31F36AA0">
                  <wp:extent cx="5664820" cy="6815940"/>
                  <wp:effectExtent l="0" t="0" r="0" b="4445"/>
                  <wp:docPr id="1524743536"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247716" name="Picture 1" descr="A screenshot of a graph&#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04110" cy="6863214"/>
                          </a:xfrm>
                          <a:prstGeom prst="rect">
                            <a:avLst/>
                          </a:prstGeom>
                        </pic:spPr>
                      </pic:pic>
                    </a:graphicData>
                  </a:graphic>
                </wp:inline>
              </w:drawing>
            </w:r>
          </w:p>
        </w:tc>
      </w:tr>
      <w:tr w:rsidR="0081303E" w14:paraId="199E1AEC" w14:textId="77777777" w:rsidTr="0081303E">
        <w:tc>
          <w:tcPr>
            <w:tcW w:w="9350" w:type="dxa"/>
          </w:tcPr>
          <w:p w14:paraId="00B4228D" w14:textId="6904753E" w:rsidR="0081303E" w:rsidRDefault="0081303E" w:rsidP="0081303E">
            <w:pPr>
              <w:jc w:val="both"/>
            </w:pPr>
            <w:r>
              <w:rPr>
                <w:b/>
                <w:bCs/>
              </w:rPr>
              <w:t>Extended Data Figure 5</w:t>
            </w:r>
            <w:r>
              <w:t xml:space="preserve">. Demonstration of output of bubble correction in action. (a) Histograms of the size of connected components for both the uncorrected and corrected volumes. Note the dashed red line after a voxel size of 5, defining all components whose size was less than 5 voxels as a bubble. (b) Anteromedial and </w:t>
            </w:r>
            <w:proofErr w:type="spellStart"/>
            <w:r>
              <w:t>posteriomedial</w:t>
            </w:r>
            <w:proofErr w:type="spellEnd"/>
            <w:r>
              <w:t xml:space="preserve"> zoom in panels showing the segmentations at a per-voxel resolution both before and after bubble correction. Note the reduction in isolated voxels in the right, corrected anteromedial and posteromedial panels relative to the left uncorrected anteromedial and posteromedial panels. </w:t>
            </w:r>
          </w:p>
        </w:tc>
      </w:tr>
    </w:tbl>
    <w:p w14:paraId="5630E820" w14:textId="77777777" w:rsidR="00777833" w:rsidRDefault="00777833" w:rsidP="00777833">
      <w:pPr>
        <w:jc w:val="both"/>
        <w:rPr>
          <w:b/>
          <w:bCs/>
        </w:rPr>
      </w:pPr>
      <w:r>
        <w:rPr>
          <w:b/>
          <w:bCs/>
          <w:noProof/>
        </w:rPr>
        <w:lastRenderedPageBreak/>
        <w:drawing>
          <wp:inline distT="0" distB="0" distL="0" distR="0" wp14:anchorId="066B6965" wp14:editId="61B70A00">
            <wp:extent cx="4985012" cy="8054340"/>
            <wp:effectExtent l="0" t="0" r="6350" b="3810"/>
            <wp:docPr id="7309035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9240" cy="8061172"/>
                    </a:xfrm>
                    <a:prstGeom prst="rect">
                      <a:avLst/>
                    </a:prstGeom>
                    <a:noFill/>
                    <a:ln>
                      <a:noFill/>
                    </a:ln>
                  </pic:spPr>
                </pic:pic>
              </a:graphicData>
            </a:graphic>
          </wp:inline>
        </w:drawing>
      </w:r>
    </w:p>
    <w:p w14:paraId="2D45FA6E" w14:textId="77777777" w:rsidR="00777833" w:rsidRDefault="00777833" w:rsidP="00777833">
      <w:pPr>
        <w:jc w:val="both"/>
        <w:rPr>
          <w:b/>
          <w:bCs/>
        </w:rPr>
      </w:pPr>
    </w:p>
    <w:p w14:paraId="70A50987" w14:textId="1C5558A2" w:rsidR="00777833" w:rsidRPr="001047CD" w:rsidRDefault="00777833" w:rsidP="00777833">
      <w:pPr>
        <w:jc w:val="both"/>
      </w:pPr>
      <w:r>
        <w:rPr>
          <w:b/>
          <w:bCs/>
        </w:rPr>
        <w:t>Extended Data Figure</w:t>
      </w:r>
      <w:r>
        <w:rPr>
          <w:b/>
          <w:bCs/>
        </w:rPr>
        <w:t xml:space="preserve"> 6: Distribution of 35 cell types from the ABC atlas in our reference atlas coordinate system. </w:t>
      </w:r>
      <w:r>
        <w:t xml:space="preserve">Here we show the distribution of 35 different cell types loaded using the Allen Brain Cell (ABC) Atlas python API as described at the </w:t>
      </w:r>
      <w:proofErr w:type="spellStart"/>
      <w:r>
        <w:t>url</w:t>
      </w:r>
      <w:proofErr w:type="spellEnd"/>
      <w:r>
        <w:t xml:space="preserve"> </w:t>
      </w:r>
      <w:hyperlink r:id="rId10" w:history="1">
        <w:r w:rsidRPr="00217E3E">
          <w:rPr>
            <w:rStyle w:val="Hyperlink"/>
          </w:rPr>
          <w:t>https://alleninstitute.github.io/abc_atlas_access/notebooks/merfish_ccf_registration_tutorial.html</w:t>
        </w:r>
      </w:hyperlink>
      <w:r>
        <w:t>, with coordinates mapped from the Allen CCF into our reference atlas framework.  Sagittal and coronal sections from one of our Nissl volumes are shown such that 90% of cells are rendered in front of the section.    Coordinates are in mm, with the bregma point at (0,0,0). Cells are rendered as a 3D scatter plot, with colors using the conventions from the API.</w:t>
      </w:r>
    </w:p>
    <w:p w14:paraId="4A461C4D" w14:textId="77777777" w:rsidR="00B8265A" w:rsidRDefault="00B8265A"/>
    <w:sectPr w:rsidR="00B8265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Mangal">
    <w:panose1 w:val="02040503050203030202"/>
    <w:charset w:val="01"/>
    <w:family w:val="roman"/>
    <w:pitch w:val="variable"/>
    <w:sig w:usb0="0000A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6F10"/>
    <w:rsid w:val="0042127D"/>
    <w:rsid w:val="00577AF5"/>
    <w:rsid w:val="00586F10"/>
    <w:rsid w:val="00777833"/>
    <w:rsid w:val="0081303E"/>
    <w:rsid w:val="00AC3D2B"/>
    <w:rsid w:val="00B8265A"/>
    <w:rsid w:val="00D6626F"/>
    <w:rsid w:val="00DC1AEB"/>
    <w:rsid w:val="00E47F50"/>
    <w:rsid w:val="00FA24B8"/>
    <w:rsid w:val="00FD7315"/>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4:docId w14:val="74BC1BE4"/>
  <w15:chartTrackingRefBased/>
  <w15:docId w15:val="{105DCC54-2702-FE49-8336-44CB89F27A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F10"/>
    <w:pPr>
      <w:spacing w:line="276" w:lineRule="auto"/>
    </w:pPr>
    <w:rPr>
      <w:rFonts w:ascii="Arial" w:eastAsia="Arial" w:hAnsi="Arial" w:cs="Arial"/>
      <w:kern w:val="0"/>
      <w:sz w:val="22"/>
      <w:szCs w:val="22"/>
      <w:lang w:val="en" w:bidi="hi-IN"/>
      <w14:ligatures w14:val="none"/>
    </w:rPr>
  </w:style>
  <w:style w:type="paragraph" w:styleId="Heading1">
    <w:name w:val="heading 1"/>
    <w:basedOn w:val="Normal"/>
    <w:next w:val="Normal"/>
    <w:link w:val="Heading1Char"/>
    <w:uiPriority w:val="9"/>
    <w:qFormat/>
    <w:rsid w:val="00586F10"/>
    <w:pPr>
      <w:keepNext/>
      <w:keepLines/>
      <w:spacing w:before="360" w:after="80" w:line="240" w:lineRule="auto"/>
      <w:outlineLvl w:val="0"/>
    </w:pPr>
    <w:rPr>
      <w:rFonts w:asciiTheme="majorHAnsi" w:eastAsiaTheme="majorEastAsia" w:hAnsiTheme="majorHAnsi" w:cstheme="majorBidi"/>
      <w:color w:val="0F4761" w:themeColor="accent1" w:themeShade="BF"/>
      <w:kern w:val="2"/>
      <w:sz w:val="40"/>
      <w:szCs w:val="40"/>
      <w:lang w:val="en-US" w:bidi="ar-SA"/>
      <w14:ligatures w14:val="standardContextual"/>
    </w:rPr>
  </w:style>
  <w:style w:type="paragraph" w:styleId="Heading2">
    <w:name w:val="heading 2"/>
    <w:basedOn w:val="Normal"/>
    <w:next w:val="Normal"/>
    <w:link w:val="Heading2Char"/>
    <w:uiPriority w:val="9"/>
    <w:semiHidden/>
    <w:unhideWhenUsed/>
    <w:qFormat/>
    <w:rsid w:val="00586F10"/>
    <w:pPr>
      <w:keepNext/>
      <w:keepLines/>
      <w:spacing w:before="160" w:after="80" w:line="240" w:lineRule="auto"/>
      <w:outlineLvl w:val="1"/>
    </w:pPr>
    <w:rPr>
      <w:rFonts w:asciiTheme="majorHAnsi" w:eastAsiaTheme="majorEastAsia" w:hAnsiTheme="majorHAnsi" w:cstheme="majorBidi"/>
      <w:color w:val="0F4761" w:themeColor="accent1" w:themeShade="BF"/>
      <w:kern w:val="2"/>
      <w:sz w:val="32"/>
      <w:szCs w:val="32"/>
      <w:lang w:val="en-US" w:bidi="ar-SA"/>
      <w14:ligatures w14:val="standardContextual"/>
    </w:rPr>
  </w:style>
  <w:style w:type="paragraph" w:styleId="Heading3">
    <w:name w:val="heading 3"/>
    <w:basedOn w:val="Normal"/>
    <w:next w:val="Normal"/>
    <w:link w:val="Heading3Char"/>
    <w:uiPriority w:val="9"/>
    <w:semiHidden/>
    <w:unhideWhenUsed/>
    <w:qFormat/>
    <w:rsid w:val="00586F10"/>
    <w:pPr>
      <w:keepNext/>
      <w:keepLines/>
      <w:spacing w:before="160" w:after="80" w:line="240" w:lineRule="auto"/>
      <w:outlineLvl w:val="2"/>
    </w:pPr>
    <w:rPr>
      <w:rFonts w:asciiTheme="minorHAnsi" w:eastAsiaTheme="majorEastAsia" w:hAnsiTheme="minorHAnsi" w:cstheme="majorBidi"/>
      <w:color w:val="0F4761" w:themeColor="accent1" w:themeShade="BF"/>
      <w:kern w:val="2"/>
      <w:sz w:val="28"/>
      <w:szCs w:val="28"/>
      <w:lang w:val="en-US" w:bidi="ar-SA"/>
      <w14:ligatures w14:val="standardContextual"/>
    </w:rPr>
  </w:style>
  <w:style w:type="paragraph" w:styleId="Heading4">
    <w:name w:val="heading 4"/>
    <w:basedOn w:val="Normal"/>
    <w:next w:val="Normal"/>
    <w:link w:val="Heading4Char"/>
    <w:uiPriority w:val="9"/>
    <w:semiHidden/>
    <w:unhideWhenUsed/>
    <w:qFormat/>
    <w:rsid w:val="00586F10"/>
    <w:pPr>
      <w:keepNext/>
      <w:keepLines/>
      <w:spacing w:before="80" w:after="40" w:line="240" w:lineRule="auto"/>
      <w:outlineLvl w:val="3"/>
    </w:pPr>
    <w:rPr>
      <w:rFonts w:asciiTheme="minorHAnsi" w:eastAsiaTheme="majorEastAsia" w:hAnsiTheme="minorHAnsi" w:cstheme="majorBidi"/>
      <w:i/>
      <w:iCs/>
      <w:color w:val="0F4761" w:themeColor="accent1" w:themeShade="BF"/>
      <w:kern w:val="2"/>
      <w:sz w:val="24"/>
      <w:szCs w:val="24"/>
      <w:lang w:val="en-US" w:bidi="ar-SA"/>
      <w14:ligatures w14:val="standardContextual"/>
    </w:rPr>
  </w:style>
  <w:style w:type="paragraph" w:styleId="Heading5">
    <w:name w:val="heading 5"/>
    <w:basedOn w:val="Normal"/>
    <w:next w:val="Normal"/>
    <w:link w:val="Heading5Char"/>
    <w:uiPriority w:val="9"/>
    <w:semiHidden/>
    <w:unhideWhenUsed/>
    <w:qFormat/>
    <w:rsid w:val="00586F10"/>
    <w:pPr>
      <w:keepNext/>
      <w:keepLines/>
      <w:spacing w:before="80" w:after="40" w:line="240" w:lineRule="auto"/>
      <w:outlineLvl w:val="4"/>
    </w:pPr>
    <w:rPr>
      <w:rFonts w:asciiTheme="minorHAnsi" w:eastAsiaTheme="majorEastAsia" w:hAnsiTheme="minorHAnsi" w:cstheme="majorBidi"/>
      <w:color w:val="0F4761" w:themeColor="accent1" w:themeShade="BF"/>
      <w:kern w:val="2"/>
      <w:sz w:val="24"/>
      <w:szCs w:val="24"/>
      <w:lang w:val="en-US" w:bidi="ar-SA"/>
      <w14:ligatures w14:val="standardContextual"/>
    </w:rPr>
  </w:style>
  <w:style w:type="paragraph" w:styleId="Heading6">
    <w:name w:val="heading 6"/>
    <w:basedOn w:val="Normal"/>
    <w:next w:val="Normal"/>
    <w:link w:val="Heading6Char"/>
    <w:uiPriority w:val="9"/>
    <w:semiHidden/>
    <w:unhideWhenUsed/>
    <w:qFormat/>
    <w:rsid w:val="00586F10"/>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val="en-US" w:bidi="ar-SA"/>
      <w14:ligatures w14:val="standardContextual"/>
    </w:rPr>
  </w:style>
  <w:style w:type="paragraph" w:styleId="Heading7">
    <w:name w:val="heading 7"/>
    <w:basedOn w:val="Normal"/>
    <w:next w:val="Normal"/>
    <w:link w:val="Heading7Char"/>
    <w:uiPriority w:val="9"/>
    <w:semiHidden/>
    <w:unhideWhenUsed/>
    <w:qFormat/>
    <w:rsid w:val="00586F10"/>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val="en-US" w:bidi="ar-SA"/>
      <w14:ligatures w14:val="standardContextual"/>
    </w:rPr>
  </w:style>
  <w:style w:type="paragraph" w:styleId="Heading8">
    <w:name w:val="heading 8"/>
    <w:basedOn w:val="Normal"/>
    <w:next w:val="Normal"/>
    <w:link w:val="Heading8Char"/>
    <w:uiPriority w:val="9"/>
    <w:semiHidden/>
    <w:unhideWhenUsed/>
    <w:qFormat/>
    <w:rsid w:val="00586F10"/>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val="en-US" w:bidi="ar-SA"/>
      <w14:ligatures w14:val="standardContextual"/>
    </w:rPr>
  </w:style>
  <w:style w:type="paragraph" w:styleId="Heading9">
    <w:name w:val="heading 9"/>
    <w:basedOn w:val="Normal"/>
    <w:next w:val="Normal"/>
    <w:link w:val="Heading9Char"/>
    <w:uiPriority w:val="9"/>
    <w:semiHidden/>
    <w:unhideWhenUsed/>
    <w:qFormat/>
    <w:rsid w:val="00586F10"/>
    <w:pPr>
      <w:keepNext/>
      <w:keepLines/>
      <w:spacing w:line="240" w:lineRule="auto"/>
      <w:outlineLvl w:val="8"/>
    </w:pPr>
    <w:rPr>
      <w:rFonts w:asciiTheme="minorHAnsi" w:eastAsiaTheme="majorEastAsia" w:hAnsiTheme="minorHAnsi" w:cstheme="majorBidi"/>
      <w:color w:val="272727" w:themeColor="text1" w:themeTint="D8"/>
      <w:kern w:val="2"/>
      <w:sz w:val="24"/>
      <w:szCs w:val="24"/>
      <w:lang w:val="en-US" w:bidi="ar-SA"/>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6F1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6F1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6F1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6F1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6F1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6F1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6F1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6F1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6F10"/>
    <w:rPr>
      <w:rFonts w:eastAsiaTheme="majorEastAsia" w:cstheme="majorBidi"/>
      <w:color w:val="272727" w:themeColor="text1" w:themeTint="D8"/>
    </w:rPr>
  </w:style>
  <w:style w:type="paragraph" w:styleId="Title">
    <w:name w:val="Title"/>
    <w:basedOn w:val="Normal"/>
    <w:next w:val="Normal"/>
    <w:link w:val="TitleChar"/>
    <w:uiPriority w:val="10"/>
    <w:qFormat/>
    <w:rsid w:val="00586F10"/>
    <w:pPr>
      <w:spacing w:after="80" w:line="240" w:lineRule="auto"/>
      <w:contextualSpacing/>
    </w:pPr>
    <w:rPr>
      <w:rFonts w:asciiTheme="majorHAnsi" w:eastAsiaTheme="majorEastAsia" w:hAnsiTheme="majorHAnsi" w:cstheme="majorBidi"/>
      <w:spacing w:val="-10"/>
      <w:kern w:val="28"/>
      <w:sz w:val="56"/>
      <w:szCs w:val="56"/>
      <w:lang w:val="en-US" w:bidi="ar-SA"/>
      <w14:ligatures w14:val="standardContextual"/>
    </w:rPr>
  </w:style>
  <w:style w:type="character" w:customStyle="1" w:styleId="TitleChar">
    <w:name w:val="Title Char"/>
    <w:basedOn w:val="DefaultParagraphFont"/>
    <w:link w:val="Title"/>
    <w:uiPriority w:val="10"/>
    <w:rsid w:val="00586F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6F10"/>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val="en-US" w:bidi="ar-SA"/>
      <w14:ligatures w14:val="standardContextual"/>
    </w:rPr>
  </w:style>
  <w:style w:type="character" w:customStyle="1" w:styleId="SubtitleChar">
    <w:name w:val="Subtitle Char"/>
    <w:basedOn w:val="DefaultParagraphFont"/>
    <w:link w:val="Subtitle"/>
    <w:uiPriority w:val="11"/>
    <w:rsid w:val="00586F1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6F10"/>
    <w:pPr>
      <w:spacing w:before="160" w:after="160" w:line="240" w:lineRule="auto"/>
      <w:jc w:val="center"/>
    </w:pPr>
    <w:rPr>
      <w:rFonts w:asciiTheme="minorHAnsi" w:eastAsiaTheme="minorHAnsi" w:hAnsiTheme="minorHAnsi" w:cstheme="minorBidi"/>
      <w:i/>
      <w:iCs/>
      <w:color w:val="404040" w:themeColor="text1" w:themeTint="BF"/>
      <w:kern w:val="2"/>
      <w:sz w:val="24"/>
      <w:szCs w:val="24"/>
      <w:lang w:val="en-US" w:bidi="ar-SA"/>
      <w14:ligatures w14:val="standardContextual"/>
    </w:rPr>
  </w:style>
  <w:style w:type="character" w:customStyle="1" w:styleId="QuoteChar">
    <w:name w:val="Quote Char"/>
    <w:basedOn w:val="DefaultParagraphFont"/>
    <w:link w:val="Quote"/>
    <w:uiPriority w:val="29"/>
    <w:rsid w:val="00586F10"/>
    <w:rPr>
      <w:i/>
      <w:iCs/>
      <w:color w:val="404040" w:themeColor="text1" w:themeTint="BF"/>
    </w:rPr>
  </w:style>
  <w:style w:type="paragraph" w:styleId="ListParagraph">
    <w:name w:val="List Paragraph"/>
    <w:basedOn w:val="Normal"/>
    <w:uiPriority w:val="34"/>
    <w:qFormat/>
    <w:rsid w:val="00586F10"/>
    <w:pPr>
      <w:spacing w:line="240" w:lineRule="auto"/>
      <w:ind w:left="720"/>
      <w:contextualSpacing/>
    </w:pPr>
    <w:rPr>
      <w:rFonts w:asciiTheme="minorHAnsi" w:eastAsiaTheme="minorHAnsi" w:hAnsiTheme="minorHAnsi" w:cstheme="minorBidi"/>
      <w:kern w:val="2"/>
      <w:sz w:val="24"/>
      <w:szCs w:val="24"/>
      <w:lang w:val="en-US" w:bidi="ar-SA"/>
      <w14:ligatures w14:val="standardContextual"/>
    </w:rPr>
  </w:style>
  <w:style w:type="character" w:styleId="IntenseEmphasis">
    <w:name w:val="Intense Emphasis"/>
    <w:basedOn w:val="DefaultParagraphFont"/>
    <w:uiPriority w:val="21"/>
    <w:qFormat/>
    <w:rsid w:val="00586F10"/>
    <w:rPr>
      <w:i/>
      <w:iCs/>
      <w:color w:val="0F4761" w:themeColor="accent1" w:themeShade="BF"/>
    </w:rPr>
  </w:style>
  <w:style w:type="paragraph" w:styleId="IntenseQuote">
    <w:name w:val="Intense Quote"/>
    <w:basedOn w:val="Normal"/>
    <w:next w:val="Normal"/>
    <w:link w:val="IntenseQuoteChar"/>
    <w:uiPriority w:val="30"/>
    <w:qFormat/>
    <w:rsid w:val="00586F10"/>
    <w:pPr>
      <w:pBdr>
        <w:top w:val="single" w:sz="4" w:space="10" w:color="0F4761" w:themeColor="accent1" w:themeShade="BF"/>
        <w:bottom w:val="single" w:sz="4" w:space="10" w:color="0F4761" w:themeColor="accent1" w:themeShade="BF"/>
      </w:pBdr>
      <w:spacing w:before="360" w:after="360" w:line="240" w:lineRule="auto"/>
      <w:ind w:left="864" w:right="864"/>
      <w:jc w:val="center"/>
    </w:pPr>
    <w:rPr>
      <w:rFonts w:asciiTheme="minorHAnsi" w:eastAsiaTheme="minorHAnsi" w:hAnsiTheme="minorHAnsi" w:cstheme="minorBidi"/>
      <w:i/>
      <w:iCs/>
      <w:color w:val="0F4761" w:themeColor="accent1" w:themeShade="BF"/>
      <w:kern w:val="2"/>
      <w:sz w:val="24"/>
      <w:szCs w:val="24"/>
      <w:lang w:val="en-US" w:bidi="ar-SA"/>
      <w14:ligatures w14:val="standardContextual"/>
    </w:rPr>
  </w:style>
  <w:style w:type="character" w:customStyle="1" w:styleId="IntenseQuoteChar">
    <w:name w:val="Intense Quote Char"/>
    <w:basedOn w:val="DefaultParagraphFont"/>
    <w:link w:val="IntenseQuote"/>
    <w:uiPriority w:val="30"/>
    <w:rsid w:val="00586F10"/>
    <w:rPr>
      <w:i/>
      <w:iCs/>
      <w:color w:val="0F4761" w:themeColor="accent1" w:themeShade="BF"/>
    </w:rPr>
  </w:style>
  <w:style w:type="character" w:styleId="IntenseReference">
    <w:name w:val="Intense Reference"/>
    <w:basedOn w:val="DefaultParagraphFont"/>
    <w:uiPriority w:val="32"/>
    <w:qFormat/>
    <w:rsid w:val="00586F10"/>
    <w:rPr>
      <w:b/>
      <w:bCs/>
      <w:smallCaps/>
      <w:color w:val="0F4761" w:themeColor="accent1" w:themeShade="BF"/>
      <w:spacing w:val="5"/>
    </w:rPr>
  </w:style>
  <w:style w:type="table" w:styleId="TableGrid">
    <w:name w:val="Table Grid"/>
    <w:basedOn w:val="TableNormal"/>
    <w:uiPriority w:val="39"/>
    <w:rsid w:val="00577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7833"/>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hyperlink" Target="https://alleninstitute.github.io/abc_atlas_access/notebooks/merfish_ccf_registration_tutorial.html" TargetMode="Externa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660</Words>
  <Characters>3763</Characters>
  <Application>Microsoft Office Word</Application>
  <DocSecurity>0</DocSecurity>
  <Lines>31</Lines>
  <Paragraphs>8</Paragraphs>
  <ScaleCrop>false</ScaleCrop>
  <Company/>
  <LinksUpToDate>false</LinksUpToDate>
  <CharactersWithSpaces>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Partha Mitra</dc:creator>
  <cp:keywords/>
  <dc:description/>
  <cp:lastModifiedBy>Partha Mitra</cp:lastModifiedBy>
  <cp:revision>6</cp:revision>
  <dcterms:created xsi:type="dcterms:W3CDTF">2025-03-30T02:59:00Z</dcterms:created>
  <dcterms:modified xsi:type="dcterms:W3CDTF">2025-04-06T13:50:00Z</dcterms:modified>
</cp:coreProperties>
</file>