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DAC3" w14:textId="4FE9501D" w:rsidR="00DE3349" w:rsidRDefault="00DE3349" w:rsidP="00DE3349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6EF">
        <w:rPr>
          <w:rFonts w:ascii="Times New Roman" w:hAnsi="Times New Roman" w:cs="Times New Roman"/>
          <w:b/>
          <w:bCs/>
          <w:sz w:val="24"/>
          <w:szCs w:val="24"/>
        </w:rPr>
        <w:t xml:space="preserve">Clinical characteristics associated with ARDS and mortality in </w:t>
      </w:r>
      <w:r w:rsidR="000E1530">
        <w:rPr>
          <w:rFonts w:ascii="Times New Roman" w:hAnsi="Times New Roman" w:cs="Times New Roman"/>
          <w:b/>
          <w:bCs/>
          <w:sz w:val="24"/>
          <w:szCs w:val="24"/>
        </w:rPr>
        <w:t xml:space="preserve">patients with </w:t>
      </w:r>
      <w:r w:rsidRPr="00D016EF">
        <w:rPr>
          <w:rFonts w:ascii="Times New Roman" w:hAnsi="Times New Roman" w:cs="Times New Roman"/>
          <w:b/>
          <w:bCs/>
          <w:sz w:val="24"/>
          <w:szCs w:val="24"/>
        </w:rPr>
        <w:t>COVID-19 who received corticosteroid therapy</w:t>
      </w:r>
    </w:p>
    <w:p w14:paraId="4D7CB4C1" w14:textId="77777777" w:rsidR="00DE3349" w:rsidRPr="007553A0" w:rsidRDefault="00DE3349" w:rsidP="00B14F99">
      <w:pPr>
        <w:rPr>
          <w:lang w:val="en-US"/>
        </w:rPr>
      </w:pPr>
    </w:p>
    <w:p w14:paraId="547EF8D6" w14:textId="7E158899" w:rsidR="006A537A" w:rsidRDefault="00DE3349" w:rsidP="006E178B">
      <w:pPr>
        <w:pStyle w:val="Bibliography"/>
        <w:jc w:val="center"/>
        <w:rPr>
          <w:b/>
          <w:bCs/>
          <w:lang w:val="en-US"/>
        </w:rPr>
      </w:pPr>
      <w:r w:rsidRPr="007553A0">
        <w:rPr>
          <w:b/>
          <w:bCs/>
          <w:lang w:val="en-US"/>
        </w:rPr>
        <w:t>Supplementa</w:t>
      </w:r>
      <w:r w:rsidR="00C71624">
        <w:rPr>
          <w:b/>
          <w:bCs/>
          <w:lang w:val="en-US"/>
        </w:rPr>
        <w:t>ry</w:t>
      </w:r>
      <w:r w:rsidRPr="007553A0">
        <w:rPr>
          <w:b/>
          <w:bCs/>
          <w:lang w:val="en-US"/>
        </w:rPr>
        <w:t xml:space="preserve"> Mater</w:t>
      </w:r>
      <w:r w:rsidR="00A051D2" w:rsidRPr="007553A0">
        <w:rPr>
          <w:b/>
          <w:bCs/>
          <w:lang w:val="en-US"/>
        </w:rPr>
        <w:t>ial</w:t>
      </w:r>
    </w:p>
    <w:p w14:paraId="7D45168E" w14:textId="77777777" w:rsidR="006A537A" w:rsidRDefault="006A537A" w:rsidP="006E178B">
      <w:pPr>
        <w:pStyle w:val="Bibliography"/>
        <w:jc w:val="center"/>
        <w:rPr>
          <w:b/>
          <w:bCs/>
          <w:lang w:val="en-US"/>
        </w:rPr>
      </w:pPr>
    </w:p>
    <w:p w14:paraId="438A6184" w14:textId="1EBAE426" w:rsidR="00B14F99" w:rsidRPr="0096416C" w:rsidRDefault="00B14F99">
      <w:pPr>
        <w:rPr>
          <w:b/>
          <w:bCs/>
          <w:lang w:val="en-US"/>
        </w:rPr>
      </w:pPr>
      <w:r>
        <w:rPr>
          <w:b/>
          <w:bCs/>
        </w:rPr>
        <w:br w:type="page"/>
      </w:r>
    </w:p>
    <w:p w14:paraId="0D441A91" w14:textId="06E7331C" w:rsidR="00B14F99" w:rsidRDefault="00C05F98" w:rsidP="00C639D3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Appendix </w:t>
      </w:r>
      <w:r w:rsidR="0096416C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B14F99" w:rsidRPr="00B14F99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Legends</w:t>
      </w:r>
      <w:r w:rsidR="00C639D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&amp; Tables</w:t>
      </w:r>
    </w:p>
    <w:p w14:paraId="765E9A07" w14:textId="6CAA0F6D" w:rsidR="00C639D3" w:rsidRPr="00C639D3" w:rsidRDefault="00C639D3" w:rsidP="00C639D3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39D3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Legends</w:t>
      </w:r>
    </w:p>
    <w:p w14:paraId="2F6EB9D7" w14:textId="0A07F41A" w:rsidR="00A051D2" w:rsidRDefault="00A051D2" w:rsidP="00C639D3">
      <w:pPr>
        <w:spacing w:line="480" w:lineRule="auto"/>
        <w:rPr>
          <w:b/>
        </w:rPr>
      </w:pPr>
      <w:r>
        <w:rPr>
          <w:b/>
          <w:bCs/>
        </w:rPr>
        <w:t xml:space="preserve">Table </w:t>
      </w:r>
      <w:r w:rsidR="0096416C">
        <w:rPr>
          <w:b/>
          <w:bCs/>
        </w:rPr>
        <w:t>A</w:t>
      </w:r>
      <w:r w:rsidR="00C639D3">
        <w:rPr>
          <w:b/>
          <w:bCs/>
        </w:rPr>
        <w:t>.</w:t>
      </w:r>
      <w:r>
        <w:rPr>
          <w:b/>
          <w:bCs/>
        </w:rPr>
        <w:t xml:space="preserve">1. </w:t>
      </w:r>
      <w:r w:rsidRPr="006B76AB">
        <w:rPr>
          <w:b/>
        </w:rPr>
        <w:t xml:space="preserve">Patient data stratified by </w:t>
      </w:r>
      <w:r>
        <w:rPr>
          <w:b/>
        </w:rPr>
        <w:t>ARDS development and by mortality</w:t>
      </w:r>
      <w:r w:rsidRPr="00213D84">
        <w:rPr>
          <w:b/>
        </w:rPr>
        <w:t xml:space="preserve"> </w:t>
      </w:r>
    </w:p>
    <w:p w14:paraId="45DC46DF" w14:textId="2B46ABF7" w:rsidR="00A051D2" w:rsidRDefault="00A051D2" w:rsidP="00C639D3">
      <w:pPr>
        <w:spacing w:line="480" w:lineRule="auto"/>
        <w:rPr>
          <w:bCs/>
        </w:rPr>
      </w:pPr>
      <w:r w:rsidRPr="008E7DA9">
        <w:rPr>
          <w:bCs/>
        </w:rPr>
        <w:t xml:space="preserve">Demographics, baseline characteristics and clinical characteristics of patients infected with severe COVID-19 who received </w:t>
      </w:r>
      <w:r>
        <w:rPr>
          <w:bCs/>
        </w:rPr>
        <w:t>corticosteroids during hospitalization</w:t>
      </w:r>
      <w:r w:rsidRPr="008E7DA9">
        <w:rPr>
          <w:bCs/>
        </w:rPr>
        <w:t>.</w:t>
      </w:r>
      <w:r>
        <w:rPr>
          <w:bCs/>
        </w:rPr>
        <w:t xml:space="preserve"> Data stratified by ARDS and by mortality are shown</w:t>
      </w:r>
      <w:r w:rsidRPr="008E7DA9">
        <w:rPr>
          <w:bCs/>
        </w:rPr>
        <w:t>.</w:t>
      </w:r>
      <w:r>
        <w:rPr>
          <w:bCs/>
        </w:rPr>
        <w:t xml:space="preserve"> </w:t>
      </w:r>
      <w:r w:rsidR="00F35167">
        <w:rPr>
          <w:bCs/>
        </w:rPr>
        <w:t>This</w:t>
      </w:r>
      <w:r>
        <w:rPr>
          <w:bCs/>
        </w:rPr>
        <w:t xml:space="preserve"> </w:t>
      </w:r>
      <w:r w:rsidR="00F35167">
        <w:rPr>
          <w:bCs/>
        </w:rPr>
        <w:t>table displays</w:t>
      </w:r>
      <w:r>
        <w:rPr>
          <w:bCs/>
        </w:rPr>
        <w:t xml:space="preserve"> the full list of variables considered in this study.</w:t>
      </w:r>
      <w:r w:rsidRPr="008E7DA9">
        <w:rPr>
          <w:bCs/>
        </w:rPr>
        <w:t xml:space="preserve"> </w:t>
      </w:r>
      <w:r>
        <w:rPr>
          <w:bCs/>
        </w:rPr>
        <w:t xml:space="preserve">Abbreviations used: </w:t>
      </w:r>
      <w:r w:rsidR="00905EC5">
        <w:rPr>
          <w:bCs/>
        </w:rPr>
        <w:t xml:space="preserve">ACE = Angiotensin-converting enzyme, </w:t>
      </w:r>
      <w:r w:rsidR="004B77EE">
        <w:rPr>
          <w:bCs/>
        </w:rPr>
        <w:t xml:space="preserve">AF = Atrial fibrillation, </w:t>
      </w:r>
      <w:r>
        <w:rPr>
          <w:bCs/>
        </w:rPr>
        <w:t>AKI = acute kidney injury,</w:t>
      </w:r>
      <w:r w:rsidR="004B77EE">
        <w:rPr>
          <w:bCs/>
        </w:rPr>
        <w:t xml:space="preserve"> ALT = Alanine transaminase,</w:t>
      </w:r>
      <w:r>
        <w:rPr>
          <w:bCs/>
        </w:rPr>
        <w:t xml:space="preserve"> </w:t>
      </w:r>
      <w:r w:rsidR="004B77EE">
        <w:rPr>
          <w:bCs/>
        </w:rPr>
        <w:t xml:space="preserve">BP = Blood pressure, </w:t>
      </w:r>
      <w:r>
        <w:rPr>
          <w:bCs/>
        </w:rPr>
        <w:t xml:space="preserve">CKD = Chronic kidney disease, </w:t>
      </w:r>
      <w:r w:rsidR="004B77EE">
        <w:rPr>
          <w:bCs/>
        </w:rPr>
        <w:t xml:space="preserve">COP = Cryptogenic organizing pneumonia, </w:t>
      </w:r>
      <w:r>
        <w:rPr>
          <w:bCs/>
        </w:rPr>
        <w:t xml:space="preserve">COPD = Chronic obstructive pulmonary disease, CAD = Coronary artery disease, </w:t>
      </w:r>
      <w:r w:rsidR="004B77EE">
        <w:rPr>
          <w:bCs/>
        </w:rPr>
        <w:t xml:space="preserve">DVT = Deep vein thrombosis, DIC = Disseminated intravascular coagulation, GI = Gastrointestinal, HIV = Human immunodeficiency virus, </w:t>
      </w:r>
      <w:r>
        <w:rPr>
          <w:bCs/>
        </w:rPr>
        <w:t>ICU = Intensive care unit, IMV = Invasive mechanical ventilation,</w:t>
      </w:r>
      <w:r w:rsidR="005236C6">
        <w:rPr>
          <w:bCs/>
        </w:rPr>
        <w:t xml:space="preserve"> IVIG = Intravenous immunoglobulin,</w:t>
      </w:r>
      <w:r>
        <w:rPr>
          <w:bCs/>
        </w:rPr>
        <w:t xml:space="preserve"> </w:t>
      </w:r>
      <w:r w:rsidR="004B77EE">
        <w:rPr>
          <w:bCs/>
        </w:rPr>
        <w:t xml:space="preserve">LVF = Left ventricular failure, </w:t>
      </w:r>
      <w:r>
        <w:rPr>
          <w:bCs/>
        </w:rPr>
        <w:t xml:space="preserve">MI = Myocardial infarction, </w:t>
      </w:r>
      <w:r w:rsidR="005236C6">
        <w:rPr>
          <w:bCs/>
        </w:rPr>
        <w:t xml:space="preserve">NSTEMI = Non-ST segment elevation myocardial infarction, </w:t>
      </w:r>
      <w:r>
        <w:rPr>
          <w:bCs/>
        </w:rPr>
        <w:t>PE = Pulmonary embolism,</w:t>
      </w:r>
      <w:r w:rsidR="004B77EE">
        <w:rPr>
          <w:bCs/>
        </w:rPr>
        <w:t xml:space="preserve"> PH = Pulmonary hypertension,</w:t>
      </w:r>
      <w:r>
        <w:rPr>
          <w:bCs/>
        </w:rPr>
        <w:t xml:space="preserve"> SD = Standard deviation,</w:t>
      </w:r>
      <w:r w:rsidR="005236C6">
        <w:rPr>
          <w:bCs/>
        </w:rPr>
        <w:t xml:space="preserve"> STEMI = ST segment elevation myocardial infarction,</w:t>
      </w:r>
      <w:r w:rsidR="004B77EE">
        <w:rPr>
          <w:bCs/>
        </w:rPr>
        <w:t xml:space="preserve"> TIA = Transient ischemic attack,</w:t>
      </w:r>
      <w:r>
        <w:rPr>
          <w:bCs/>
        </w:rPr>
        <w:t xml:space="preserve"> VT = ventricular tachycardia</w:t>
      </w:r>
      <w:r w:rsidR="004B77EE">
        <w:rPr>
          <w:bCs/>
        </w:rPr>
        <w:t>, WBC = White blood cell</w:t>
      </w:r>
      <w:r>
        <w:rPr>
          <w:bCs/>
        </w:rPr>
        <w:t>.</w:t>
      </w:r>
    </w:p>
    <w:p w14:paraId="696D16F2" w14:textId="77777777" w:rsidR="00A051D2" w:rsidRDefault="00A051D2" w:rsidP="00A051D2">
      <w:pPr>
        <w:spacing w:line="480" w:lineRule="auto"/>
        <w:rPr>
          <w:bCs/>
        </w:rPr>
      </w:pPr>
    </w:p>
    <w:p w14:paraId="5FB1A5E0" w14:textId="46DFBDD5" w:rsidR="0077496D" w:rsidRDefault="00C639D3" w:rsidP="00A051D2">
      <w:pPr>
        <w:spacing w:line="480" w:lineRule="auto"/>
        <w:rPr>
          <w:bCs/>
        </w:rPr>
      </w:pPr>
      <w:r>
        <w:rPr>
          <w:b/>
        </w:rPr>
        <w:t>Table</w:t>
      </w:r>
      <w:r w:rsidR="00A051D2" w:rsidRPr="006B76AB">
        <w:rPr>
          <w:b/>
        </w:rPr>
        <w:t xml:space="preserve"> </w:t>
      </w:r>
      <w:r w:rsidR="0096416C">
        <w:rPr>
          <w:b/>
        </w:rPr>
        <w:t>A</w:t>
      </w:r>
      <w:r>
        <w:rPr>
          <w:b/>
        </w:rPr>
        <w:t>.</w:t>
      </w:r>
      <w:r w:rsidR="00A051D2">
        <w:rPr>
          <w:b/>
        </w:rPr>
        <w:t>2.</w:t>
      </w:r>
      <w:r w:rsidR="00A051D2" w:rsidRPr="006B76AB">
        <w:rPr>
          <w:b/>
        </w:rPr>
        <w:t xml:space="preserve"> Patient data stratified by ARDS development</w:t>
      </w:r>
      <w:r w:rsidR="00A051D2">
        <w:rPr>
          <w:b/>
        </w:rPr>
        <w:t xml:space="preserve"> then by progression to death</w:t>
      </w:r>
      <w:r w:rsidR="00A051D2" w:rsidRPr="006B76AB">
        <w:rPr>
          <w:b/>
        </w:rPr>
        <w:br/>
      </w:r>
      <w:r w:rsidR="00A051D2" w:rsidRPr="007E7924">
        <w:rPr>
          <w:bCs/>
        </w:rPr>
        <w:t xml:space="preserve">Demographics, baseline characteristics and clinical characteristics of patients infected with severe COVID-19 who received </w:t>
      </w:r>
      <w:r w:rsidR="00A051D2">
        <w:rPr>
          <w:bCs/>
        </w:rPr>
        <w:t>corticosteroids during hospitalization</w:t>
      </w:r>
      <w:r w:rsidR="00A051D2" w:rsidRPr="007E7924">
        <w:rPr>
          <w:bCs/>
        </w:rPr>
        <w:t>. Data are stratified by those who developed ARDS and those who did not then further stratified by patients who survived and those who did not.</w:t>
      </w:r>
      <w:r w:rsidR="00A051D2">
        <w:rPr>
          <w:bCs/>
        </w:rPr>
        <w:t xml:space="preserve"> </w:t>
      </w:r>
      <w:r w:rsidR="00F35167">
        <w:rPr>
          <w:bCs/>
        </w:rPr>
        <w:t>This table displays</w:t>
      </w:r>
      <w:r w:rsidR="00A051D2">
        <w:rPr>
          <w:bCs/>
        </w:rPr>
        <w:t xml:space="preserve"> the full list of variables considered in this study.</w:t>
      </w:r>
      <w:r w:rsidR="00A051D2" w:rsidRPr="008E7DA9">
        <w:rPr>
          <w:bCs/>
        </w:rPr>
        <w:t xml:space="preserve"> </w:t>
      </w:r>
      <w:r w:rsidR="00A051D2">
        <w:rPr>
          <w:bCs/>
        </w:rPr>
        <w:t xml:space="preserve"> Abbreviations used: </w:t>
      </w:r>
      <w:r w:rsidR="00AB0655">
        <w:rPr>
          <w:bCs/>
        </w:rPr>
        <w:t xml:space="preserve">ACE = Angiotensin-converting enzyme, AF = Atrial fibrillation, </w:t>
      </w:r>
      <w:r w:rsidR="00AB0655">
        <w:rPr>
          <w:bCs/>
        </w:rPr>
        <w:lastRenderedPageBreak/>
        <w:t>AKI = acute kidney injury, ALT = Alanine transaminase, BP = Blood pressure, CKD = Chronic kidney disease, COP = Cryptogenic organizing pneumonia, COPD = Chronic obstructive pulmonary disease, CAD = Coronary artery disease, DVT = Deep vein thrombosis, DIC = Disseminated intravascular coagulation, GI = Gastrointestinal, HIV = Human immunodeficiency virus, ICU = Intensive care unit, IMV = Invasive mechanical ventilation, IVIG = Intravenous immunoglobulin, LVF = Left ventricular failure, MI = Myocardial infarction, NSTEMI = Non-ST segment elevation myocardial infarction, PE = Pulmonary embolism, PH = Pulmonary hypertension, SD = Standard deviation, STEMI = ST segment elevation myocardial infarction, TIA = Transient ischemic attack, VT = ventricular tachycardia, WBC = White blood cell.</w:t>
      </w:r>
    </w:p>
    <w:p w14:paraId="1A036E9D" w14:textId="77777777" w:rsidR="00AB0655" w:rsidRDefault="00AB0655" w:rsidP="00A051D2">
      <w:pPr>
        <w:spacing w:line="480" w:lineRule="auto"/>
        <w:rPr>
          <w:bCs/>
        </w:rPr>
      </w:pPr>
    </w:p>
    <w:p w14:paraId="2C1AD782" w14:textId="60EF32E2" w:rsidR="0077496D" w:rsidRDefault="0077496D" w:rsidP="00A051D2">
      <w:pPr>
        <w:spacing w:line="480" w:lineRule="auto"/>
        <w:rPr>
          <w:b/>
        </w:rPr>
      </w:pPr>
      <w:r>
        <w:rPr>
          <w:b/>
        </w:rPr>
        <w:t xml:space="preserve">Table </w:t>
      </w:r>
      <w:r w:rsidR="0096416C">
        <w:rPr>
          <w:b/>
        </w:rPr>
        <w:t>A</w:t>
      </w:r>
      <w:r w:rsidR="00C639D3">
        <w:rPr>
          <w:b/>
        </w:rPr>
        <w:t>.</w:t>
      </w:r>
      <w:r>
        <w:rPr>
          <w:b/>
        </w:rPr>
        <w:t>3. Risk factors for ARDS development</w:t>
      </w:r>
    </w:p>
    <w:p w14:paraId="582FDD12" w14:textId="3F86DAE2" w:rsidR="0077496D" w:rsidRDefault="006D6291" w:rsidP="00A051D2">
      <w:pPr>
        <w:spacing w:line="480" w:lineRule="auto"/>
        <w:rPr>
          <w:bCs/>
        </w:rPr>
      </w:pPr>
      <w:r>
        <w:rPr>
          <w:bCs/>
        </w:rPr>
        <w:t xml:space="preserve">Results of the logistic regression model to predict ARDS development are shown. </w:t>
      </w:r>
      <w:r w:rsidR="008E51CA">
        <w:rPr>
          <w:bCs/>
        </w:rPr>
        <w:t xml:space="preserve">The model is based on information that would be available to a healthcare provider upon hospital admission. </w:t>
      </w:r>
      <w:r>
        <w:rPr>
          <w:bCs/>
        </w:rPr>
        <w:t xml:space="preserve">Odds ratios are </w:t>
      </w:r>
      <w:r w:rsidR="008E51CA">
        <w:rPr>
          <w:bCs/>
        </w:rPr>
        <w:t>calculated</w:t>
      </w:r>
      <w:r>
        <w:rPr>
          <w:bCs/>
        </w:rPr>
        <w:t xml:space="preserve"> from </w:t>
      </w:r>
      <w:r w:rsidR="008E51CA">
        <w:rPr>
          <w:bCs/>
        </w:rPr>
        <w:t>model coefficients. The Wald test is used to compute associated P-values</w:t>
      </w:r>
      <w:r w:rsidR="007617A0">
        <w:rPr>
          <w:bCs/>
        </w:rPr>
        <w:t xml:space="preserve"> and values below 0.05 were considered significant</w:t>
      </w:r>
      <w:r w:rsidR="00FA00F9">
        <w:rPr>
          <w:bCs/>
        </w:rPr>
        <w:t xml:space="preserve"> (Significance: P-value &lt; 0.05 = *, P-value &lt; 0.01 = **, P-value &lt; 0.001 = ***)</w:t>
      </w:r>
      <w:r w:rsidR="008E51CA">
        <w:rPr>
          <w:bCs/>
        </w:rPr>
        <w:t>. Abbreviations</w:t>
      </w:r>
      <w:r w:rsidR="0059374C">
        <w:rPr>
          <w:bCs/>
        </w:rPr>
        <w:t xml:space="preserve"> used</w:t>
      </w:r>
      <w:r w:rsidR="008E51CA">
        <w:rPr>
          <w:bCs/>
        </w:rPr>
        <w:t>:</w:t>
      </w:r>
      <w:r w:rsidR="0059374C">
        <w:rPr>
          <w:bCs/>
        </w:rPr>
        <w:t xml:space="preserve"> CKD = Chronic kidney disease, COPD = Chronic obstructive pulmonary disease, CAD = Coronary artery disease, MI = Myocardial infarction,</w:t>
      </w:r>
      <w:r w:rsidR="000D6849">
        <w:rPr>
          <w:bCs/>
        </w:rPr>
        <w:t xml:space="preserve"> WBC = White Blood Cell</w:t>
      </w:r>
      <w:r w:rsidR="0059374C">
        <w:rPr>
          <w:bCs/>
        </w:rPr>
        <w:t>.</w:t>
      </w:r>
      <w:r w:rsidR="008E51CA">
        <w:rPr>
          <w:bCs/>
        </w:rPr>
        <w:t xml:space="preserve"> </w:t>
      </w:r>
    </w:p>
    <w:p w14:paraId="6BEACF25" w14:textId="77777777" w:rsidR="007617A0" w:rsidRDefault="007617A0" w:rsidP="00A051D2">
      <w:pPr>
        <w:spacing w:line="480" w:lineRule="auto"/>
        <w:rPr>
          <w:bCs/>
        </w:rPr>
      </w:pPr>
    </w:p>
    <w:p w14:paraId="259C7AA8" w14:textId="4D145B90" w:rsidR="008E51CA" w:rsidRDefault="0077496D" w:rsidP="008E51CA">
      <w:pPr>
        <w:spacing w:line="480" w:lineRule="auto"/>
        <w:rPr>
          <w:b/>
        </w:rPr>
      </w:pPr>
      <w:r>
        <w:rPr>
          <w:b/>
        </w:rPr>
        <w:t xml:space="preserve">Table </w:t>
      </w:r>
      <w:r w:rsidR="0096416C">
        <w:rPr>
          <w:b/>
        </w:rPr>
        <w:t>A</w:t>
      </w:r>
      <w:r w:rsidR="00C639D3">
        <w:rPr>
          <w:b/>
        </w:rPr>
        <w:t>.</w:t>
      </w:r>
      <w:r>
        <w:rPr>
          <w:b/>
        </w:rPr>
        <w:t>4. Risk factors for mortality</w:t>
      </w:r>
    </w:p>
    <w:p w14:paraId="7ECC691A" w14:textId="735412E0" w:rsidR="007617A0" w:rsidRPr="007617A0" w:rsidRDefault="007617A0" w:rsidP="008E51CA">
      <w:pPr>
        <w:spacing w:line="480" w:lineRule="auto"/>
        <w:rPr>
          <w:bCs/>
        </w:rPr>
      </w:pPr>
      <w:r>
        <w:rPr>
          <w:bCs/>
        </w:rPr>
        <w:t xml:space="preserve">Results of the logistic regression model to predict mortality are shown. The model is based on information that would be available to a healthcare provider upon hospital admission as well as the binary variable of ARDS development. Odds ratios are calculated from model coefficients. </w:t>
      </w:r>
      <w:r>
        <w:rPr>
          <w:bCs/>
        </w:rPr>
        <w:lastRenderedPageBreak/>
        <w:t>The Wald test is used to compute associated P-values and values below 0.05 were considered significant</w:t>
      </w:r>
      <w:r w:rsidR="00FA00F9">
        <w:rPr>
          <w:bCs/>
        </w:rPr>
        <w:t xml:space="preserve"> (Significance: P-value &lt; 0.05 = *, P-value &lt; 0.01 = **, P-value &lt; 0.001 = ***)</w:t>
      </w:r>
      <w:r>
        <w:rPr>
          <w:bCs/>
        </w:rPr>
        <w:t xml:space="preserve">. Abbreviations used: CKD = Chronic kidney disease, COPD = Chronic obstructive pulmonary disease, CAD = Coronary artery disease, MI = Myocardial infarction, </w:t>
      </w:r>
      <w:r w:rsidR="00CF3E0F">
        <w:rPr>
          <w:bCs/>
        </w:rPr>
        <w:t>WBC = White Blood Cell</w:t>
      </w:r>
      <w:r>
        <w:rPr>
          <w:bCs/>
        </w:rPr>
        <w:t>.</w:t>
      </w:r>
    </w:p>
    <w:p w14:paraId="110F37FC" w14:textId="4916693E" w:rsidR="00C31AE0" w:rsidRPr="00C639D3" w:rsidRDefault="00FB6AFD" w:rsidP="00C639D3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C639D3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Tables</w:t>
      </w:r>
      <w:r w:rsidR="00C31AE0" w:rsidRPr="00C639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4C650D5" w14:textId="7AAD3F38" w:rsidR="00C31AE0" w:rsidRDefault="00C31AE0" w:rsidP="00C31AE0">
      <w:pPr>
        <w:rPr>
          <w:b/>
        </w:rPr>
      </w:pPr>
      <w:r>
        <w:rPr>
          <w:b/>
        </w:rPr>
        <w:lastRenderedPageBreak/>
        <w:t xml:space="preserve">Table </w:t>
      </w:r>
      <w:r w:rsidR="00EA2C17">
        <w:rPr>
          <w:b/>
        </w:rPr>
        <w:t>A</w:t>
      </w:r>
      <w:r w:rsidR="00C639D3">
        <w:rPr>
          <w:b/>
        </w:rPr>
        <w:t>.</w:t>
      </w:r>
      <w:r>
        <w:rPr>
          <w:b/>
        </w:rPr>
        <w:t>1.</w:t>
      </w:r>
      <w:r w:rsidR="007553A0">
        <w:rPr>
          <w:b/>
        </w:rPr>
        <w:t xml:space="preserve"> </w:t>
      </w:r>
      <w:r w:rsidR="007553A0" w:rsidRPr="006B76AB">
        <w:rPr>
          <w:b/>
        </w:rPr>
        <w:t xml:space="preserve">Patient data stratified by </w:t>
      </w:r>
      <w:r w:rsidR="007553A0">
        <w:rPr>
          <w:b/>
        </w:rPr>
        <w:t>ARDS development and by mortality</w:t>
      </w:r>
    </w:p>
    <w:p w14:paraId="2FEFDEFA" w14:textId="77777777" w:rsidR="007553A0" w:rsidRDefault="007553A0" w:rsidP="00C31AE0">
      <w:pPr>
        <w:rPr>
          <w:b/>
        </w:rPr>
      </w:pPr>
    </w:p>
    <w:tbl>
      <w:tblPr>
        <w:tblW w:w="10135" w:type="dxa"/>
        <w:tblLook w:val="04A0" w:firstRow="1" w:lastRow="0" w:firstColumn="1" w:lastColumn="0" w:noHBand="0" w:noVBand="1"/>
      </w:tblPr>
      <w:tblGrid>
        <w:gridCol w:w="1905"/>
        <w:gridCol w:w="1240"/>
        <w:gridCol w:w="1335"/>
        <w:gridCol w:w="1335"/>
        <w:gridCol w:w="879"/>
        <w:gridCol w:w="1336"/>
        <w:gridCol w:w="1336"/>
        <w:gridCol w:w="769"/>
      </w:tblGrid>
      <w:tr w:rsidR="00C04223" w:rsidRPr="00C04223" w14:paraId="44809633" w14:textId="77777777" w:rsidTr="002A2E0A">
        <w:trPr>
          <w:trHeight w:val="320"/>
        </w:trPr>
        <w:tc>
          <w:tcPr>
            <w:tcW w:w="190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9A5C2" w14:textId="77777777" w:rsidR="00C04223" w:rsidRPr="00C04223" w:rsidRDefault="00C04223" w:rsidP="00C04223"/>
        </w:tc>
        <w:tc>
          <w:tcPr>
            <w:tcW w:w="12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8E33D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54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53E2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 xml:space="preserve">ARDS </w:t>
            </w:r>
          </w:p>
        </w:tc>
        <w:tc>
          <w:tcPr>
            <w:tcW w:w="344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8CBD6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Death</w:t>
            </w:r>
          </w:p>
        </w:tc>
      </w:tr>
      <w:tr w:rsidR="00C04223" w:rsidRPr="00C04223" w14:paraId="5DD7D61E" w14:textId="77777777" w:rsidTr="002A2E0A">
        <w:trPr>
          <w:trHeight w:val="320"/>
        </w:trPr>
        <w:tc>
          <w:tcPr>
            <w:tcW w:w="1905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0F0AFB" w14:textId="77777777" w:rsidR="00C04223" w:rsidRPr="00C04223" w:rsidRDefault="00C04223" w:rsidP="00C042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FA9B" w14:textId="77777777" w:rsidR="00C04223" w:rsidRPr="00C04223" w:rsidRDefault="00C04223" w:rsidP="00C042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C15C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35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B0F9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79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3665" w14:textId="77777777" w:rsidR="00C04223" w:rsidRPr="00C04223" w:rsidRDefault="00C04223" w:rsidP="00C0422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4223">
              <w:rPr>
                <w:i/>
                <w:iCs/>
                <w:color w:val="000000"/>
                <w:sz w:val="20"/>
                <w:szCs w:val="20"/>
              </w:rPr>
              <w:t>Adj.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96C8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6B8C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769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9B20" w14:textId="77777777" w:rsidR="00C04223" w:rsidRPr="00C04223" w:rsidRDefault="00C04223" w:rsidP="00C0422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4223">
              <w:rPr>
                <w:i/>
                <w:iCs/>
                <w:color w:val="000000"/>
                <w:sz w:val="20"/>
                <w:szCs w:val="20"/>
              </w:rPr>
              <w:t>Adj.</w:t>
            </w:r>
          </w:p>
        </w:tc>
      </w:tr>
      <w:tr w:rsidR="00C04223" w:rsidRPr="00C04223" w14:paraId="5859DE3D" w14:textId="77777777" w:rsidTr="002A2E0A">
        <w:trPr>
          <w:trHeight w:val="340"/>
        </w:trPr>
        <w:tc>
          <w:tcPr>
            <w:tcW w:w="190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E1F48" w14:textId="77777777" w:rsidR="00C04223" w:rsidRPr="00C04223" w:rsidRDefault="00C04223" w:rsidP="00C042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2D397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 = 317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17CE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 = 138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A0C69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 = 179</w:t>
            </w:r>
          </w:p>
        </w:tc>
        <w:tc>
          <w:tcPr>
            <w:tcW w:w="8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F04E" w14:textId="77777777" w:rsidR="002A2E0A" w:rsidRPr="002A2E0A" w:rsidRDefault="00C04223" w:rsidP="00C0422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4223">
              <w:rPr>
                <w:i/>
                <w:iCs/>
                <w:color w:val="000000"/>
                <w:sz w:val="20"/>
                <w:szCs w:val="20"/>
              </w:rPr>
              <w:t>P-</w:t>
            </w:r>
          </w:p>
          <w:p w14:paraId="2BEAD211" w14:textId="35B9A4F5" w:rsidR="00C04223" w:rsidRPr="00C04223" w:rsidRDefault="00C04223" w:rsidP="00C0422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4223">
              <w:rPr>
                <w:i/>
                <w:iCs/>
                <w:color w:val="000000"/>
                <w:sz w:val="20"/>
                <w:szCs w:val="20"/>
              </w:rPr>
              <w:t>value</w:t>
            </w:r>
            <w:r w:rsidR="00194EB7" w:rsidRPr="006A537A">
              <w:rPr>
                <w:rStyle w:val="FootnoteReference"/>
              </w:rPr>
              <w:footnoteReference w:id="1"/>
            </w:r>
          </w:p>
        </w:tc>
        <w:tc>
          <w:tcPr>
            <w:tcW w:w="13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994F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 = 90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B6250" w14:textId="77777777" w:rsidR="00C04223" w:rsidRPr="00C04223" w:rsidRDefault="00C04223" w:rsidP="00C04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n = 227</w:t>
            </w:r>
          </w:p>
        </w:tc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75F26" w14:textId="6456DBF0" w:rsidR="00C04223" w:rsidRPr="00C04223" w:rsidRDefault="00C04223" w:rsidP="00C04223">
            <w:pPr>
              <w:jc w:val="center"/>
              <w:rPr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C04223">
              <w:rPr>
                <w:i/>
                <w:iCs/>
                <w:color w:val="000000"/>
                <w:sz w:val="20"/>
                <w:szCs w:val="20"/>
              </w:rPr>
              <w:t>P-</w:t>
            </w:r>
            <w:proofErr w:type="spellStart"/>
            <w:r w:rsidRPr="00C04223">
              <w:rPr>
                <w:i/>
                <w:iCs/>
                <w:color w:val="000000"/>
                <w:sz w:val="20"/>
                <w:szCs w:val="20"/>
              </w:rPr>
              <w:t>value</w:t>
            </w:r>
            <w:r w:rsidR="0060052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04223" w:rsidRPr="00C04223" w14:paraId="39C9EFB1" w14:textId="77777777" w:rsidTr="002A2E0A">
        <w:trPr>
          <w:trHeight w:val="340"/>
        </w:trPr>
        <w:tc>
          <w:tcPr>
            <w:tcW w:w="44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B529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Patient characteristics (n (%))</w:t>
            </w:r>
          </w:p>
        </w:tc>
        <w:tc>
          <w:tcPr>
            <w:tcW w:w="13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A80F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9D5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E08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DA32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A294" w14:textId="77777777" w:rsidR="00C04223" w:rsidRPr="00C04223" w:rsidRDefault="00C04223" w:rsidP="00C0422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04223" w:rsidRPr="00C04223" w14:paraId="21145D09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D30B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Age, mean years (SD)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1E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63.6 (16.0)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BA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63.4 (15.4)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54D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63.8 (16.4)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F4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606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73.2 (12.7)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1B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59.8 (15.5)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5EB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0.0005</w:t>
            </w:r>
          </w:p>
        </w:tc>
      </w:tr>
      <w:tr w:rsidR="00C04223" w:rsidRPr="00C04223" w14:paraId="6A0A206F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1F1EC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Sex, number of males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16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222 (70.0)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E9B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99 (71.7)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6CA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123 (68.7)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DB3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C9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63 (70.0)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22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159 (70.0)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98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0.9938</w:t>
            </w:r>
          </w:p>
        </w:tc>
      </w:tr>
      <w:tr w:rsidR="00C04223" w:rsidRPr="00C04223" w14:paraId="04EF0609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B2DD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Patients who do not smoke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AA6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141 (63.5)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4A0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61 (60.4)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885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80 (66.1)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9DF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F7B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(59.3)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5D0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113 (65.3)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B41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0.4599</w:t>
            </w:r>
          </w:p>
        </w:tc>
      </w:tr>
      <w:tr w:rsidR="00C04223" w:rsidRPr="00C04223" w14:paraId="26930161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7458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Patients who smoke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06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(5.0)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401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(5.0)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B68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(5.0)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2C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3E5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(3.7)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0B2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(5.2)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351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0.4599</w:t>
            </w:r>
          </w:p>
        </w:tc>
      </w:tr>
      <w:tr w:rsidR="00C04223" w:rsidRPr="00C04223" w14:paraId="70E26CC5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8BA3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Patient who previously smoked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5B0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66 (29.7)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DD1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34 (33.7)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2C2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(26.4)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C3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4D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(37.0)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E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47 (27.2)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B0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0.4599</w:t>
            </w:r>
          </w:p>
        </w:tc>
      </w:tr>
      <w:tr w:rsidR="00C04223" w:rsidRPr="00C04223" w14:paraId="0FA006E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3C85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0C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(2.6)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869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F6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3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26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3D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(3.6)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14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0.3517</w:t>
            </w:r>
          </w:p>
        </w:tc>
      </w:tr>
      <w:tr w:rsidR="00C04223" w:rsidRPr="00C04223" w14:paraId="31AA3502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4C9C5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Healthcare worker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50D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(3.6)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D3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351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(4.7)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ACB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8C4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12B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(5.3)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6E1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0.0033</w:t>
            </w:r>
          </w:p>
        </w:tc>
      </w:tr>
      <w:tr w:rsidR="00C04223" w:rsidRPr="00C04223" w14:paraId="26C8E9BB" w14:textId="77777777" w:rsidTr="0096635E">
        <w:trPr>
          <w:trHeight w:val="32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6098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Outcomes (n (%))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A361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2E3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694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5D6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3D0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0EE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581F9021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B7AA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Death / ARDS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631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231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56 (40.6)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381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34 (19.0)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CB8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FF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56 (62.2)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AC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82 (36.1)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DAE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0.0012</w:t>
            </w:r>
          </w:p>
        </w:tc>
      </w:tr>
      <w:tr w:rsidR="00C04223" w:rsidRPr="00C04223" w14:paraId="07873894" w14:textId="77777777" w:rsidTr="0096635E">
        <w:trPr>
          <w:trHeight w:val="32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3561" w14:textId="77777777" w:rsidR="00C04223" w:rsidRPr="00C04223" w:rsidRDefault="00C04223" w:rsidP="00C0422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At hospital admission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9997" w14:textId="77777777" w:rsidR="00C04223" w:rsidRPr="00C04223" w:rsidRDefault="00C04223" w:rsidP="00C0422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70B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3BE2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39B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875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F49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15C7AE1A" w14:textId="77777777" w:rsidTr="0096635E">
        <w:trPr>
          <w:trHeight w:val="32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DCF" w14:textId="5DEEE142" w:rsidR="00C04223" w:rsidRPr="00C04223" w:rsidRDefault="0096635E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Concomitant</w:t>
            </w:r>
            <w:r w:rsidR="00C04223" w:rsidRPr="00C04223">
              <w:rPr>
                <w:b/>
                <w:bCs/>
                <w:color w:val="000000"/>
                <w:sz w:val="20"/>
                <w:szCs w:val="20"/>
              </w:rPr>
              <w:t xml:space="preserve"> medications</w:t>
            </w:r>
            <w:r w:rsidR="00BB7835">
              <w:rPr>
                <w:b/>
                <w:bCs/>
                <w:color w:val="000000"/>
                <w:sz w:val="20"/>
                <w:szCs w:val="20"/>
              </w:rPr>
              <w:t xml:space="preserve"> (n (%))</w:t>
            </w:r>
            <w:r w:rsidR="00C04223" w:rsidRPr="00C0422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294F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7FE2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E62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4DD3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6CB2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DFBA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73156D58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ED285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ACE inhibitors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FF3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90 (28.8)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1AE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43 (31.4)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FF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47 (26.9)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931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0.7616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11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33 (36.7)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E4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57 (25.0)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0F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0.0750</w:t>
            </w:r>
          </w:p>
        </w:tc>
      </w:tr>
      <w:tr w:rsidR="00C04223" w:rsidRPr="00C04223" w14:paraId="6386A3D4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0AC1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Anticoagulants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20E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49 (15.8)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5EB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(12.5)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64A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(18.4)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4B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0.4749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D24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(22.5)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E6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(12.8)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C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0.0750</w:t>
            </w:r>
          </w:p>
        </w:tc>
      </w:tr>
      <w:tr w:rsidR="00C04223" w:rsidRPr="00C04223" w14:paraId="288A2437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7EF6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382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318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560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E45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0.7805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E3D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CF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42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5C90793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C26B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Insulin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71C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75 (27.2)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DE3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39 (32.0)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8E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36 (23.4)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5E0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0.4749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F8C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(37.2)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E53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47 (23.0)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A4D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0.0750</w:t>
            </w:r>
          </w:p>
        </w:tc>
      </w:tr>
      <w:tr w:rsidR="00C04223" w:rsidRPr="00C04223" w14:paraId="24E87880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819E3" w14:textId="00CAD715" w:rsidR="00C04223" w:rsidRPr="00C04223" w:rsidRDefault="0096635E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Immunosuppressants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58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(9.4)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052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(8.0)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93D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(10.5)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52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0.7805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90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(13.3)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36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(9.0)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AF7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0.3752</w:t>
            </w:r>
          </w:p>
        </w:tc>
      </w:tr>
      <w:tr w:rsidR="00C04223" w:rsidRPr="00C04223" w14:paraId="30E77626" w14:textId="77777777" w:rsidTr="0096635E">
        <w:trPr>
          <w:trHeight w:val="32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866B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Comorbidities (n (%))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6806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8E03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EF25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210E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DBEB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AB4C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63AACED2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C6D17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Total number (mean (SD))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AA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4.1 (3.0)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576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4.1 (3.0)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9D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4.0 (3.0)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A46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F47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5.4 (3.3)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F07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3.5 (2.7)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D56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0.0018</w:t>
            </w:r>
          </w:p>
        </w:tc>
      </w:tr>
      <w:tr w:rsidR="00C04223" w:rsidRPr="00C04223" w14:paraId="2B24D8CC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D388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CF5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40 (12.9)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01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(14.7)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68A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(11.6)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6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41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(10.2)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25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(14.1)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752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0.4210</w:t>
            </w:r>
          </w:p>
        </w:tc>
      </w:tr>
      <w:tr w:rsidR="00C04223" w:rsidRPr="00C04223" w14:paraId="1469C043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DC11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F1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 (9.7)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968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(8.9)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D91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(10.3)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FA8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E97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(14.4)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B3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(7.6)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C41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0.0898</w:t>
            </w:r>
          </w:p>
        </w:tc>
      </w:tr>
      <w:tr w:rsidR="00C04223" w:rsidRPr="00C04223" w14:paraId="567D879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1814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lastRenderedPageBreak/>
              <w:t>Cancer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C6A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42 (13.5)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A9F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62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27 (15.4)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D0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0.8590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F13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 (23.3)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A8C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 (9.2)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1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0.0063</w:t>
            </w:r>
          </w:p>
        </w:tc>
      </w:tr>
      <w:tr w:rsidR="00C04223" w:rsidRPr="00C04223" w14:paraId="15C58C6A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6999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Cardiac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46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41 (13.2)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92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(11.8)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B9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 (14.4)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2F5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EC9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(12.5)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8FF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 (13.2)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24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0.8760</w:t>
            </w:r>
          </w:p>
        </w:tc>
      </w:tr>
      <w:tr w:rsidR="00C04223" w:rsidRPr="00C04223" w14:paraId="2FB9E1F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87E9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CKD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8C7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46 (14.8)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5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 (15.4)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79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 (14.4)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76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739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 (27.8)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3C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 (10.2)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62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0.0018</w:t>
            </w:r>
          </w:p>
        </w:tc>
      </w:tr>
      <w:tr w:rsidR="00C04223" w:rsidRPr="00C04223" w14:paraId="4BA23419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DCC9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COPD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A83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E1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 (10.4)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130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 (12.0)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8C8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D05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(20.0)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57E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(7.6)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0F5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0.0063</w:t>
            </w:r>
          </w:p>
        </w:tc>
      </w:tr>
      <w:tr w:rsidR="00C04223" w:rsidRPr="00C04223" w14:paraId="41DD7454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57A3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01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48 (15.4)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FA1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 (16.1)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C4E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(14.9)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61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2E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 (25.6)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D59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 (11.0)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96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0.0063</w:t>
            </w:r>
          </w:p>
        </w:tc>
      </w:tr>
      <w:tr w:rsidR="00C04223" w:rsidRPr="00C04223" w14:paraId="7D88080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48A2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A5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(5.5)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F63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9DE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(7.5)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7FA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0.7434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FFD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(12.2)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B05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(2.6)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67B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0.0063</w:t>
            </w:r>
          </w:p>
        </w:tc>
      </w:tr>
      <w:tr w:rsidR="00C04223" w:rsidRPr="00C04223" w14:paraId="664EC80D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EC9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E95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113 (36.5)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E80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51 (37.5)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03F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62 (35.6)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40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139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40 (44.4)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CAA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74 (32.7)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C00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0.0883</w:t>
            </w:r>
          </w:p>
        </w:tc>
      </w:tr>
      <w:tr w:rsidR="00C04223" w:rsidRPr="00C04223" w14:paraId="7EEB689D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D9B4C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Dialysis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A71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(3.3)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3B7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(3.0)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DB1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(3.6)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C3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0D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(5.8)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518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(2.3)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A95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0.1952</w:t>
            </w:r>
          </w:p>
        </w:tc>
      </w:tr>
      <w:tr w:rsidR="00C04223" w:rsidRPr="00C04223" w14:paraId="54B033A3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95DB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FD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24 (7.7)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1A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E6E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(9.7)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E8C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0.7838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6D4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(12.2)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CE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(5.7)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EC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0.0883</w:t>
            </w:r>
          </w:p>
        </w:tc>
      </w:tr>
      <w:tr w:rsidR="00C04223" w:rsidRPr="00C04223" w14:paraId="72552F96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9E43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Hematological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9A7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 (7.4)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1B8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(7.3)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DE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(7.4)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2F5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C5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(13.3)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953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(4.8)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1A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0.0240</w:t>
            </w:r>
          </w:p>
        </w:tc>
      </w:tr>
      <w:tr w:rsidR="00C04223" w:rsidRPr="00C04223" w14:paraId="43683605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F859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HIV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456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6B4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A41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0F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784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B0E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675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0.3503</w:t>
            </w:r>
          </w:p>
        </w:tc>
      </w:tr>
      <w:tr w:rsidR="00C04223" w:rsidRPr="00C04223" w14:paraId="79C0C6B9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D274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760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167 (53.7)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B1B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79 (58.1)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57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88 (50.3)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91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0.7838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EE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60 (67.4)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FB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108 (47.4)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F83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0.0063</w:t>
            </w:r>
          </w:p>
        </w:tc>
      </w:tr>
      <w:tr w:rsidR="00C04223" w:rsidRPr="00C04223" w14:paraId="0127C3DA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4987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Immunosuppressed state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28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 (9.9)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33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(8.8)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102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(10.9)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39E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B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 (15.6)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A2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(7.9)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73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0.0883</w:t>
            </w:r>
          </w:p>
        </w:tc>
      </w:tr>
      <w:tr w:rsidR="00C04223" w:rsidRPr="00C04223" w14:paraId="58C72A7C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1254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557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(6.4)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25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(5.8)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7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(6.9)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F7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11A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(6.7)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BD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 (6.1)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8E6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0.8750</w:t>
            </w:r>
          </w:p>
        </w:tc>
      </w:tr>
      <w:tr w:rsidR="00C04223" w:rsidRPr="00C04223" w14:paraId="7439355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5B6C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Lung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DB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 (9.7)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38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(9.6)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7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(9.8)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ED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60F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(14.9)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E1F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(7.9)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5CD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0.0898</w:t>
            </w:r>
          </w:p>
        </w:tc>
      </w:tr>
      <w:tr w:rsidR="00C04223" w:rsidRPr="00C04223" w14:paraId="7197583F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141F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Malnutrition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C9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(2.3)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98D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(3.8)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61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80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0.8590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D5B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5BF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089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0.1304</w:t>
            </w:r>
          </w:p>
        </w:tc>
      </w:tr>
      <w:tr w:rsidR="00C04223" w:rsidRPr="00C04223" w14:paraId="760F1299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1643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916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(6.1)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28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(8.8)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E3D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(4.0)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AC9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0.7434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065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(11.1)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7B3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(3.9)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B76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0.0398</w:t>
            </w:r>
          </w:p>
        </w:tc>
      </w:tr>
      <w:tr w:rsidR="00C04223" w:rsidRPr="00C04223" w14:paraId="31073AA1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97C4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Neurological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A4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(9.4)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B00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(7.4)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D09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(11.0)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C32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0.8751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BD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(10.2)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70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(8.8)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F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0.7602</w:t>
            </w:r>
          </w:p>
        </w:tc>
      </w:tr>
      <w:tr w:rsidR="00C04223" w:rsidRPr="00C04223" w14:paraId="1498D12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0FC24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02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60 (19.9)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E6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 (23.5)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D7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(17.1)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73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0.7838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B0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(9.5)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3AF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52 (23.2)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EC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0.0223</w:t>
            </w:r>
          </w:p>
        </w:tc>
      </w:tr>
      <w:tr w:rsidR="00C04223" w:rsidRPr="00C04223" w14:paraId="54AB7160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B8A5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Psychiatric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ED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28 (9.0)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BB1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(9.5)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3A1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(8.7)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C6F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010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(10.0)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F4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(8.4)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1E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0.7328</w:t>
            </w:r>
          </w:p>
        </w:tc>
      </w:tr>
      <w:tr w:rsidR="00C04223" w:rsidRPr="00C04223" w14:paraId="43311F6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9407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3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80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1B3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A3B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71E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981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9CE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0.1128</w:t>
            </w:r>
          </w:p>
        </w:tc>
      </w:tr>
      <w:tr w:rsidR="00C04223" w:rsidRPr="00C04223" w14:paraId="0F12625B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DBC8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Rheumatologic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782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CDC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(9.5)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6D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 (12.7)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53B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D7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(16.7)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AE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(8.8)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9DF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0.0883</w:t>
            </w:r>
          </w:p>
        </w:tc>
      </w:tr>
      <w:tr w:rsidR="00C04223" w:rsidRPr="00C04223" w14:paraId="5732853C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3EB1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B2E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(5.2)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B6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(5.9)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77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(4.6)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639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0.9812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BA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(11.4)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0A6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(2.6)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02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0.0117</w:t>
            </w:r>
          </w:p>
        </w:tc>
      </w:tr>
      <w:tr w:rsidR="00C04223" w:rsidRPr="00C04223" w14:paraId="0660315C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E211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TIA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73F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4E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A4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188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E25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A09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6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0.0883</w:t>
            </w:r>
          </w:p>
        </w:tc>
      </w:tr>
      <w:tr w:rsidR="00C04223" w:rsidRPr="00C04223" w14:paraId="26E8EC83" w14:textId="77777777" w:rsidTr="0096635E">
        <w:trPr>
          <w:trHeight w:val="320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840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COVID-19 Symptoms (n (%))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112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46DE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78B6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8B39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F0E3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1809665B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63255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Total number (mean (SD))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D16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5.1 (2.8)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27A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5.1 (2.9)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F2F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5.2 (2.8)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C6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0.9556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48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4.4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C77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5.4 (3.0)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BCA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0.1086</w:t>
            </w:r>
          </w:p>
        </w:tc>
      </w:tr>
      <w:tr w:rsidR="00C04223" w:rsidRPr="00C04223" w14:paraId="2B374910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8650F" w14:textId="1F9BCC97" w:rsidR="00C04223" w:rsidRPr="00C04223" w:rsidRDefault="002A2E0A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Abdominal</w:t>
            </w:r>
            <w:r w:rsidR="00C04223" w:rsidRPr="00C04223">
              <w:rPr>
                <w:color w:val="000000"/>
                <w:sz w:val="20"/>
                <w:szCs w:val="20"/>
              </w:rPr>
              <w:t xml:space="preserve"> Pain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C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 (10.0)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86A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(7.3)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BB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 (12.1)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52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82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(6.7)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6AC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(11.4)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4DF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0.5563</w:t>
            </w:r>
          </w:p>
        </w:tc>
      </w:tr>
      <w:tr w:rsidR="00C04223" w:rsidRPr="00C04223" w14:paraId="71FD628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AAB2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Anosmia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B84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9C2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1C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(11.5)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7AE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0.9972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C7D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E64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(14.0)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748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0.0789</w:t>
            </w:r>
          </w:p>
        </w:tc>
      </w:tr>
      <w:tr w:rsidR="00C04223" w:rsidRPr="00C04223" w14:paraId="7F1F7A59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A3FDF" w14:textId="416FF1E1" w:rsidR="00C04223" w:rsidRPr="00C04223" w:rsidRDefault="002A2E0A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Arthralgia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0B8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(3.9)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8C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(6.6)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6E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E63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C3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273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(3.9)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52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0.8877</w:t>
            </w:r>
          </w:p>
        </w:tc>
      </w:tr>
      <w:tr w:rsidR="00C04223" w:rsidRPr="00C04223" w14:paraId="3507B05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5B3C5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Appetite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E1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82 (26.4)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F0F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34 (24.8)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D68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48 (27.6)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D0D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5D4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 (24.7)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CF4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61 (26.8)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74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0.8877</w:t>
            </w:r>
          </w:p>
        </w:tc>
      </w:tr>
      <w:tr w:rsidR="00C04223" w:rsidRPr="00C04223" w14:paraId="62DD94F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3F9A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Chest pain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66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86 (27.7)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4B3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43 (31.4)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C66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43 (24.7)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A76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A8F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24 (27.0)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7B9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65 (28.5)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AA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0.8877</w:t>
            </w:r>
          </w:p>
        </w:tc>
      </w:tr>
      <w:tr w:rsidR="00C04223" w:rsidRPr="00C04223" w14:paraId="41BA49B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932A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55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 (11.9)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FED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(14.6)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FC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(9.8)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F4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BC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(18.0)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A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 (9.6)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379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0.1313</w:t>
            </w:r>
          </w:p>
        </w:tc>
      </w:tr>
      <w:tr w:rsidR="00C04223" w:rsidRPr="00C04223" w14:paraId="3933A18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AAB4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Cough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1D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217 (69.8)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10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90 (65.7)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D6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127 (73.0)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38B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BF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52 (58.4)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412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168 (73.7)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E0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0.0600</w:t>
            </w:r>
          </w:p>
        </w:tc>
      </w:tr>
      <w:tr w:rsidR="00C04223" w:rsidRPr="00C04223" w14:paraId="0408DFCB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8703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B6D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78 (25.1)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86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 (21.9)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9F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48 (27.6)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A4F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6E7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(14.6)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2B3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65 (28.5)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77F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0.0600</w:t>
            </w:r>
          </w:p>
        </w:tc>
      </w:tr>
      <w:tr w:rsidR="00C04223" w:rsidRPr="00C04223" w14:paraId="48653058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E1B4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lastRenderedPageBreak/>
              <w:t>Dizziness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26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 (11.9)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08C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 (10.2)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4BD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 (13.2)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F0E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0.7601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317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(7.9)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ECE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 (13.6)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8D72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0.4554</w:t>
            </w:r>
          </w:p>
        </w:tc>
      </w:tr>
      <w:tr w:rsidR="00C04223" w:rsidRPr="00C04223" w14:paraId="1E82606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C895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Dysphagia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D11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(2.6)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A2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(4.4)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0E7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98F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278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34A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(2.6)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A345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0C98F16B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98DE4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Dyspnea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0CF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281 (90.4)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2ED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121 (88.3)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5A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160 (92.0)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42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0.5978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E7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75 (84.3)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BF2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211 (92.5)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98C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0.1054</w:t>
            </w:r>
          </w:p>
        </w:tc>
      </w:tr>
      <w:tr w:rsidR="00C04223" w:rsidRPr="00C04223" w14:paraId="3C374E40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25C6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Edema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CC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E8F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(4.4)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C5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AF1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9AB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090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(2.2)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512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0.5981</w:t>
            </w:r>
          </w:p>
        </w:tc>
      </w:tr>
      <w:tr w:rsidR="00C04223" w:rsidRPr="00C04223" w14:paraId="7185BE01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1B54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 xml:space="preserve">Extremity weakness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6DC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45 (14.5)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66F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(11.7)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86C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(16.7)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DFA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F59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(11.2)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84B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(15.4)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799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0.5981</w:t>
            </w:r>
          </w:p>
        </w:tc>
      </w:tr>
      <w:tr w:rsidR="00C04223" w:rsidRPr="00C04223" w14:paraId="5A631F9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719C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08D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181 (58.2)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52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76 (55.5)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BF8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105 (60.3)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E9F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0.7597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55E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48 (53.9)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B9C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136 (59.6)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54AC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0.5981</w:t>
            </w:r>
          </w:p>
        </w:tc>
      </w:tr>
      <w:tr w:rsidR="00C04223" w:rsidRPr="00C04223" w14:paraId="23D2074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03DF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49E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207 (66.6)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C7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92 (67.2)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B3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115 (66.1)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2B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0.9972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BA9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56 (62.9)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37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154 (67.5)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175D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0.6862</w:t>
            </w:r>
          </w:p>
        </w:tc>
      </w:tr>
      <w:tr w:rsidR="00C04223" w:rsidRPr="00C04223" w14:paraId="3737B4D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127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495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47 (15.1)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233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CA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(18.4)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E9C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F5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4A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43 (18.9)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33B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0.0294</w:t>
            </w:r>
          </w:p>
        </w:tc>
      </w:tr>
      <w:tr w:rsidR="00C04223" w:rsidRPr="00C04223" w14:paraId="55EAFDF9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2789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Myalgia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58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67 (21.5)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B07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(23.4)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4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(20.1)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50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0.8328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261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(11.2)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BA5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58 (25.4)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473E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0.0600</w:t>
            </w:r>
          </w:p>
        </w:tc>
      </w:tr>
      <w:tr w:rsidR="00C04223" w:rsidRPr="00C04223" w14:paraId="74202DC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E1B3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Nausea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CE9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42 (13.5)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A7F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 (16.1)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31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(11.5)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D0D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567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 (14.6)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3B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 (13.6)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D07D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0.8877</w:t>
            </w:r>
          </w:p>
        </w:tc>
      </w:tr>
      <w:tr w:rsidR="00C04223" w:rsidRPr="00C04223" w14:paraId="398F9320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98B2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Rhinorrhea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33A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(3.9)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ACF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(4.4)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600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(3.4)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3C9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0.9521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3D1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FCE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(4.4)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86A1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0.7730</w:t>
            </w:r>
          </w:p>
        </w:tc>
      </w:tr>
      <w:tr w:rsidR="00C04223" w:rsidRPr="00C04223" w14:paraId="1FD65B27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BF4C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Seizure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ABC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7BD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71D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843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4CB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BF1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7878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0.5981</w:t>
            </w:r>
          </w:p>
        </w:tc>
      </w:tr>
      <w:tr w:rsidR="00C04223" w:rsidRPr="00C04223" w14:paraId="56669F08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3AC8C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Skin rash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7EB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A5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E9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D7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29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6EA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B78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31A073A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FDA16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Sore throat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523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33 (10.6)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C1C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(11.7)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BE5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(9.8)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DB8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9DE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(7.9)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173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(11.4)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6077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0.5981</w:t>
            </w:r>
          </w:p>
        </w:tc>
      </w:tr>
      <w:tr w:rsidR="00C04223" w:rsidRPr="00C04223" w14:paraId="6A934A9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1668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Sputum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C80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(8.4)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6CD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(8.0)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513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(8.6)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2C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0.9972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38A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(9.0)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56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(7.9)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A7A4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0.8877</w:t>
            </w:r>
          </w:p>
        </w:tc>
      </w:tr>
      <w:tr w:rsidR="00C04223" w:rsidRPr="00C04223" w14:paraId="33342573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27BF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Wheezing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BA8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9F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447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(3.4)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16B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852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65B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(3.5)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EB13" w14:textId="77777777" w:rsidR="00C04223" w:rsidRPr="00C04223" w:rsidRDefault="00C04223" w:rsidP="00C04223">
            <w:pPr>
              <w:jc w:val="right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0.8877</w:t>
            </w:r>
          </w:p>
        </w:tc>
      </w:tr>
      <w:tr w:rsidR="00C04223" w:rsidRPr="00C04223" w14:paraId="4F8CDF7B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D75AE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 xml:space="preserve">Vital signs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8A4C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69A3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ED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A64C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8C6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EAC6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51B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0D554C36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65C6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Diastolic BP [mmHg]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84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74.3 (12.3)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D87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74.0 (12.6)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E2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74.4 (12.1)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B1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0.9606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160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72.3 (13.4)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2B1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75.0 (11.8)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B518" w14:textId="75710FF3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0.103</w:t>
            </w:r>
            <w:r w:rsidR="0096635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4223" w:rsidRPr="00C04223" w14:paraId="1980821E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97C1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Systolic BP [mmHg]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B12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128.8 (23.3)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081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128.7 (24.6)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7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129.0 (22.3)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B09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0.9072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341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129.2 (26.3)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4B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128.7 (22.1)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6B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0.7397</w:t>
            </w:r>
          </w:p>
        </w:tc>
      </w:tr>
      <w:tr w:rsidR="00C04223" w:rsidRPr="00C04223" w14:paraId="3A6ADDAE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4530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Respiratory rate [/min]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18D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26.1 (7.5)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067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26.8 (7.6)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B21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25.7 (7.4)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FD8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0.2728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12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24.8 (6.5)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4D6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26.7 (7.8)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CE72" w14:textId="0AE4A64F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0.103</w:t>
            </w:r>
            <w:r w:rsidR="0096635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4223" w:rsidRPr="00C04223" w14:paraId="26D0A066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362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Temperature [C]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424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37.3 (1.0)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FFF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37.3 (0.9)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2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37.3 (1.0)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81A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0.9072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CDF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37.3 (0.9)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FA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37.3 (1.0)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C6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0.7249</w:t>
            </w:r>
          </w:p>
        </w:tc>
      </w:tr>
      <w:tr w:rsidR="00C04223" w:rsidRPr="00C04223" w14:paraId="35161EAF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63D80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Lab results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262E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5B8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E37A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796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62E7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762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3EAB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55EDDAB6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3DD04" w14:textId="5A4E51B6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WBC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BA3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9.2 (5.5)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E8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10.0 (5.9)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2DD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8.5 (5.0)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B6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0.0731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69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9.8 (6.6)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091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8.9 (4.9)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573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60F5869C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C5541" w14:textId="52EFF9CE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Basophile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6FF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 (0.02)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A6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0.007 (0.02)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064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 (0.03)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EF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0.0096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40B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 (0.03)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1FF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 (0.02)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3A1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0.9407</w:t>
            </w:r>
          </w:p>
        </w:tc>
      </w:tr>
      <w:tr w:rsidR="00C04223" w:rsidRPr="00C04223" w14:paraId="1197CBD1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9F639" w14:textId="16F6D5AD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Eosinophile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C39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 (0.1)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84B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0.03 (0.2)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34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 (0.1)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B2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0.5381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3E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 (0.1)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894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0.03 (0.1)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4A1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7A2CD6DF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2CFA5" w14:textId="3D4BB0F8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Lymphocyte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1B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 (0.9)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85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 (1.3)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880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 (0.5)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492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0.6757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A05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 (1.6)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D7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 (0.5)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55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234F8CEC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C3248" w14:textId="7D3B0190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Monocyte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C50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90D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 (0.8)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EA3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 (0.5)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E15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0.5356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007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 (1.0)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FB3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3D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0.4291</w:t>
            </w:r>
          </w:p>
        </w:tc>
      </w:tr>
      <w:tr w:rsidR="00C04223" w:rsidRPr="00C04223" w14:paraId="31D77B30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E04F6" w14:textId="5BB7F6D5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lastRenderedPageBreak/>
              <w:t>Neutrophil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394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7.6 (4.5)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99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8.3 (4.7)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5DE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7.0 (4.4)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61C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0.0455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15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7.9 (4.8)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38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7.5 (4.4)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4D5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0F5BE756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DBAF4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Haemoglobin [g/L]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E64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131.1 (20.2)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F2A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129.7 (18.8)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28D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132.2 (21.3)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5F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E6E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127.6 (19.5)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AA9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132.5 (20.4)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28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0.2277</w:t>
            </w:r>
          </w:p>
        </w:tc>
      </w:tr>
      <w:tr w:rsidR="00C04223" w:rsidRPr="00C04223" w14:paraId="29579F35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6817E" w14:textId="0192FFC1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Platelet count [x10</w:t>
            </w:r>
            <w:r w:rsidR="0096635E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A1E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220.8 (97.9)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00A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223.9 (97.9)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39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218.4 (98.2)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C34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0.5455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2FD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205.5 (89.6)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3C0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227.1 (100.7)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1C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0.4291</w:t>
            </w:r>
          </w:p>
        </w:tc>
      </w:tr>
      <w:tr w:rsidR="00C04223" w:rsidRPr="00C04223" w14:paraId="7137D60B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382C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ALT [U/L]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F3E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74.0 (289.1)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603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112.3 (431.5)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737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43.6 (31.8)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EF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0.0831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A5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47.6 (46.6)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14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82.5 (331.5)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DF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07C86EAC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B5A9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Creatinine [</w:t>
            </w:r>
            <w:proofErr w:type="spellStart"/>
            <w:r w:rsidRPr="00C04223">
              <w:rPr>
                <w:color w:val="000000"/>
                <w:sz w:val="20"/>
                <w:szCs w:val="20"/>
              </w:rPr>
              <w:t>umol</w:t>
            </w:r>
            <w:proofErr w:type="spellEnd"/>
            <w:r w:rsidRPr="00C04223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DAD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125.1 (153.2)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CDC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132.8 (154.3)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8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118.8 (152.6)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426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0.6738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6F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142.3 (107.6)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DA4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118.1 (167.8)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BCC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0.0198</w:t>
            </w:r>
          </w:p>
        </w:tc>
      </w:tr>
      <w:tr w:rsidR="00C04223" w:rsidRPr="00C04223" w14:paraId="23564561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A756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Glucose [mmol/L]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D89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9.2 (4.5)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5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10.2 (4.9)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7A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8.4 (4.1)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1A7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57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9.7 (4.8)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A28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8.9 (4.4)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95F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0.4291</w:t>
            </w:r>
          </w:p>
        </w:tc>
      </w:tr>
      <w:tr w:rsidR="00C04223" w:rsidRPr="00C04223" w14:paraId="04CC6223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05E8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Potassium [mmol/L]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1A2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4.2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541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4.2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5A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B4A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0.7965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05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4.2 (0.7)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C1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4.1 (0.6)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2C8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4403F1DA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D99A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Sodium [mmol/L]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E3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137.2 (5.1)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40A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137.6 (5.4)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A5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136.9 (4.8)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E81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C58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137.6 (5.7)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4D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137.1 (4.8)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29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0.6802</w:t>
            </w:r>
          </w:p>
        </w:tc>
      </w:tr>
      <w:tr w:rsidR="00C04223" w:rsidRPr="00C04223" w14:paraId="25369062" w14:textId="77777777" w:rsidTr="0096635E">
        <w:trPr>
          <w:trHeight w:val="32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E78" w14:textId="77777777" w:rsidR="00C04223" w:rsidRPr="00C04223" w:rsidRDefault="00C04223" w:rsidP="00C0422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i/>
                <w:iCs/>
                <w:color w:val="000000"/>
                <w:sz w:val="20"/>
                <w:szCs w:val="20"/>
              </w:rPr>
              <w:t>During hospitalization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DF79" w14:textId="77777777" w:rsidR="00C04223" w:rsidRPr="00C04223" w:rsidRDefault="00C04223" w:rsidP="00C0422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4CA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9F6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4E4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A5C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B4C4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311A3D27" w14:textId="77777777" w:rsidTr="0096635E">
        <w:trPr>
          <w:trHeight w:val="32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B686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Hospitalization details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11FC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F28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C465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20E0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E992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68B9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4CC8973D" w14:textId="77777777" w:rsidTr="0096635E">
        <w:trPr>
          <w:trHeight w:val="114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8C0A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Number of days hospitalized (mean (SD))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F1E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26.1 (29.6)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DA3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34.8 (35.3)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C7B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19.4 (22.1)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5B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751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27.2 (26.8)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15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25.7 (30.6)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6D0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0.1004</w:t>
            </w:r>
          </w:p>
        </w:tc>
      </w:tr>
      <w:tr w:rsidR="00C04223" w:rsidRPr="00C04223" w14:paraId="1FB3FB30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EE13E" w14:textId="462476F2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 xml:space="preserve">ICU stay (n </w:t>
            </w:r>
            <w:r w:rsidR="00373AED">
              <w:rPr>
                <w:color w:val="000000"/>
                <w:sz w:val="20"/>
                <w:szCs w:val="20"/>
              </w:rPr>
              <w:t>(</w:t>
            </w:r>
            <w:r w:rsidRPr="00C04223">
              <w:rPr>
                <w:color w:val="000000"/>
                <w:sz w:val="20"/>
                <w:szCs w:val="20"/>
              </w:rPr>
              <w:t>%))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8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238 (75.1)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6DD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128 (92.8)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EEE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110 (61.5)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024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99B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70 (77.8)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CA3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168 (74.0)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7F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0.6225</w:t>
            </w:r>
          </w:p>
        </w:tc>
      </w:tr>
      <w:tr w:rsidR="00C04223" w:rsidRPr="00C04223" w14:paraId="7A6B0FDD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825F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Number of days in ICU (mean (SD))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8A8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19.2 (25.6)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14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25.2 (30.2)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F0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12.3 (16.8)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76A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391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27.5 (28.8)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FF5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15.7 (23.4)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01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0.0005</w:t>
            </w:r>
          </w:p>
        </w:tc>
      </w:tr>
      <w:tr w:rsidR="00C04223" w:rsidRPr="00C04223" w14:paraId="03C8BC7C" w14:textId="77777777" w:rsidTr="0096635E">
        <w:trPr>
          <w:trHeight w:val="320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7C81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Complications - Other than ARDS (n (%))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5E5F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1F94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C08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8B85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6B7E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0C62B21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39054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AKI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B19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104 (33.0)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E3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68 (49.6)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46D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36 (20.2)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5D6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3A6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50 (55.6)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40A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54 (24.0)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C7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0.0012</w:t>
            </w:r>
          </w:p>
        </w:tc>
      </w:tr>
      <w:tr w:rsidR="00C04223" w:rsidRPr="00C04223" w14:paraId="23D9A128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7D70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Anemia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09B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77 (24.4)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16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42 (30.7)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4B1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(19.6)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DE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B8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 (33.7)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42A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47 (20.7)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EBB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0.0497</w:t>
            </w:r>
          </w:p>
        </w:tc>
      </w:tr>
      <w:tr w:rsidR="00C04223" w:rsidRPr="00C04223" w14:paraId="73CD479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39C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Arrythmia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1EC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 (7.3)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FB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(11.0)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D3D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(4.5)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A27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0.0630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946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(12.5)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55A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(5.3)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EB8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0.0805</w:t>
            </w:r>
          </w:p>
        </w:tc>
      </w:tr>
      <w:tr w:rsidR="00C04223" w:rsidRPr="00C04223" w14:paraId="1BB7C89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F7D1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89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28 (8.9)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625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 (14.6)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F94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(4.5)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B43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E4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(10.1)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192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(8.4)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FD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0.8468</w:t>
            </w:r>
          </w:p>
        </w:tc>
      </w:tr>
      <w:tr w:rsidR="00C04223" w:rsidRPr="00C04223" w14:paraId="6A17EC2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6D7E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Bacteremia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196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41 (13.0)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65B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32 (23.5)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4EB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(5.0)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A5C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F72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(19.3)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17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24 (10.6)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D2C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0.0976</w:t>
            </w:r>
          </w:p>
        </w:tc>
      </w:tr>
      <w:tr w:rsidR="00C04223" w:rsidRPr="00C04223" w14:paraId="4B6B339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D32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Cardiac arrest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FB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(2.8)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6A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(6.6)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5E8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FC9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0D3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(9.0)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E72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998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0.0014</w:t>
            </w:r>
          </w:p>
        </w:tc>
      </w:tr>
      <w:tr w:rsidR="00C04223" w:rsidRPr="00C04223" w14:paraId="4D5A95A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640F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A7F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(2.5)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6CD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A8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85F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0.4532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B8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53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(2.6)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52A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6A1DE94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B391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DVT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63D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C6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C4B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67D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0.6088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937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(3.4)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AA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D2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0.7565</w:t>
            </w:r>
          </w:p>
        </w:tc>
      </w:tr>
      <w:tr w:rsidR="00C04223" w:rsidRPr="00C04223" w14:paraId="3C6F413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C321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DIC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BDF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1F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876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BCE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0.6346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BEE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38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97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58250F73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57F1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Endocarditis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AAB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C2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325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8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0.5807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2F8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220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EC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01E27F6B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E9E59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GI bleed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19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(1.6)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6B3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317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62B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0.5461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592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E4C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048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0.8468</w:t>
            </w:r>
          </w:p>
        </w:tc>
      </w:tr>
      <w:tr w:rsidR="00C04223" w:rsidRPr="00C04223" w14:paraId="1B03760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D8FA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60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(3.2)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8D0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(5.9)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F76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EF6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0D9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(6.8)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A11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88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0.0888</w:t>
            </w:r>
          </w:p>
        </w:tc>
      </w:tr>
      <w:tr w:rsidR="00C04223" w:rsidRPr="00C04223" w14:paraId="2C7535A6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2B61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Hyperglycemia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67C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90 (28.8)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1C4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59 (43.4)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760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 (17.5)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F6A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587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28 (31.5)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1FE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62 (27.7)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BE9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0.7966</w:t>
            </w:r>
          </w:p>
        </w:tc>
      </w:tr>
      <w:tr w:rsidR="00C04223" w:rsidRPr="00C04223" w14:paraId="4317370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7FD05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Hypernatremia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68E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(2.8)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53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E06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433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0.6093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0AC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C9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(3.5)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65B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0.7966</w:t>
            </w:r>
          </w:p>
        </w:tc>
      </w:tr>
      <w:tr w:rsidR="00C04223" w:rsidRPr="00C04223" w14:paraId="7E1573F7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6288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lastRenderedPageBreak/>
              <w:t>Hypoglycemia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DD5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(3.2)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6CA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2E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(3.9)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44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0.6093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22B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C52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(3.5)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2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0.9103</w:t>
            </w:r>
          </w:p>
        </w:tc>
      </w:tr>
      <w:tr w:rsidR="00C04223" w:rsidRPr="00C04223" w14:paraId="46E5511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EC59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Hyponatremia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EDA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(5.4)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F74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 (10.2)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ABD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99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C9E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(6.7)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E9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(4.8)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9E7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0.8403</w:t>
            </w:r>
          </w:p>
        </w:tc>
      </w:tr>
      <w:tr w:rsidR="00C04223" w:rsidRPr="00C04223" w14:paraId="3A7D1745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9D9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LVF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B46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(5.8)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A7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(8.5)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9EF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(3.8)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06B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F2B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(8.2)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854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(5.0)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8C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0.7966</w:t>
            </w:r>
          </w:p>
        </w:tc>
      </w:tr>
      <w:tr w:rsidR="00C04223" w:rsidRPr="00C04223" w14:paraId="0BE83B24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2832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C41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45 (14.2)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48E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(19.0)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6F4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(10.6)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AD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0.0777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6E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(11.2)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373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(15.4)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7A5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0.6678</w:t>
            </w:r>
          </w:p>
        </w:tc>
      </w:tr>
      <w:tr w:rsidR="00C04223" w:rsidRPr="00C04223" w14:paraId="46E2D179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19E4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NSTEMI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1D1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 (7.9)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263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ED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(5.6)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046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0.1323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EC1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(9.0)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13E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 (7.5)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C9C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0.8479</w:t>
            </w:r>
          </w:p>
        </w:tc>
      </w:tr>
      <w:tr w:rsidR="00C04223" w:rsidRPr="00C04223" w14:paraId="668ACB2D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AD91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Pancreatitis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6F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140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5D0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C5C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678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3B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04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0.8403</w:t>
            </w:r>
          </w:p>
        </w:tc>
      </w:tr>
      <w:tr w:rsidR="00C04223" w:rsidRPr="00C04223" w14:paraId="7D12BBFB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1647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Pericarditis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673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A84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3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F1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0.6093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F1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3EA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F6A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35AE7D5B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2742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Pleural effusion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D6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48 (15.2)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42E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25 (18.2)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20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23 (12.8)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046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0.2920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15C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 (24.7)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25E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(11.5)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609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0.0138</w:t>
            </w:r>
          </w:p>
        </w:tc>
      </w:tr>
      <w:tr w:rsidR="00C04223" w:rsidRPr="00C04223" w14:paraId="1C1A1582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BEE5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4B9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85 (27.2)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A1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58 (42.6)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70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27 (15.3)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127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7C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33 (37.5)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B6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52 (23.1)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9DD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0.0359</w:t>
            </w:r>
          </w:p>
        </w:tc>
      </w:tr>
      <w:tr w:rsidR="00C04223" w:rsidRPr="00C04223" w14:paraId="7565229C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7D71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Pneumonitis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14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135 (42.9)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786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67 (48.9)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E3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68 (38.2)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62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4E6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42 (47.2)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E01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93 (41.2)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A28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0.6678</w:t>
            </w:r>
          </w:p>
        </w:tc>
      </w:tr>
      <w:tr w:rsidR="00C04223" w:rsidRPr="00C04223" w14:paraId="273F3A8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DB2A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Pneumothorax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C35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 (6.7)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06A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 (10.9)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D58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(3.4)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C53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0.0222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E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 (11.2)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FA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(4.9)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46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0.0977</w:t>
            </w:r>
          </w:p>
        </w:tc>
      </w:tr>
      <w:tr w:rsidR="00C04223" w:rsidRPr="00C04223" w14:paraId="13C01AF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57D6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886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41 (13.0)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E0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 (21.9)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683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(6.1)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A6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C92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(13.5)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66C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29 (12.8)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A0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27A2FEF4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5A54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Rhabdomyolysis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CF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FC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(4.4)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71C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C2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6E6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(6.8)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3F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E91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0.0127</w:t>
            </w:r>
          </w:p>
        </w:tc>
      </w:tr>
      <w:tr w:rsidR="00C04223" w:rsidRPr="00C04223" w14:paraId="6A357D1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B9EF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Seizure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8E9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(0.9)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20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768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3C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0.6346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82C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01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C7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0.4269</w:t>
            </w:r>
          </w:p>
        </w:tc>
      </w:tr>
      <w:tr w:rsidR="00C04223" w:rsidRPr="00C04223" w14:paraId="5C43B3FC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CA191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STEMI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F2B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(1.6)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5BC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08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CFC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0.5461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3C9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6BC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A6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14FC13EF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CA67C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B8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4A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F4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C6B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93E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(5.7)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DA7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F7B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0.0288</w:t>
            </w:r>
          </w:p>
        </w:tc>
      </w:tr>
      <w:tr w:rsidR="00C04223" w:rsidRPr="00C04223" w14:paraId="703E1E5E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57E7C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TIA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9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895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B01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21F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91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F46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D19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4D0EF5A4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FEE0B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VT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31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(2.9)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06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A2A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DAB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0.0895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C13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(8.0)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6F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27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0.0127</w:t>
            </w:r>
          </w:p>
        </w:tc>
      </w:tr>
      <w:tr w:rsidR="00C04223" w:rsidRPr="00C04223" w14:paraId="6786C619" w14:textId="77777777" w:rsidTr="0096635E">
        <w:trPr>
          <w:trHeight w:val="320"/>
        </w:trPr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6DD1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>Drug treatments administered - Other than corticosteroids (n (%))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D193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EEC3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7A11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5CBEB801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AAAD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Antifungal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F7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54 (17.0)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9C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38 (27.5)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4F5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(8.9)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631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5DA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28 (31.1)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F4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 (11.5)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A0E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0.0009</w:t>
            </w:r>
          </w:p>
        </w:tc>
      </w:tr>
      <w:tr w:rsidR="00C04223" w:rsidRPr="00C04223" w14:paraId="663C4654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5EDA2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F9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208 (65.6)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E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103 (74.6)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AE9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105 (58.7)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8A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17D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57 (63.3)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DB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151 (66.5)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6EF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0.8033</w:t>
            </w:r>
          </w:p>
        </w:tc>
      </w:tr>
      <w:tr w:rsidR="00C04223" w:rsidRPr="00C04223" w14:paraId="74C5B6D0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2ED7E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Chloroquine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C09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(0.6)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DF3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F45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648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6E5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4E5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25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0.7984</w:t>
            </w:r>
          </w:p>
        </w:tc>
      </w:tr>
      <w:tr w:rsidR="00C04223" w:rsidRPr="00C04223" w14:paraId="296AF523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34724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1A6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19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55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(2.8)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F1D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E99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A0D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(2.6)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626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0.8132</w:t>
            </w:r>
          </w:p>
        </w:tc>
      </w:tr>
      <w:tr w:rsidR="00C04223" w:rsidRPr="00C04223" w14:paraId="37791D20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B07A6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Hydroxychloroquine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2D2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977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CAE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3C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6ED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(1.1)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23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A7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0.5678</w:t>
            </w:r>
          </w:p>
        </w:tc>
      </w:tr>
      <w:tr w:rsidR="00C04223" w:rsidRPr="00C04223" w14:paraId="56C85C7A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194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4223">
              <w:rPr>
                <w:color w:val="000000"/>
                <w:sz w:val="20"/>
                <w:szCs w:val="20"/>
              </w:rPr>
              <w:t>Invermectin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E18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 (3.8)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D44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(4.3)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728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(3.4)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096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66A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(4.4)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D62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(3.5)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8CE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0.8399</w:t>
            </w:r>
          </w:p>
        </w:tc>
      </w:tr>
      <w:tr w:rsidR="00C04223" w:rsidRPr="00C04223" w14:paraId="64685607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0A23D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IVIG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E9E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4AC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00B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540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B7E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3A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852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0.8033</w:t>
            </w:r>
          </w:p>
        </w:tc>
      </w:tr>
      <w:tr w:rsidR="00C04223" w:rsidRPr="00C04223" w14:paraId="7E97FB67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9261C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Kineret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B2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(1.9)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FB4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B62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(2.8)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CA3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0.7137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9E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79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(2.6)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0A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0.4253</w:t>
            </w:r>
          </w:p>
        </w:tc>
      </w:tr>
      <w:tr w:rsidR="00C04223" w:rsidRPr="00C04223" w14:paraId="24814790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4A777" w14:textId="09F60326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Other Antivirals</w:t>
            </w:r>
            <w:r w:rsidR="0060052B" w:rsidRPr="006A537A">
              <w:rPr>
                <w:rStyle w:val="FootnoteReference"/>
              </w:rPr>
              <w:footnoteReference w:id="2"/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3C4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 (4.4)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29A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 (4.3)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E8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 (4.5)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5D4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408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(12.2)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8AE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68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0.0009</w:t>
            </w:r>
          </w:p>
        </w:tc>
      </w:tr>
      <w:tr w:rsidR="00C04223" w:rsidRPr="00C04223" w14:paraId="0B98D03F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33615" w14:textId="39A14751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C04223">
              <w:rPr>
                <w:color w:val="000000"/>
                <w:sz w:val="20"/>
                <w:szCs w:val="20"/>
              </w:rPr>
              <w:t>Antibiotics</w:t>
            </w:r>
            <w:r w:rsidR="0060052B">
              <w:rPr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842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266 (83.9)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41F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127 (92.0)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F90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139 (77.7)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2A6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0.0054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AF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86 (95.6)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86B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180 (79.3)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34C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0.0024</w:t>
            </w:r>
          </w:p>
        </w:tc>
      </w:tr>
      <w:tr w:rsidR="00C04223" w:rsidRPr="00C04223" w14:paraId="748A2BCD" w14:textId="77777777" w:rsidTr="0096635E">
        <w:trPr>
          <w:trHeight w:val="8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A53B" w14:textId="4C91A7FE" w:rsidR="00C04223" w:rsidRPr="00C04223" w:rsidRDefault="00C04223" w:rsidP="00C04223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C04223">
              <w:rPr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="00D2125F" w:rsidRPr="00C04223">
              <w:rPr>
                <w:color w:val="000000"/>
                <w:sz w:val="20"/>
                <w:szCs w:val="20"/>
              </w:rPr>
              <w:t>immunomodulator</w:t>
            </w:r>
            <w:r w:rsidR="00D2125F">
              <w:rPr>
                <w:color w:val="000000"/>
                <w:sz w:val="20"/>
                <w:szCs w:val="20"/>
              </w:rPr>
              <w:t>s</w:t>
            </w:r>
            <w:r w:rsidR="00D2125F">
              <w:rPr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F9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 (5.7)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44F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(5.1)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BEC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11 (6.1)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D56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992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(10.0)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EF0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(4.0)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413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0.1089</w:t>
            </w:r>
          </w:p>
        </w:tc>
      </w:tr>
      <w:tr w:rsidR="00C04223" w:rsidRPr="00C04223" w14:paraId="6B0FC286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F6097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6A2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55C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41F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(2.2)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04B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964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(3.3)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31C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 (1.8)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D03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0.7375</w:t>
            </w:r>
          </w:p>
        </w:tc>
      </w:tr>
      <w:tr w:rsidR="00C04223" w:rsidRPr="00C04223" w14:paraId="46F540DD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66D03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Remdesivir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04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54 (17.0)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7F9D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19 (13.8)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44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35 (19.6)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0A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0.6275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E9E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 (10.0)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96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45 (19.8)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12D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0.1089</w:t>
            </w:r>
          </w:p>
        </w:tc>
      </w:tr>
      <w:tr w:rsidR="00C04223" w:rsidRPr="00C04223" w14:paraId="67CD2C37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627F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lastRenderedPageBreak/>
              <w:t>Ribavirin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113B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59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A86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91F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6D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620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 (0.4)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C0A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C04223" w:rsidRPr="00C04223" w14:paraId="650A7850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635B0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Sarilumab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68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 (1.6)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1D56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4A5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(1.1)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3DE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A83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 (2.2)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BD7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 (1.3)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56C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0.8033</w:t>
            </w:r>
          </w:p>
        </w:tc>
      </w:tr>
      <w:tr w:rsidR="00C04223" w:rsidRPr="00C04223" w14:paraId="753A9120" w14:textId="77777777" w:rsidTr="0096635E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69078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Tocilizumab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2BA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91 (28.7)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7A4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43 (31.2)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8F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48 (26.8)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F9A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0.9737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AF2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16 (17.8)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D20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75 (33.0)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2CE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0.0306</w:t>
            </w:r>
          </w:p>
        </w:tc>
      </w:tr>
      <w:tr w:rsidR="00C04223" w:rsidRPr="00C04223" w14:paraId="6475542D" w14:textId="77777777" w:rsidTr="0096635E">
        <w:trPr>
          <w:trHeight w:val="320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873" w14:textId="7C67D424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4223">
              <w:rPr>
                <w:b/>
                <w:bCs/>
                <w:color w:val="000000"/>
                <w:sz w:val="20"/>
                <w:szCs w:val="20"/>
              </w:rPr>
              <w:t xml:space="preserve">Non-drug interventions </w:t>
            </w:r>
            <w:r w:rsidR="0039692A" w:rsidRPr="00C04223">
              <w:rPr>
                <w:b/>
                <w:bCs/>
                <w:color w:val="000000"/>
                <w:sz w:val="20"/>
                <w:szCs w:val="20"/>
              </w:rPr>
              <w:t>administered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F56" w14:textId="77777777" w:rsidR="00C04223" w:rsidRPr="00C04223" w:rsidRDefault="00C04223" w:rsidP="00C04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DDD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A6BB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0AEF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32BD" w14:textId="77777777" w:rsidR="00C04223" w:rsidRPr="00C04223" w:rsidRDefault="00C04223" w:rsidP="00C04223">
            <w:pPr>
              <w:rPr>
                <w:sz w:val="20"/>
                <w:szCs w:val="20"/>
              </w:rPr>
            </w:pPr>
          </w:p>
        </w:tc>
      </w:tr>
      <w:tr w:rsidR="00C04223" w:rsidRPr="00C04223" w14:paraId="26A7CE71" w14:textId="77777777" w:rsidTr="0096635E">
        <w:trPr>
          <w:trHeight w:val="58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222F" w14:textId="77777777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O2 therapy (n %))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4C4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310 (100.0)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35D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137 (100.0)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58C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173 (100.0)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EF6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35F5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88 (100.0)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D54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222 (100.0)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5731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C04223" w:rsidRPr="00C04223" w14:paraId="2CD56C52" w14:textId="77777777" w:rsidTr="00F22734">
        <w:trPr>
          <w:trHeight w:val="580"/>
        </w:trPr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D76499" w14:textId="665606CB" w:rsidR="00C04223" w:rsidRPr="00C04223" w:rsidRDefault="00C04223" w:rsidP="00C042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 of days O2 therapy (mean (SD))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3B0073" w14:textId="755DB08E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21.0 (27.7)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CFE76" w14:textId="264B341E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30.9 (34.9)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0AE808" w14:textId="2E1B3865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14.0 (18.4)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745BCA" w14:textId="654F37D5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F228E7" w14:textId="2B1DC89D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27.5 (29.3)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17FB90" w14:textId="30A5E788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18.5 (26.7)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1A8E65" w14:textId="67B02498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0.0002</w:t>
            </w:r>
          </w:p>
        </w:tc>
      </w:tr>
      <w:tr w:rsidR="00C04223" w:rsidRPr="00C04223" w14:paraId="2602F146" w14:textId="77777777" w:rsidTr="00F22734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44F3F" w14:textId="77777777" w:rsidR="00C04223" w:rsidRPr="00C04223" w:rsidRDefault="00C04223" w:rsidP="002F77C6">
            <w:pPr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IMV (n (%))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EE98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124 (39.1)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DF45E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87 (63.0)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48800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37 (20.7)</w:t>
            </w:r>
          </w:p>
        </w:tc>
        <w:tc>
          <w:tcPr>
            <w:tcW w:w="8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2374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F5903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59 (65.6)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6A719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65 (28.6)</w:t>
            </w:r>
          </w:p>
        </w:tc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55037" w14:textId="77777777" w:rsidR="00C04223" w:rsidRPr="00C04223" w:rsidRDefault="00C04223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C04223">
              <w:rPr>
                <w:color w:val="000000"/>
                <w:sz w:val="20"/>
                <w:szCs w:val="20"/>
              </w:rPr>
              <w:t>0.0002</w:t>
            </w:r>
          </w:p>
        </w:tc>
      </w:tr>
    </w:tbl>
    <w:p w14:paraId="5AD0F164" w14:textId="77777777" w:rsidR="00382FE1" w:rsidRDefault="00382FE1" w:rsidP="00C31AE0">
      <w:pPr>
        <w:rPr>
          <w:b/>
        </w:rPr>
      </w:pPr>
    </w:p>
    <w:p w14:paraId="3C32183C" w14:textId="77777777" w:rsidR="00A071EC" w:rsidRDefault="00A071EC">
      <w:pPr>
        <w:rPr>
          <w:b/>
        </w:rPr>
      </w:pPr>
      <w:r>
        <w:rPr>
          <w:b/>
        </w:rPr>
        <w:br w:type="page"/>
      </w:r>
    </w:p>
    <w:p w14:paraId="630794DA" w14:textId="1424872A" w:rsidR="00A071EC" w:rsidRDefault="00A071EC" w:rsidP="00C31AE0">
      <w:pPr>
        <w:spacing w:line="480" w:lineRule="auto"/>
        <w:rPr>
          <w:b/>
        </w:rPr>
      </w:pPr>
      <w:r>
        <w:rPr>
          <w:b/>
        </w:rPr>
        <w:lastRenderedPageBreak/>
        <w:t xml:space="preserve">Table </w:t>
      </w:r>
      <w:r w:rsidR="00EA2C17">
        <w:rPr>
          <w:b/>
        </w:rPr>
        <w:t>A</w:t>
      </w:r>
      <w:r w:rsidR="00C639D3">
        <w:rPr>
          <w:b/>
        </w:rPr>
        <w:t>.</w:t>
      </w:r>
      <w:r>
        <w:rPr>
          <w:b/>
        </w:rPr>
        <w:t>2</w:t>
      </w:r>
      <w:r w:rsidR="007553A0">
        <w:rPr>
          <w:b/>
        </w:rPr>
        <w:t>.</w:t>
      </w:r>
      <w:r w:rsidR="007553A0" w:rsidRPr="007553A0">
        <w:rPr>
          <w:b/>
        </w:rPr>
        <w:t xml:space="preserve"> </w:t>
      </w:r>
      <w:r w:rsidR="007553A0" w:rsidRPr="006B76AB">
        <w:rPr>
          <w:b/>
        </w:rPr>
        <w:t>Patient data stratified by ARDS development</w:t>
      </w:r>
      <w:r w:rsidR="007553A0">
        <w:rPr>
          <w:b/>
        </w:rPr>
        <w:t xml:space="preserve"> then by progression to death</w:t>
      </w:r>
    </w:p>
    <w:tbl>
      <w:tblPr>
        <w:tblW w:w="8863" w:type="dxa"/>
        <w:tblLook w:val="04A0" w:firstRow="1" w:lastRow="0" w:firstColumn="1" w:lastColumn="0" w:noHBand="0" w:noVBand="1"/>
      </w:tblPr>
      <w:tblGrid>
        <w:gridCol w:w="1883"/>
        <w:gridCol w:w="1359"/>
        <w:gridCol w:w="1359"/>
        <w:gridCol w:w="782"/>
        <w:gridCol w:w="1400"/>
        <w:gridCol w:w="1274"/>
        <w:gridCol w:w="806"/>
      </w:tblGrid>
      <w:tr w:rsidR="00D96B10" w:rsidRPr="00D96B10" w14:paraId="64752831" w14:textId="77777777" w:rsidTr="00D2125F">
        <w:trPr>
          <w:trHeight w:val="320"/>
        </w:trPr>
        <w:tc>
          <w:tcPr>
            <w:tcW w:w="188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6B4D6" w14:textId="77777777" w:rsidR="00D96B10" w:rsidRPr="00D96B10" w:rsidRDefault="00D96B10" w:rsidP="00D96B10"/>
        </w:tc>
        <w:tc>
          <w:tcPr>
            <w:tcW w:w="350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80E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ARDS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4169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No ARDS</w:t>
            </w:r>
          </w:p>
        </w:tc>
      </w:tr>
      <w:tr w:rsidR="00D96B10" w:rsidRPr="00D96B10" w14:paraId="0E900D2C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3D1D7" w14:textId="77777777" w:rsidR="00D96B10" w:rsidRPr="00D96B10" w:rsidRDefault="00D96B10" w:rsidP="00D96B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6107B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 = 138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FD66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 = 179</w:t>
            </w:r>
          </w:p>
        </w:tc>
      </w:tr>
      <w:tr w:rsidR="00D96B10" w:rsidRPr="00D96B10" w14:paraId="1C73BA16" w14:textId="77777777" w:rsidTr="00D2125F">
        <w:trPr>
          <w:trHeight w:val="320"/>
        </w:trPr>
        <w:tc>
          <w:tcPr>
            <w:tcW w:w="1883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755FFAA" w14:textId="77777777" w:rsidR="00D96B10" w:rsidRPr="00D96B10" w:rsidRDefault="00D96B10" w:rsidP="00D96B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FCD1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Survived</w:t>
            </w:r>
          </w:p>
        </w:tc>
        <w:tc>
          <w:tcPr>
            <w:tcW w:w="1359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B285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Died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74ED" w14:textId="77777777" w:rsidR="00D96B10" w:rsidRPr="00D96B10" w:rsidRDefault="00D96B10" w:rsidP="00D96B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6B10">
              <w:rPr>
                <w:i/>
                <w:iCs/>
                <w:color w:val="000000"/>
                <w:sz w:val="20"/>
                <w:szCs w:val="20"/>
              </w:rPr>
              <w:t>Adj.</w:t>
            </w:r>
          </w:p>
        </w:tc>
        <w:tc>
          <w:tcPr>
            <w:tcW w:w="140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956B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Survived</w:t>
            </w:r>
          </w:p>
        </w:tc>
        <w:tc>
          <w:tcPr>
            <w:tcW w:w="1274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043B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Died</w:t>
            </w:r>
          </w:p>
        </w:tc>
        <w:tc>
          <w:tcPr>
            <w:tcW w:w="806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4DE3" w14:textId="77777777" w:rsidR="00D96B10" w:rsidRPr="00D96B10" w:rsidRDefault="00D96B10" w:rsidP="00D96B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6B10">
              <w:rPr>
                <w:i/>
                <w:iCs/>
                <w:color w:val="000000"/>
                <w:sz w:val="20"/>
                <w:szCs w:val="20"/>
              </w:rPr>
              <w:t>Adj.</w:t>
            </w:r>
          </w:p>
        </w:tc>
      </w:tr>
      <w:tr w:rsidR="00D96B10" w:rsidRPr="00D96B10" w14:paraId="42733787" w14:textId="77777777" w:rsidTr="00D2125F">
        <w:trPr>
          <w:trHeight w:val="340"/>
        </w:trPr>
        <w:tc>
          <w:tcPr>
            <w:tcW w:w="18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68F72" w14:textId="77777777" w:rsidR="00D96B10" w:rsidRPr="00D96B10" w:rsidRDefault="00D96B10" w:rsidP="00D96B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9DDC2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 = 82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D310B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 = 56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F5D78" w14:textId="6697119F" w:rsidR="00D96B10" w:rsidRPr="00D96B10" w:rsidRDefault="00D96B10" w:rsidP="00D96B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6B10">
              <w:rPr>
                <w:i/>
                <w:iCs/>
                <w:color w:val="000000"/>
                <w:sz w:val="20"/>
                <w:szCs w:val="20"/>
              </w:rPr>
              <w:t>P-value</w:t>
            </w:r>
            <w:r w:rsidR="006E178B" w:rsidRPr="006A537A">
              <w:rPr>
                <w:rStyle w:val="FootnoteReference"/>
              </w:rPr>
              <w:footnoteReference w:id="3"/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1A2C8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 = 145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E9280" w14:textId="77777777" w:rsidR="00D96B10" w:rsidRPr="00D96B10" w:rsidRDefault="00D96B10" w:rsidP="00D96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 = 34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6E2B0" w14:textId="78DFD85A" w:rsidR="00D96B10" w:rsidRPr="00643329" w:rsidRDefault="00D96B10" w:rsidP="00D96B10">
            <w:pPr>
              <w:jc w:val="center"/>
              <w:rPr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D96B10">
              <w:rPr>
                <w:i/>
                <w:iCs/>
                <w:color w:val="000000"/>
                <w:sz w:val="20"/>
                <w:szCs w:val="20"/>
              </w:rPr>
              <w:t>P-</w:t>
            </w:r>
            <w:proofErr w:type="spellStart"/>
            <w:r w:rsidRPr="00D96B10">
              <w:rPr>
                <w:i/>
                <w:iCs/>
                <w:color w:val="000000"/>
                <w:sz w:val="20"/>
                <w:szCs w:val="20"/>
              </w:rPr>
              <w:t>value</w:t>
            </w:r>
            <w:r w:rsidR="00643329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D96B10" w:rsidRPr="00D96B10" w14:paraId="1CAACDB9" w14:textId="77777777" w:rsidTr="00D2125F">
        <w:trPr>
          <w:trHeight w:val="340"/>
        </w:trPr>
        <w:tc>
          <w:tcPr>
            <w:tcW w:w="324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BB8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Patient Characteristics (n (%))</w:t>
            </w:r>
          </w:p>
        </w:tc>
        <w:tc>
          <w:tcPr>
            <w:tcW w:w="13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4E58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3A0B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9B0E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081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EC7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25653B4E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2F2C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Age, mean years (SD)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45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58.2 (14.9)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792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71.1 (12.7)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38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752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60.7 (15.9)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D8A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76.7 (12.0)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015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0.0009</w:t>
            </w:r>
          </w:p>
        </w:tc>
      </w:tr>
      <w:tr w:rsidR="00D96B10" w:rsidRPr="00D96B10" w14:paraId="60531F73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0F61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Sex, number of males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A5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60 (73.2)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74A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39 (69.6)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692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0.6513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596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99 (68.3)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8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 (70.6)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913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0.9312</w:t>
            </w:r>
          </w:p>
        </w:tc>
      </w:tr>
      <w:tr w:rsidR="00D96B10" w:rsidRPr="00D96B10" w14:paraId="02EBA0B1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A7B61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Patients who do not smoke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3B1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46 (66.7)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B43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16 (48.5)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C4C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4E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66 (64.1)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4BD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16 (76.2)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75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0.9312</w:t>
            </w:r>
          </w:p>
        </w:tc>
      </w:tr>
      <w:tr w:rsidR="00D96B10" w:rsidRPr="00D96B10" w14:paraId="0AEFF002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051F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Patients who smoke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06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(5.8)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077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57B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293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(4.9)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363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(4.8)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B2E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0.9312</w:t>
            </w:r>
          </w:p>
        </w:tc>
      </w:tr>
      <w:tr w:rsidR="00D96B10" w:rsidRPr="00D96B10" w14:paraId="6E130A50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74286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Patients who previously smoked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DCF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(26.1)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EBF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16 (48.5)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663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6D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29 (28.2)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ABC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(19.0)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30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0.9312</w:t>
            </w:r>
          </w:p>
        </w:tc>
      </w:tr>
      <w:tr w:rsidR="00D96B10" w:rsidRPr="00D96B10" w14:paraId="3A09289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F96C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F3F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(4.2)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0FB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0E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0A6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(3.2)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1EB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DBC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2559C26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69F31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Healthcare worker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E41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C5D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4BC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E5F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(6.3)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180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58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0.1040</w:t>
            </w:r>
          </w:p>
        </w:tc>
      </w:tr>
      <w:tr w:rsidR="00D96B10" w:rsidRPr="00D96B10" w14:paraId="6BF975A5" w14:textId="77777777" w:rsidTr="00D2125F">
        <w:trPr>
          <w:trHeight w:val="320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8F48" w14:textId="77777777" w:rsidR="00D96B10" w:rsidRPr="00D96B10" w:rsidRDefault="00D96B10" w:rsidP="00D96B1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i/>
                <w:iCs/>
                <w:color w:val="000000"/>
                <w:sz w:val="20"/>
                <w:szCs w:val="20"/>
              </w:rPr>
              <w:t>At hospital admission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CC7F" w14:textId="77777777" w:rsidR="00D96B10" w:rsidRPr="00D96B10" w:rsidRDefault="00D96B10" w:rsidP="00D96B1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A0C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93E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813F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2B8C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5432782A" w14:textId="77777777" w:rsidTr="00D2125F">
        <w:trPr>
          <w:trHeight w:val="320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2856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Concomitant medications (n (%))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4C93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7B5E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A86D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149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48BE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063930B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8C69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ACE inhibitors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495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 (29.3)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029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19 (33.9)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3E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6F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33 (22.8)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24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(41.2)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234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0.1340</w:t>
            </w:r>
          </w:p>
        </w:tc>
      </w:tr>
      <w:tr w:rsidR="00D96B10" w:rsidRPr="00D96B10" w14:paraId="5502255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C97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Anticoagulants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4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(8.5)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BCD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(18.2)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8A4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0.2330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84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(15.3)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D3A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(29.4)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C6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0.1340</w:t>
            </w:r>
          </w:p>
        </w:tc>
      </w:tr>
      <w:tr w:rsidR="00D96B10" w:rsidRPr="00D96B10" w14:paraId="19ADF5F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09211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66D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6AE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D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530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A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200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0F9D0B03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3087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Insulin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56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17 (23.3)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4C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(44.0)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AB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0.0765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94E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30 (23.1)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C81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1AD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A18A02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3D5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96B10">
              <w:rPr>
                <w:color w:val="000000"/>
                <w:sz w:val="20"/>
                <w:szCs w:val="20"/>
              </w:rPr>
              <w:t>Immunosuppresants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34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(7.3)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381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(10.7)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8FB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0.5942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010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(9.3)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1D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(17.6)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B08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0.6165</w:t>
            </w:r>
          </w:p>
        </w:tc>
      </w:tr>
      <w:tr w:rsidR="00D96B10" w:rsidRPr="00D96B10" w14:paraId="69232A7B" w14:textId="77777777" w:rsidTr="00D2125F">
        <w:trPr>
          <w:trHeight w:val="320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61B0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Comorbidities (n (%))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8A41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E06A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25A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3F9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CE3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66E731EC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1941E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Total number (mean (SD))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F7C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3.4 (2.5)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30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5.2 (3.3)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BA3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DF3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3.6 (2.8)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8F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5.7 (3.1)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D34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0.0027</w:t>
            </w:r>
          </w:p>
        </w:tc>
      </w:tr>
      <w:tr w:rsidR="00D96B10" w:rsidRPr="00D96B10" w14:paraId="3634A3B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31BB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85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(18.3)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7B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(9.1)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F92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0.2698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24B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17 (11.8)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E72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(12.1)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DA5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1B4CD00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90C6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AF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A7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230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(16.1)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CA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0.0963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CB9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(9.7)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55E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(11.8)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BC7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0.7818</w:t>
            </w:r>
          </w:p>
        </w:tc>
      </w:tr>
      <w:tr w:rsidR="00D96B10" w:rsidRPr="00D96B10" w14:paraId="6BA23B1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503A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854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934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11 (19.6)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54F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0.0434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CAA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17 (11.7)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42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(29.4)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E2B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0.0366</w:t>
            </w:r>
          </w:p>
        </w:tc>
      </w:tr>
      <w:tr w:rsidR="00D96B10" w:rsidRPr="00D96B10" w14:paraId="39AE068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15BB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Cardiac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23A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(9.8)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584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3B2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0.5279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C4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(15.2)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DAD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(9.1)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EE5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0.7435</w:t>
            </w:r>
          </w:p>
        </w:tc>
      </w:tr>
      <w:tr w:rsidR="00D96B10" w:rsidRPr="00D96B10" w14:paraId="6702AA91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C2B3F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CKD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0C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(9.9)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3A5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(25.0)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E55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0.0963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0A0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(9.7)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32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11 (32.4)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A9F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0.0115</w:t>
            </w:r>
          </w:p>
        </w:tc>
      </w:tr>
      <w:tr w:rsidR="00D96B10" w:rsidRPr="00D96B10" w14:paraId="5178048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6793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COPD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BBB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(6.3)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1F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(16.1)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F9E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0.1910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FA3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 (8.3)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4F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(26.5)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1A0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0.0311</w:t>
            </w:r>
          </w:p>
        </w:tc>
      </w:tr>
      <w:tr w:rsidR="00D96B10" w:rsidRPr="00D96B10" w14:paraId="593BB9D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2E9FE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CAD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702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(8.5)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F2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(26.8)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7EE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2B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(12.4)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A6B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(23.5)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89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0.2448</w:t>
            </w:r>
          </w:p>
        </w:tc>
      </w:tr>
      <w:tr w:rsidR="00D96B10" w:rsidRPr="00D96B10" w14:paraId="1AB825E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5FED1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63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FA9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7FF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FBA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(2.8)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15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(26.5)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E11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0.0027</w:t>
            </w:r>
          </w:p>
        </w:tc>
      </w:tr>
      <w:tr w:rsidR="00D96B10" w:rsidRPr="00D96B10" w14:paraId="0E3ECC9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3A966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lastRenderedPageBreak/>
              <w:t>Diabetes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FA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 (29.6)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FC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27 (48.2)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D0B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0.0963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54C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50 (34.7)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91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(38.2)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04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0.7818</w:t>
            </w:r>
          </w:p>
        </w:tc>
      </w:tr>
      <w:tr w:rsidR="00D96B10" w:rsidRPr="00D96B10" w14:paraId="16BF4DA6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CB0A7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Dialysis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B5A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B3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281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0.4718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B58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(2.9)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8B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E4D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0.5008</w:t>
            </w:r>
          </w:p>
        </w:tc>
      </w:tr>
      <w:tr w:rsidR="00D96B10" w:rsidRPr="00D96B10" w14:paraId="0E8996D1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293A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1A6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CBD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(7.1)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0E2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0.5374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1BE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(6.9)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58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(20.6)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5F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0.0763</w:t>
            </w:r>
          </w:p>
        </w:tc>
      </w:tr>
      <w:tr w:rsidR="00D96B10" w:rsidRPr="00D96B10" w14:paraId="08DE6AC8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B837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Hematological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7F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DA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(12.5)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94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DE2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(5.5)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824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(14.7)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4D7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0.2022</w:t>
            </w:r>
          </w:p>
        </w:tc>
      </w:tr>
      <w:tr w:rsidR="00D96B10" w:rsidRPr="00D96B10" w14:paraId="25069D4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3360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HIV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727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4E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978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0.5279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FC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3A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0549" w14:textId="12A9C515" w:rsidR="00D96B10" w:rsidRPr="00D96B10" w:rsidRDefault="00272C63" w:rsidP="006E17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D96B10" w:rsidRPr="00D96B10" w14:paraId="6DFFC03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DA6B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354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43 (52.4)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49A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36 (65.5)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086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0.2698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24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65 (44.8)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581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 (70.6)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9D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0.0311</w:t>
            </w:r>
          </w:p>
        </w:tc>
      </w:tr>
      <w:tr w:rsidR="00D96B10" w:rsidRPr="00D96B10" w14:paraId="764E3D60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E6C55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Immunosuppressed state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4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(6.1)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DE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(12.5)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DE7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0.3960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BCB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(9.0)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D2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(20.6)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B0C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0.2022</w:t>
            </w:r>
          </w:p>
        </w:tc>
      </w:tr>
      <w:tr w:rsidR="00D96B10" w:rsidRPr="00D96B10" w14:paraId="035462B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57FB7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624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0C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(8.9)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E68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0.4439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E72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11 (7.6)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33F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1CB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0.7818</w:t>
            </w:r>
          </w:p>
        </w:tc>
      </w:tr>
      <w:tr w:rsidR="00D96B10" w:rsidRPr="00D96B10" w14:paraId="5A08145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CA05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Lung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DE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D12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(16.7)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6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0.0963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DF2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(9.7)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51B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(12.1)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2A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0.7818</w:t>
            </w:r>
          </w:p>
        </w:tc>
      </w:tr>
      <w:tr w:rsidR="00D96B10" w:rsidRPr="00D96B10" w14:paraId="3BF6C1E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037F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Malnutrition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F6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B4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DFC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0.5279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9D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C4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CB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0.5024</w:t>
            </w:r>
          </w:p>
        </w:tc>
      </w:tr>
      <w:tr w:rsidR="00D96B10" w:rsidRPr="00D96B10" w14:paraId="734CF02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9451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119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E1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BD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0.1910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85E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(3.4)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330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94C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0.7597</w:t>
            </w:r>
          </w:p>
        </w:tc>
      </w:tr>
      <w:tr w:rsidR="00D96B10" w:rsidRPr="00D96B10" w14:paraId="565FCB1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6E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Neurological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345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(7.4)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E1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(7.3)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9E3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584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(9.7)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93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(15.2)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258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0.5083</w:t>
            </w:r>
          </w:p>
        </w:tc>
      </w:tr>
      <w:tr w:rsidR="00D96B10" w:rsidRPr="00D96B10" w14:paraId="78EC00E6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0095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982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26 (32.1)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4E4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(9.6)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335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3FB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26 (18.3)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90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(9.4)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7F3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0.3969</w:t>
            </w:r>
          </w:p>
        </w:tc>
      </w:tr>
      <w:tr w:rsidR="00D96B10" w:rsidRPr="00D96B10" w14:paraId="17D4B0C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B5FEF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Psychiatric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08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(9.8)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24D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(8.9)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EBC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EAF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11 (7.7)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6B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(11.8)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EC0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0.6650</w:t>
            </w:r>
          </w:p>
        </w:tc>
      </w:tr>
      <w:tr w:rsidR="00D96B10" w:rsidRPr="00D96B10" w14:paraId="497D07C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F688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353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A34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17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0.5279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5AF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DB2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D2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0.3684</w:t>
            </w:r>
          </w:p>
        </w:tc>
      </w:tr>
      <w:tr w:rsidR="00D96B10" w:rsidRPr="00D96B10" w14:paraId="09D78CEF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0B13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Rheumatologic disease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725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(6.1)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C07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399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0.2471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738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(10.5)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61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(20.6)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C62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0.3001</w:t>
            </w:r>
          </w:p>
        </w:tc>
      </w:tr>
      <w:tr w:rsidR="00D96B10" w:rsidRPr="00D96B10" w14:paraId="77C36183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6657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2B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CC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(7.3)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E31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0.7992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007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7D0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(18.2)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3B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0.0054</w:t>
            </w:r>
          </w:p>
        </w:tc>
      </w:tr>
      <w:tr w:rsidR="00D96B10" w:rsidRPr="00D96B10" w14:paraId="1B20DAE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0D43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TIA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95A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06A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00F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0.6584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406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712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E44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0.2177</w:t>
            </w:r>
          </w:p>
        </w:tc>
      </w:tr>
      <w:tr w:rsidR="00D96B10" w:rsidRPr="00D96B10" w14:paraId="730CF8EB" w14:textId="77777777" w:rsidTr="00D2125F">
        <w:trPr>
          <w:trHeight w:val="320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98AC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COVID-19 Symptoms (n (%))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6A3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C120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AE28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23F2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FF0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5AE830D8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63F9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Total number (mean (SD))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47A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5.3 (3.1)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739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4.6 (2.5)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E64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39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5.4 (3.0)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90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4.1 (1.5)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5CB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0.2500</w:t>
            </w:r>
          </w:p>
        </w:tc>
      </w:tr>
      <w:tr w:rsidR="00D96B10" w:rsidRPr="00D96B10" w14:paraId="6D97478C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6A4F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96B10">
              <w:rPr>
                <w:color w:val="000000"/>
                <w:sz w:val="20"/>
                <w:szCs w:val="20"/>
              </w:rPr>
              <w:t>Abdonminal</w:t>
            </w:r>
            <w:proofErr w:type="spellEnd"/>
            <w:r w:rsidRPr="00D96B10">
              <w:rPr>
                <w:color w:val="000000"/>
                <w:sz w:val="20"/>
                <w:szCs w:val="20"/>
              </w:rPr>
              <w:t xml:space="preserve"> Pain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563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(8.5)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68D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240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A4A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19 (13.1)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73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(9.1)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4AE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0.9626</w:t>
            </w:r>
          </w:p>
        </w:tc>
      </w:tr>
      <w:tr w:rsidR="00D96B10" w:rsidRPr="00D96B10" w14:paraId="1B4E86B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0B89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Anosmia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BC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(15.9)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AF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F4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0.1625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538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19 (13.1)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DE0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6E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0.7194</w:t>
            </w:r>
          </w:p>
        </w:tc>
      </w:tr>
      <w:tr w:rsidR="00D96B10" w:rsidRPr="00D96B10" w14:paraId="4E0FC1D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2EDC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Appetite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AAB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(26.8)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EEC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 (21.4)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CF9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0.7184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28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39 (26.9)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A00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(30.3)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36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0.9618</w:t>
            </w:r>
          </w:p>
        </w:tc>
      </w:tr>
      <w:tr w:rsidR="00D96B10" w:rsidRPr="00D96B10" w14:paraId="22E2E21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B8395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Arthralgia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D3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(7.3)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6E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B69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FB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6C0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CA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0.9294</w:t>
            </w:r>
          </w:p>
        </w:tc>
      </w:tr>
      <w:tr w:rsidR="00D96B10" w:rsidRPr="00D96B10" w14:paraId="541AD4D3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98EF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Chest pain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3D9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25 (30.5)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1D1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(32.1)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1D9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0.9799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A0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40 (27.6)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1E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(18.2)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9E4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0.6635</w:t>
            </w:r>
          </w:p>
        </w:tc>
      </w:tr>
      <w:tr w:rsidR="00D96B10" w:rsidRPr="00D96B10" w14:paraId="4742BD0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38F3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F1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(8.5)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A7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(23.2)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C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0.1625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F5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(10.3)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144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(9.1)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4E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6CADEB7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A3B8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Cough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4F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59 (72.0)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9F2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32 (57.1)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05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0.3098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65D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108 (74.5)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6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20 (60.6)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05D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0.5470</w:t>
            </w:r>
          </w:p>
        </w:tc>
      </w:tr>
      <w:tr w:rsidR="00D96B10" w:rsidRPr="00D96B10" w14:paraId="7BE611B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EC92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14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(26.8)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77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C14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0.3188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5E1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43 (29.7)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991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(15.2)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BCE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0.5470</w:t>
            </w:r>
          </w:p>
        </w:tc>
      </w:tr>
      <w:tr w:rsidR="00D96B10" w:rsidRPr="00D96B10" w14:paraId="7D94C1C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2EE6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Dizziness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ADF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(11.0)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3C9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(8.9)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495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0.9324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DE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(15.2)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7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290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0.6635</w:t>
            </w:r>
          </w:p>
        </w:tc>
      </w:tr>
      <w:tr w:rsidR="00D96B10" w:rsidRPr="00D96B10" w14:paraId="5A904326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B50D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Dysphagia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A4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AA9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87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C2B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10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AFC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51B5EB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CDFF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Dyspnea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2A4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75 (91.5)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6D5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47 (83.9)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98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0.4283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711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135 (93.1)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B2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28 (84.8)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34C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0.6633</w:t>
            </w:r>
          </w:p>
        </w:tc>
      </w:tr>
      <w:tr w:rsidR="00D96B10" w:rsidRPr="00D96B10" w14:paraId="1472E6C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D357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Edema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36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3B2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(7.1)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7EA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0.4986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9B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FCC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199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D751E8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B1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 xml:space="preserve">Extremity weakness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6E9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(11.0)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5B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(12.5)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CFC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0.9417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662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26 (17.9)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40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(9.1)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17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0.6635</w:t>
            </w:r>
          </w:p>
        </w:tc>
      </w:tr>
      <w:tr w:rsidR="00D96B10" w:rsidRPr="00D96B10" w14:paraId="2828B7F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17697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4C4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47 (57.3)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4BC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29 (51.8)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0C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0.7788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056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89 (61.4)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AEC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19 (57.6)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675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0.9618</w:t>
            </w:r>
          </w:p>
        </w:tc>
      </w:tr>
      <w:tr w:rsidR="00D96B10" w:rsidRPr="00D96B10" w14:paraId="052CD01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740C6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9E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56 (68.3)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BCA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 (66.1)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AD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0.9417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806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97 (66.9)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B3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19 (57.6)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6D2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0.7027</w:t>
            </w:r>
          </w:p>
        </w:tc>
      </w:tr>
      <w:tr w:rsidR="00D96B10" w:rsidRPr="00D96B10" w14:paraId="645EB97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777B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894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 (14.6)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AC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78A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0.3188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07B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31 (21.4)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0D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A1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0.2500</w:t>
            </w:r>
          </w:p>
        </w:tc>
      </w:tr>
      <w:tr w:rsidR="00D96B10" w:rsidRPr="00D96B10" w14:paraId="3851A36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F1AE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lastRenderedPageBreak/>
              <w:t>Myalgia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CB3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 (29.3)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7B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24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0.2199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550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34 (23.4)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2C8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09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0.2500</w:t>
            </w:r>
          </w:p>
        </w:tc>
      </w:tr>
      <w:tr w:rsidR="00D96B10" w:rsidRPr="00D96B10" w14:paraId="2C575CE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6898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Nausea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5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 (17.1)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802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32E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0.9038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A0C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17 (11.7)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DCB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(15.2)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033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0.9294</w:t>
            </w:r>
          </w:p>
        </w:tc>
      </w:tr>
      <w:tr w:rsidR="00D96B10" w:rsidRPr="00D96B10" w14:paraId="232F628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3D06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Rhinorrhea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BC8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E26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A2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20C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(4.1)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43A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E8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0.9294</w:t>
            </w:r>
          </w:p>
        </w:tc>
      </w:tr>
      <w:tr w:rsidR="00D96B10" w:rsidRPr="00D96B10" w14:paraId="76910F08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3D4C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Seizure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645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02F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BC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B3E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12E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8A7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0.7027</w:t>
            </w:r>
          </w:p>
        </w:tc>
      </w:tr>
      <w:tr w:rsidR="00D96B10" w:rsidRPr="00D96B10" w14:paraId="3BF68BB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AA64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Skin rash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11A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588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647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2E8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A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C43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17EB714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6B8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Sore throat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076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(12.2)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7B3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(10.7)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D34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0.9417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889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16 (11.0)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C00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B43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0.6635</w:t>
            </w:r>
          </w:p>
        </w:tc>
      </w:tr>
      <w:tr w:rsidR="00D96B10" w:rsidRPr="00D96B10" w14:paraId="3874420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4AB3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Sputum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C2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(6.1)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8A1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(10.7)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44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0.6527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F49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(9.0)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E9F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E57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0.9626</w:t>
            </w:r>
          </w:p>
        </w:tc>
      </w:tr>
      <w:tr w:rsidR="00D96B10" w:rsidRPr="00D96B10" w14:paraId="2A85199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DB2E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Wheezing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41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24F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0AA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346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(4.1)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93E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F7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2851B32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33EB2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Vital Signs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D22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A5D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6EE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CF2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2EEF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49AA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1708219B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1F7E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Diastolic BP [mmHg]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0A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74.7 (12.6)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59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72.7 (12.7)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E1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296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75.2 (11.3)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31F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71.7 (14.5)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6B7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0.2515</w:t>
            </w:r>
          </w:p>
        </w:tc>
      </w:tr>
      <w:tr w:rsidR="00D96B10" w:rsidRPr="00D96B10" w14:paraId="2CB62F90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FB9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Systolic BP [mmHg]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5B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127.8 (24.2)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F13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130.2 (25.2)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06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4E7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129.2 (20.6)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78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127.6 (28.3)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485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0.3143</w:t>
            </w:r>
          </w:p>
        </w:tc>
      </w:tr>
      <w:tr w:rsidR="00D96B10" w:rsidRPr="00D96B10" w14:paraId="510721F3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B67C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Heart rate [/min]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12A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97.9 (19.8)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868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94.8 (17.5)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04A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3E8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96.8 (20.3)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70B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92.1 (20.8)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A9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0.3143</w:t>
            </w:r>
          </w:p>
        </w:tc>
      </w:tr>
      <w:tr w:rsidR="00D96B10" w:rsidRPr="00D96B10" w14:paraId="10542BCC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E4FCE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Respiratory rate [/min]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43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27.8 (8.0)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E60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25.2 (6.5)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58E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0.5803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6E8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26.0 (7.6)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7F7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24.0 (6.6)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E27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0.3143</w:t>
            </w:r>
          </w:p>
        </w:tc>
      </w:tr>
      <w:tr w:rsidR="00D96B10" w:rsidRPr="00D96B10" w14:paraId="1A8366A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0F8A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Temperature [C]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7D8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37.3 (1.0)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F5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37.3 (0.8)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D8F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DF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37.3 (1.0)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108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37.4 (1.0)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1E6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0.5407</w:t>
            </w:r>
          </w:p>
        </w:tc>
      </w:tr>
      <w:tr w:rsidR="00D96B10" w:rsidRPr="00D96B10" w14:paraId="4B8F2C2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6C2DB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Lab results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1464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916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2C7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890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E836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28AD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2975F064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D633A" w14:textId="2203EC0E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WBC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957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10.0 (5.1)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D78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10.2 (7.0)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874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921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8.4 (4.8)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B03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9.2 (5.8)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C4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0.8411</w:t>
            </w:r>
          </w:p>
        </w:tc>
      </w:tr>
      <w:tr w:rsidR="00D96B10" w:rsidRPr="00D96B10" w14:paraId="45EBC469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3E952" w14:textId="54146034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Basophile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C31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0.008 (0.02)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E3B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0.007 (0.02)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4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0.7902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BFB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0.01 (0.02)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FD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 (0.1)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970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0.0837</w:t>
            </w:r>
          </w:p>
        </w:tc>
      </w:tr>
      <w:tr w:rsidR="00D96B10" w:rsidRPr="00D96B10" w14:paraId="0789D57B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BF33" w14:textId="30A64E31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Eosinophile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AC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0.04 (0.2)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9F7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0.02 (0.1)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FBC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40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0.02 (0.1)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AA0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0.02 (0.1)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5A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0.3859</w:t>
            </w:r>
          </w:p>
        </w:tc>
      </w:tr>
      <w:tr w:rsidR="00D96B10" w:rsidRPr="00D96B10" w14:paraId="66733650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F8F99" w14:textId="1DB3A733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Lymphocyte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CF1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 (0.6)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933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 (1.9)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04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0.9142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5F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 (0.5)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D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 (0.5)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E40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0.8067</w:t>
            </w:r>
          </w:p>
        </w:tc>
      </w:tr>
      <w:tr w:rsidR="00D96B10" w:rsidRPr="00D96B10" w14:paraId="7C553608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77D5E" w14:textId="068BF000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Monocyte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64F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 (0.4)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EF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 (1.2)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42F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0A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 (0.4)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F55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 (0.6)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59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0.3859</w:t>
            </w:r>
          </w:p>
        </w:tc>
      </w:tr>
      <w:tr w:rsidR="00D96B10" w:rsidRPr="00D96B10" w14:paraId="6BF9FF74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6CB90" w14:textId="568E4348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Neutrophil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3A7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8.5 (4.8)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ABE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8.2 (4.7)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4BE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C35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6.9 (4.2)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EC6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7.5 (5.1)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2D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0.8659</w:t>
            </w:r>
          </w:p>
        </w:tc>
      </w:tr>
      <w:tr w:rsidR="00D96B10" w:rsidRPr="00D96B10" w14:paraId="04E6E3C1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9E71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Haemoglobin [g/L]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86F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132.3 (20.6)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7B1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125.8 (15.1)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CE2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0.7308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EC9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132.2 (20.3)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18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130.8 (25.5)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E9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0.8067</w:t>
            </w:r>
          </w:p>
        </w:tc>
      </w:tr>
      <w:tr w:rsidR="00D96B10" w:rsidRPr="00D96B10" w14:paraId="7AAD4969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C2786" w14:textId="729A3279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Platelet count [x10</w:t>
            </w:r>
            <w:r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134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227.8 (99.6)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3FB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218.4 (95.1)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72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A2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228.4 (101.9)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D3A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183.0 (75.4)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8FE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0.0837</w:t>
            </w:r>
          </w:p>
        </w:tc>
      </w:tr>
      <w:tr w:rsidR="00D96B10" w:rsidRPr="00D96B10" w14:paraId="2439E48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63FB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ALT [U/L]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87E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149.0 (545.2)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570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52.0 (51.1)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FC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457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44.7 (31.6)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E7D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37.1 (32.5)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797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0.3859</w:t>
            </w:r>
          </w:p>
        </w:tc>
      </w:tr>
      <w:tr w:rsidR="00D96B10" w:rsidRPr="00D96B10" w14:paraId="5EE62B8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E2C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Creatinine [</w:t>
            </w:r>
            <w:proofErr w:type="spellStart"/>
            <w:r w:rsidRPr="00D96B10">
              <w:rPr>
                <w:color w:val="000000"/>
                <w:sz w:val="20"/>
                <w:szCs w:val="20"/>
              </w:rPr>
              <w:t>umol</w:t>
            </w:r>
            <w:proofErr w:type="spellEnd"/>
            <w:r w:rsidRPr="00D96B10">
              <w:rPr>
                <w:color w:val="000000"/>
                <w:sz w:val="20"/>
                <w:szCs w:val="20"/>
              </w:rPr>
              <w:t>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687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132.3 (175.6)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B9A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135.3 (115.9)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C3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0.9142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CC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110.5 (161.4)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319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154.8 (91.6)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909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0.0036</w:t>
            </w:r>
          </w:p>
        </w:tc>
      </w:tr>
      <w:tr w:rsidR="00D96B10" w:rsidRPr="00D96B10" w14:paraId="7A4F312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FB93F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Glucose [mmol/L]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875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9.9 (4.9)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070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10.6 (4.9)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58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FEE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8.4 (4.0)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3B2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8.0 (4.4)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74A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0.8067</w:t>
            </w:r>
          </w:p>
        </w:tc>
      </w:tr>
      <w:tr w:rsidR="00D96B10" w:rsidRPr="00D96B10" w14:paraId="104F99E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3D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Potassium [mmol/L]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97C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4.2 (0.7)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9AF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4.2 (0.5)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B2C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DA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4.1 (0.5)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54D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4.3 (0.9)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AA2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0.8411</w:t>
            </w:r>
          </w:p>
        </w:tc>
      </w:tr>
      <w:tr w:rsidR="00D96B10" w:rsidRPr="00D96B10" w14:paraId="1CDE5C48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F9AD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Sodium [mmol/L]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04B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137.7 (5.2)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116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137.5 (5.7)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D73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0.9656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063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136.6 (4.6)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A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137.8 (5.7)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FC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0.8067</w:t>
            </w:r>
          </w:p>
        </w:tc>
      </w:tr>
      <w:tr w:rsidR="00D96B10" w:rsidRPr="00D96B10" w14:paraId="3C494141" w14:textId="77777777" w:rsidTr="00D2125F">
        <w:trPr>
          <w:trHeight w:val="320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ED9B" w14:textId="77777777" w:rsidR="00D96B10" w:rsidRPr="00D96B10" w:rsidRDefault="00D96B10" w:rsidP="00D96B1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i/>
                <w:iCs/>
                <w:color w:val="000000"/>
                <w:sz w:val="20"/>
                <w:szCs w:val="20"/>
              </w:rPr>
              <w:t>During hospitalization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16AB" w14:textId="77777777" w:rsidR="00D96B10" w:rsidRPr="00D96B10" w:rsidRDefault="00D96B10" w:rsidP="00D96B1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8346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F68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D08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1205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6E92DF2C" w14:textId="77777777" w:rsidTr="00D2125F">
        <w:trPr>
          <w:trHeight w:val="320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229E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Hospitalization details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698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DFA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19C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39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97A8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0175A8F4" w14:textId="77777777" w:rsidTr="00D2125F">
        <w:trPr>
          <w:trHeight w:val="86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87E5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lastRenderedPageBreak/>
              <w:t>Number of days hospitalized (mean (SD))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3E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37.8 (38.7)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95A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30.5 (29.3)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257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6BD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18.8 (22.4)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417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21.7 (21.3)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47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0.3404</w:t>
            </w:r>
          </w:p>
        </w:tc>
      </w:tr>
      <w:tr w:rsidR="00D96B10" w:rsidRPr="00D96B10" w14:paraId="46BFE2C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F457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ICU stay (n (%))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181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78 (95.1)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B1A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50 (89.3)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824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0.5865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239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90 (62.1)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94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20 (58.8)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9C8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0.7264</w:t>
            </w:r>
          </w:p>
        </w:tc>
      </w:tr>
      <w:tr w:rsidR="00D96B10" w:rsidRPr="00D96B10" w14:paraId="690021CA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C6F1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Number of days in ICU (mean (SD))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D46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22.4 (29.8)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70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29.6 (30.5)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238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0.0527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D78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10.0 (13.9)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B48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22.3 (24.0)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9DD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0.0009</w:t>
            </w:r>
          </w:p>
        </w:tc>
      </w:tr>
      <w:tr w:rsidR="00D96B10" w:rsidRPr="00D96B10" w14:paraId="22B74796" w14:textId="77777777" w:rsidTr="00D2125F">
        <w:trPr>
          <w:trHeight w:val="32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41E9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Complications - Other than ARDS (n (%))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6755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9A1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E6B4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72EA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612456C1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2116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AKI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299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34 (42.0)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F7F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34 (60.7)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FA8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0.1447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9B7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20 (13.9)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61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16 (47.1)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8A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0.0031</w:t>
            </w:r>
          </w:p>
        </w:tc>
      </w:tr>
      <w:tr w:rsidR="00D96B10" w:rsidRPr="00D96B10" w14:paraId="5B7914B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11A5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Anemia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2A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20 (24.4)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8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(40.0)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BF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0.1724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404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27 (18.6)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D2C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(23.5)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832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D52CFC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C3DA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Arrest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1C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8B1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FC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0.0273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72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DDA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4C3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</w:tr>
      <w:tr w:rsidR="00D96B10" w:rsidRPr="00D96B10" w14:paraId="4C4B3B2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AA6E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Arrythmia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545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(6.1)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790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(18.5)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AD9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0.1198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F4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(4.8)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6BB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887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60EF2B9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8A72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AF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2DA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 (14.6)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F3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(14.5)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06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15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(4.9)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05F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664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03A298F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8A36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Bacteremia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E5A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17 (20.7)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6A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(27.8)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A0C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0.6064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F3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(4.8)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4E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A66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2615B33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94DF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79C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170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C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4E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880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3AA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0FA64C6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8442E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DVT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695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CCC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B61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F74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7E5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(6.1)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84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0.4114</w:t>
            </w:r>
          </w:p>
        </w:tc>
      </w:tr>
      <w:tr w:rsidR="00D96B10" w:rsidRPr="00D96B10" w14:paraId="3DA6E5E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D4355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DIC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E1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6A0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F9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6D1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327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D54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45FB6211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E91F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Endocarditis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137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886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D9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42C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9E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447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</w:tr>
      <w:tr w:rsidR="00D96B10" w:rsidRPr="00D96B10" w14:paraId="17EF543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DF6C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GI bleed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B0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A37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2B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739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C33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F5A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0.5352</w:t>
            </w:r>
          </w:p>
        </w:tc>
      </w:tr>
      <w:tr w:rsidR="00D96B10" w:rsidRPr="00D96B10" w14:paraId="09FA507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DBDCE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782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4B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(11.1)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0DE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0.1850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48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0AA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D61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5B90928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E389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Hyperglycemia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557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33 (40.7)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C6A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26 (47.3)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F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0.6892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1AE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29 (20.3)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FAE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CB8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0.3050</w:t>
            </w:r>
          </w:p>
        </w:tc>
      </w:tr>
      <w:tr w:rsidR="00D96B10" w:rsidRPr="00D96B10" w14:paraId="69EC3993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11AD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Hypernatremia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DB9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(6.1)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AF2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F8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0.2173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E7B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073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713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06C2C6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99A2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Hypoglycemia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137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(2.5)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CBD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E55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8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(4.1)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2B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C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C2D01A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F8F1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Hyponatremia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E10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(11.0)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B7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(9.1)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8F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0.8989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D8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318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B44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6EAA6F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43E4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LVF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E6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(5.4)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FA5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EC8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0.5794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690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(4.7)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330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1BD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113CA87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4BFC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11F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17 (20.7)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981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(16.4)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406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0.7734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FEF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(12.4)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4F7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DDE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0.5061</w:t>
            </w:r>
          </w:p>
        </w:tc>
      </w:tr>
      <w:tr w:rsidR="00D96B10" w:rsidRPr="00D96B10" w14:paraId="6BFB3C1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69445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NSTEMI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152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(11.0)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425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(10.9)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FC0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09B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(5.5)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3F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CA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3E415E2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E421D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Pancreatitis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5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F34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D4A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70E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EE8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180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110024C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4BC5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C00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19 (23.2)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9A6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11 (20.0)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E3F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B5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(6.9)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EB1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F7A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0FFBECD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FAEF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Pericarditis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67A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C89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CDD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30F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F2E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883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1400BA6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7BA1B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Pleural effusion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6C6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(15.9)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C0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 (21.8)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009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0.6510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3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13 (9.0)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5D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 (29.4)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B77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0.0341</w:t>
            </w:r>
          </w:p>
        </w:tc>
      </w:tr>
      <w:tr w:rsidR="00D96B10" w:rsidRPr="00D96B10" w14:paraId="09DEF54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B0D3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84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29 (35.8)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EE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29 (52.7)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64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0.1724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54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23 (16.0)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06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(12.1)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E8F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07CE3C44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4D0E7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Pneumonitis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08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43 (52.4)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C00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24 (43.6)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436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0.5865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A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50 (34.7)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204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(52.9)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FA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0.3050</w:t>
            </w:r>
          </w:p>
        </w:tc>
      </w:tr>
      <w:tr w:rsidR="00D96B10" w:rsidRPr="00D96B10" w14:paraId="63D05DC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AB65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Pneumothorax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5BC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(7.3)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C20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9 (16.4)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D2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0.2474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B0E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(3.5)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D1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94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271DC39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B839F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Rhabdomyolysis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82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D7D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(9.3)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114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A78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D9B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C62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0.5352</w:t>
            </w:r>
          </w:p>
        </w:tc>
      </w:tr>
      <w:tr w:rsidR="00D96B10" w:rsidRPr="00D96B10" w14:paraId="20622EE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5A0F8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Seizure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22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BBF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5AA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934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3BB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65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0.5352</w:t>
            </w:r>
          </w:p>
        </w:tc>
      </w:tr>
      <w:tr w:rsidR="00D96B10" w:rsidRPr="00D96B10" w14:paraId="2055A4F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DB84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STEMI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07E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1FA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727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57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FC4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2E0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64BC5A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6985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DCD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5BF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7C4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0.1850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6A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6FC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CF5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0.4114</w:t>
            </w:r>
          </w:p>
        </w:tc>
      </w:tr>
      <w:tr w:rsidR="00D96B10" w:rsidRPr="00D96B10" w14:paraId="7550727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976C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TIA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AA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FC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BCB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72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056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392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2665092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2F85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VT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CC5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8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(10.9)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40E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0.0956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B3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F4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(3.0)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798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0.8801</w:t>
            </w:r>
          </w:p>
        </w:tc>
      </w:tr>
      <w:tr w:rsidR="00D96B10" w:rsidRPr="00D96B10" w14:paraId="4C5F4F07" w14:textId="77777777" w:rsidTr="00D2125F">
        <w:trPr>
          <w:trHeight w:val="320"/>
        </w:trPr>
        <w:tc>
          <w:tcPr>
            <w:tcW w:w="6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C0EA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Drug treatments administered - Other than corticosteroids (n (%))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9C9D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F11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31358C9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7934F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Antifungal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40C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(22.0)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D3C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20 (35.7)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49F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0.2082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3AB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(5.5)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18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 (23.5)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ADA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0.0272</w:t>
            </w:r>
          </w:p>
        </w:tc>
      </w:tr>
      <w:tr w:rsidR="00D96B10" w:rsidRPr="00D96B10" w14:paraId="2F27CBA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EF596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lastRenderedPageBreak/>
              <w:t>Azithromycin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3F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64 (78.0)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F65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39 (69.6)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F64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0.5497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65C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87 (60.0)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390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18 (52.9)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577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0.8536</w:t>
            </w:r>
          </w:p>
        </w:tc>
      </w:tr>
      <w:tr w:rsidR="00D96B10" w:rsidRPr="00D96B10" w14:paraId="76F434C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206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Chloroquine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317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7E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C5E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0.6558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D88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9F6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459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235CDD6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AB97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38E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FF9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2AB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30E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(3.4)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207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CD4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0.9041</w:t>
            </w:r>
          </w:p>
        </w:tc>
      </w:tr>
      <w:tr w:rsidR="00D96B10" w:rsidRPr="00D96B10" w14:paraId="0E2E21C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BE2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Hydroxychloroquine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C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D3C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7F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0.6558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737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1A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9D3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</w:tr>
      <w:tr w:rsidR="00D96B10" w:rsidRPr="00D96B10" w14:paraId="215EC8D3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18E81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96B10">
              <w:rPr>
                <w:color w:val="000000"/>
                <w:sz w:val="20"/>
                <w:szCs w:val="20"/>
              </w:rPr>
              <w:t>Invermectin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B6D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(3.7)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6F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(5.4)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C8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0.8799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D8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(3.4)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F82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(2.9)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A00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1F294A9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AFFA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IVIG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4C1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9B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55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EB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 (2.1)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828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212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1C9E5C41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E0503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Kineret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3A5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741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874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8C7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(3.4)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881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87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0.9041</w:t>
            </w:r>
          </w:p>
        </w:tc>
      </w:tr>
      <w:tr w:rsidR="00D96B10" w:rsidRPr="00D96B10" w14:paraId="2E8695B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5E4BC" w14:textId="11355060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Other Antibiotics</w:t>
            </w:r>
            <w:r w:rsidR="00643329" w:rsidRPr="006A537A">
              <w:rPr>
                <w:rStyle w:val="FootnoteReference"/>
              </w:rPr>
              <w:footnoteReference w:id="4"/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BFD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73 (89.0)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4FC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54 (96.4)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0B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0.4527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57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107 (73.8)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2C2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32 (94.1)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0D7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0.0595</w:t>
            </w:r>
          </w:p>
        </w:tc>
      </w:tr>
      <w:tr w:rsidR="00D96B10" w:rsidRPr="00D96B10" w14:paraId="095E98B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B038B" w14:textId="72B13370" w:rsidR="00D96B10" w:rsidRPr="00643329" w:rsidRDefault="00D96B10" w:rsidP="00D96B10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D96B10">
              <w:rPr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D96B10">
              <w:rPr>
                <w:color w:val="000000"/>
                <w:sz w:val="20"/>
                <w:szCs w:val="20"/>
              </w:rPr>
              <w:t>Antivirals</w:t>
            </w:r>
            <w:r w:rsidR="00643329">
              <w:rPr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D8D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A45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(8.9)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6D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24E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100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6 (17.6)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8A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0.0119</w:t>
            </w:r>
          </w:p>
        </w:tc>
      </w:tr>
      <w:tr w:rsidR="00D96B10" w:rsidRPr="00D96B10" w14:paraId="3D422828" w14:textId="77777777" w:rsidTr="00D2125F">
        <w:trPr>
          <w:trHeight w:val="5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547A0" w14:textId="2A70EF30" w:rsidR="00D96B10" w:rsidRPr="00643329" w:rsidRDefault="00D96B10" w:rsidP="00D96B10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D96B10">
              <w:rPr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D96B10">
              <w:rPr>
                <w:color w:val="000000"/>
                <w:sz w:val="20"/>
                <w:szCs w:val="20"/>
              </w:rPr>
              <w:t>immunomodulator</w:t>
            </w:r>
            <w:r w:rsidR="00643329">
              <w:rPr>
                <w:color w:val="000000"/>
                <w:sz w:val="20"/>
                <w:szCs w:val="20"/>
              </w:rPr>
              <w:t>s</w:t>
            </w:r>
            <w:r w:rsidR="00643329">
              <w:rPr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7FD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511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(8.9)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0F2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0.2942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4A4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7 (4.8)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554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(11.8)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ED5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0.6355</w:t>
            </w:r>
          </w:p>
        </w:tc>
      </w:tr>
      <w:tr w:rsidR="00D96B10" w:rsidRPr="00D96B10" w14:paraId="06124F70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B6DC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70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4E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69C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C4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B93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(5.9)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FD2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0.5566</w:t>
            </w:r>
          </w:p>
        </w:tc>
      </w:tr>
      <w:tr w:rsidR="00D96B10" w:rsidRPr="00D96B10" w14:paraId="656A79DA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E35FC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Remdesivir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42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(18.3)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3AE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(7.1)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9E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0.1850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49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30 (20.7)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F5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 (14.7)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116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0.8536</w:t>
            </w:r>
          </w:p>
        </w:tc>
      </w:tr>
      <w:tr w:rsidR="00D96B10" w:rsidRPr="00D96B10" w14:paraId="3623EA3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18D71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FB7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24A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A4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39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3C1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AB2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5591255E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99B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Sarilumab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234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F01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(3.6)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96D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0.8111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F40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35B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7569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</w:tr>
      <w:tr w:rsidR="00D96B10" w:rsidRPr="00D96B10" w14:paraId="70F73217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37A64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Stem cells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0FB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B575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D4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7A57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2482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855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</w:tr>
      <w:tr w:rsidR="00D96B10" w:rsidRPr="00D96B10" w14:paraId="4CCED935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98900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Tocilizumab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D6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31 (37.8)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16B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 (21.4)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3D78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0.1538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152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44 (30.3)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B2D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 (11.8)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9E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0.1177</w:t>
            </w:r>
          </w:p>
        </w:tc>
      </w:tr>
      <w:tr w:rsidR="00D96B10" w:rsidRPr="00D96B10" w14:paraId="576E7CEC" w14:textId="77777777" w:rsidTr="00D2125F">
        <w:trPr>
          <w:trHeight w:val="32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9920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6B10">
              <w:rPr>
                <w:b/>
                <w:bCs/>
                <w:color w:val="000000"/>
                <w:sz w:val="20"/>
                <w:szCs w:val="20"/>
              </w:rPr>
              <w:t>Non-drug interventions administered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366A" w14:textId="77777777" w:rsidR="00D96B10" w:rsidRPr="00D96B10" w:rsidRDefault="00D96B10" w:rsidP="00D9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7FE3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F935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6CF9" w14:textId="77777777" w:rsidR="00D96B10" w:rsidRPr="00D96B10" w:rsidRDefault="00D96B10" w:rsidP="00D96B10">
            <w:pPr>
              <w:rPr>
                <w:sz w:val="20"/>
                <w:szCs w:val="20"/>
              </w:rPr>
            </w:pPr>
          </w:p>
        </w:tc>
      </w:tr>
      <w:tr w:rsidR="00D96B10" w:rsidRPr="00D96B10" w14:paraId="12CC512B" w14:textId="77777777" w:rsidTr="00D2125F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B5C3A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O2 therapy (n (%))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E58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82 (100.0)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385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55 (100.0)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782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671D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140 (100.0)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450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33 (100.0)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046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NA</w:t>
            </w:r>
          </w:p>
        </w:tc>
      </w:tr>
      <w:tr w:rsidR="00D96B10" w:rsidRPr="00D96B10" w14:paraId="19321CC6" w14:textId="77777777" w:rsidTr="00530E42">
        <w:trPr>
          <w:trHeight w:val="580"/>
        </w:trPr>
        <w:tc>
          <w:tcPr>
            <w:tcW w:w="18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3529F6F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Number of days O2 therapy (mean (SD))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43B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30.9 (36.0)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580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30.8 (33.7)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622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63CB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12.3 (17.8)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177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22.0 (19.3)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82E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0.0072</w:t>
            </w:r>
          </w:p>
        </w:tc>
      </w:tr>
      <w:tr w:rsidR="00D96B10" w:rsidRPr="00D96B10" w14:paraId="605643B0" w14:textId="77777777" w:rsidTr="00530E42">
        <w:trPr>
          <w:trHeight w:val="320"/>
        </w:trPr>
        <w:tc>
          <w:tcPr>
            <w:tcW w:w="18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68629" w14:textId="77777777" w:rsidR="00D96B10" w:rsidRPr="00D96B10" w:rsidRDefault="00D96B10" w:rsidP="00D96B10">
            <w:pPr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IVM (n (%))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5AF81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43 (52.4)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D52F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44 (78.6)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14683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0.0182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AF2A6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22 (15.2)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B82BA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15 (44.1)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2EACC" w14:textId="77777777" w:rsidR="00D96B10" w:rsidRPr="00D96B10" w:rsidRDefault="00D96B10" w:rsidP="006E178B">
            <w:pPr>
              <w:jc w:val="center"/>
              <w:rPr>
                <w:color w:val="000000"/>
                <w:sz w:val="20"/>
                <w:szCs w:val="20"/>
              </w:rPr>
            </w:pPr>
            <w:r w:rsidRPr="00D96B10">
              <w:rPr>
                <w:color w:val="000000"/>
                <w:sz w:val="20"/>
                <w:szCs w:val="20"/>
              </w:rPr>
              <w:t>0.0036</w:t>
            </w:r>
          </w:p>
        </w:tc>
      </w:tr>
    </w:tbl>
    <w:p w14:paraId="4B44F7A9" w14:textId="77777777" w:rsidR="00D2125F" w:rsidRDefault="00D2125F" w:rsidP="00C71058">
      <w:pPr>
        <w:rPr>
          <w:b/>
          <w:bCs/>
        </w:rPr>
      </w:pPr>
    </w:p>
    <w:p w14:paraId="7E3E013C" w14:textId="3AD31D36" w:rsidR="00D2125F" w:rsidRDefault="00D2125F">
      <w:pPr>
        <w:rPr>
          <w:b/>
          <w:bCs/>
        </w:rPr>
      </w:pPr>
      <w:r>
        <w:rPr>
          <w:b/>
          <w:bCs/>
        </w:rPr>
        <w:br w:type="page"/>
      </w:r>
    </w:p>
    <w:p w14:paraId="22397BC1" w14:textId="67C1BB71" w:rsidR="00C71058" w:rsidRDefault="00C71058" w:rsidP="00C71058">
      <w:pPr>
        <w:rPr>
          <w:b/>
        </w:rPr>
      </w:pPr>
      <w:r>
        <w:rPr>
          <w:b/>
          <w:bCs/>
        </w:rPr>
        <w:lastRenderedPageBreak/>
        <w:t xml:space="preserve">Table </w:t>
      </w:r>
      <w:r w:rsidR="00EA2C17">
        <w:rPr>
          <w:b/>
          <w:bCs/>
        </w:rPr>
        <w:t>A</w:t>
      </w:r>
      <w:r w:rsidR="00C639D3">
        <w:rPr>
          <w:b/>
          <w:bCs/>
        </w:rPr>
        <w:t>.</w:t>
      </w:r>
      <w:r>
        <w:rPr>
          <w:b/>
          <w:bCs/>
        </w:rPr>
        <w:t>3</w:t>
      </w:r>
      <w:r w:rsidR="007553A0">
        <w:rPr>
          <w:b/>
          <w:bCs/>
        </w:rPr>
        <w:t>.</w:t>
      </w:r>
      <w:r w:rsidR="007553A0" w:rsidRPr="007553A0">
        <w:rPr>
          <w:b/>
        </w:rPr>
        <w:t xml:space="preserve"> </w:t>
      </w:r>
      <w:r w:rsidR="007553A0">
        <w:rPr>
          <w:b/>
        </w:rPr>
        <w:t>Risk factors for ARDS development</w:t>
      </w:r>
    </w:p>
    <w:p w14:paraId="6DC0BF9D" w14:textId="77777777" w:rsidR="007553A0" w:rsidRPr="00C71058" w:rsidRDefault="007553A0" w:rsidP="00C71058">
      <w:pPr>
        <w:rPr>
          <w:b/>
          <w:bCs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2030"/>
        <w:gridCol w:w="1136"/>
        <w:gridCol w:w="1520"/>
        <w:gridCol w:w="2094"/>
        <w:gridCol w:w="1520"/>
      </w:tblGrid>
      <w:tr w:rsidR="007C7317" w14:paraId="545057D0" w14:textId="77777777" w:rsidTr="007C7317">
        <w:trPr>
          <w:trHeight w:val="960"/>
        </w:trPr>
        <w:tc>
          <w:tcPr>
            <w:tcW w:w="20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70A47811" w14:textId="77777777" w:rsidR="007C7317" w:rsidRPr="007C7317" w:rsidRDefault="007C73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7317">
              <w:rPr>
                <w:b/>
                <w:bCs/>
                <w:color w:val="000000"/>
                <w:sz w:val="20"/>
                <w:szCs w:val="20"/>
              </w:rPr>
              <w:t>Features</w:t>
            </w:r>
          </w:p>
        </w:tc>
        <w:tc>
          <w:tcPr>
            <w:tcW w:w="11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14:paraId="709F074E" w14:textId="77777777" w:rsidR="007C7317" w:rsidRPr="007C7317" w:rsidRDefault="007C7317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 xml:space="preserve">Odds </w:t>
            </w:r>
            <w:r w:rsidRPr="007C7317">
              <w:rPr>
                <w:b/>
                <w:bCs/>
                <w:sz w:val="20"/>
                <w:szCs w:val="20"/>
              </w:rPr>
              <w:br/>
              <w:t>ratio</w:t>
            </w:r>
          </w:p>
        </w:tc>
        <w:tc>
          <w:tcPr>
            <w:tcW w:w="15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1FE8212A" w14:textId="77777777" w:rsidR="007C7317" w:rsidRPr="007C7317" w:rsidRDefault="007C7317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>P-values</w:t>
            </w:r>
          </w:p>
        </w:tc>
        <w:tc>
          <w:tcPr>
            <w:tcW w:w="20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14:paraId="274D1C67" w14:textId="77777777" w:rsidR="007C7317" w:rsidRPr="007C7317" w:rsidRDefault="007C7317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 xml:space="preserve">95% </w:t>
            </w:r>
            <w:r w:rsidRPr="007C7317">
              <w:rPr>
                <w:b/>
                <w:bCs/>
                <w:sz w:val="20"/>
                <w:szCs w:val="20"/>
              </w:rPr>
              <w:br/>
              <w:t xml:space="preserve">Confidence </w:t>
            </w:r>
            <w:r w:rsidRPr="007C7317">
              <w:rPr>
                <w:b/>
                <w:bCs/>
                <w:sz w:val="20"/>
                <w:szCs w:val="20"/>
              </w:rPr>
              <w:br/>
              <w:t>intervals</w:t>
            </w:r>
          </w:p>
        </w:tc>
        <w:tc>
          <w:tcPr>
            <w:tcW w:w="15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54477495" w14:textId="77777777" w:rsidR="007C7317" w:rsidRPr="007C7317" w:rsidRDefault="007C7317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>Significance</w:t>
            </w:r>
          </w:p>
        </w:tc>
      </w:tr>
      <w:tr w:rsidR="007C7317" w14:paraId="6071F562" w14:textId="77777777" w:rsidTr="007C7317">
        <w:trPr>
          <w:trHeight w:val="300"/>
        </w:trPr>
        <w:tc>
          <w:tcPr>
            <w:tcW w:w="20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9EAE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Intercept</w:t>
            </w:r>
          </w:p>
        </w:tc>
        <w:tc>
          <w:tcPr>
            <w:tcW w:w="11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4410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54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20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A0F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[0 - 0.123]</w:t>
            </w:r>
          </w:p>
        </w:tc>
        <w:tc>
          <w:tcPr>
            <w:tcW w:w="15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5A6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*</w:t>
            </w:r>
          </w:p>
        </w:tc>
      </w:tr>
      <w:tr w:rsidR="007C7317" w14:paraId="4C31D5DD" w14:textId="77777777" w:rsidTr="007C7317">
        <w:trPr>
          <w:trHeight w:val="64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F88A5" w14:textId="77777777" w:rsidR="007C7317" w:rsidRPr="007C7317" w:rsidRDefault="007C7317">
            <w:pPr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 xml:space="preserve">Patient </w:t>
            </w:r>
            <w:r w:rsidRPr="007C7317">
              <w:rPr>
                <w:b/>
                <w:bCs/>
                <w:sz w:val="20"/>
                <w:szCs w:val="20"/>
              </w:rPr>
              <w:br/>
              <w:t>characteristics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E5D4" w14:textId="77777777" w:rsidR="007C7317" w:rsidRPr="007C7317" w:rsidRDefault="007C7317" w:rsidP="009866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BF39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2F0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9B19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</w:tr>
      <w:tr w:rsidR="007C7317" w14:paraId="58358911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5993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Sex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3185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257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DA7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[0.329 - 1.321]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FE09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5F427CF4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83D4D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Age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6A9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3456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426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[0.981 - 1.029]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4EFF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66AB9B67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08146" w14:textId="77777777" w:rsidR="007C7317" w:rsidRPr="007C7317" w:rsidRDefault="007C7317">
            <w:pPr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>Comorbidities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BBC" w14:textId="77777777" w:rsidR="007C7317" w:rsidRPr="007C7317" w:rsidRDefault="007C7317" w:rsidP="009866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2B5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133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B40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</w:tr>
      <w:tr w:rsidR="007C7317" w14:paraId="60D721D0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A07F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Nb comorbidities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F6D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52AB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3B3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[0.662 - 1.013]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52B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641447E6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917AF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Lung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565E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3.001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F3B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B93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[0.955 - 9.435]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AE15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52ECA9DE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2E86" w14:textId="44451138" w:rsidR="007C7317" w:rsidRPr="007C7317" w:rsidRDefault="007C7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C11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82B7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82A5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[0.503 - 9.169]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774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5D7997E0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9A7D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Cancer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9C6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1.213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0F7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A34A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[0.398 - 3.696]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391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70983CBD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48C4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Dementia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94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5956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399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[0.106 - 2.891]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5D26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7C7A8269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18DF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Hypertension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BC5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1.821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A65A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6F7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[0.799 - 4.149]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DB4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0DD52994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9F60D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MI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0698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7.485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E61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D36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[1.5 - 37.36]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76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*</w:t>
            </w:r>
          </w:p>
        </w:tc>
      </w:tr>
      <w:tr w:rsidR="007C7317" w14:paraId="427B8AC6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D77A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CAD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2C7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1C68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9986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[0.272 - 2.977]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80F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1DBBA915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7B808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Hematological disease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62D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1.456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79D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67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[0.368 - 5.764]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189A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7ED78FAB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25C00" w14:textId="27A88202" w:rsidR="007C7317" w:rsidRPr="007C7317" w:rsidRDefault="007C7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COPD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4FE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1.124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97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8B07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[0.373 - 3.388]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8BF8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5F367BB6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8683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Obesity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1EF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2.096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C4B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618D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[0.873 - 5.037]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1E6F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125AB305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4EAD4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CKD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AE9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CB90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39D0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[0.173 - 2.063]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CCF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03DAC5CA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87A1" w14:textId="77777777" w:rsidR="007C7317" w:rsidRPr="007C7317" w:rsidRDefault="007C7317">
            <w:pPr>
              <w:rPr>
                <w:b/>
                <w:bCs/>
                <w:sz w:val="20"/>
                <w:szCs w:val="20"/>
              </w:rPr>
            </w:pPr>
            <w:r w:rsidRPr="007C7317">
              <w:rPr>
                <w:b/>
                <w:bCs/>
                <w:sz w:val="20"/>
                <w:szCs w:val="20"/>
              </w:rPr>
              <w:t>Lab results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09E6" w14:textId="77777777" w:rsidR="007C7317" w:rsidRPr="007C7317" w:rsidRDefault="007C7317" w:rsidP="009866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914C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FB29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129D" w14:textId="77777777" w:rsidR="007C7317" w:rsidRPr="007C7317" w:rsidRDefault="007C7317" w:rsidP="009866E4">
            <w:pPr>
              <w:jc w:val="center"/>
              <w:rPr>
                <w:sz w:val="20"/>
                <w:szCs w:val="20"/>
              </w:rPr>
            </w:pPr>
          </w:p>
        </w:tc>
      </w:tr>
      <w:tr w:rsidR="007C7317" w14:paraId="744A6BA9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850F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WBC count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6DE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1.165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BD9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FEB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[0.79 - 1.719]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87B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3C0AD736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34D8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Neutrophil count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257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8498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908F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[0.625 - 1.42]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9E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211B4EFE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F10BB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Lymphocyte count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ECF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0.941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4981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BD72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[0.461 - 1.921]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140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41DC5A58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2187A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Basophil count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CE9E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C7B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68E7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[0 - 0]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472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**</w:t>
            </w:r>
          </w:p>
        </w:tc>
      </w:tr>
      <w:tr w:rsidR="007C7317" w14:paraId="374F25B6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C95F" w14:textId="24A0F0B3" w:rsidR="007C7317" w:rsidRPr="007C7317" w:rsidRDefault="000059D0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Creatinine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0E76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B39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359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[0.999 - 1.003]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317B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317" w14:paraId="69472061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6676E1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Sodium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5AE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1.071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4C49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71D3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[1.005 - 1.141]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754E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*</w:t>
            </w:r>
          </w:p>
        </w:tc>
      </w:tr>
      <w:tr w:rsidR="007C7317" w14:paraId="67291B59" w14:textId="77777777" w:rsidTr="007C7317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68B20A6B" w14:textId="77777777" w:rsidR="007C7317" w:rsidRPr="007C7317" w:rsidRDefault="007C7317">
            <w:pPr>
              <w:rPr>
                <w:sz w:val="20"/>
                <w:szCs w:val="20"/>
              </w:rPr>
            </w:pPr>
            <w:r w:rsidRPr="007C7317">
              <w:rPr>
                <w:sz w:val="20"/>
                <w:szCs w:val="20"/>
              </w:rPr>
              <w:t>Glucose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69B44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F44DC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09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19EDD" w14:textId="77777777" w:rsidR="007C7317" w:rsidRPr="007C7317" w:rsidRDefault="007C7317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7C7317">
              <w:rPr>
                <w:color w:val="000000"/>
                <w:sz w:val="20"/>
                <w:szCs w:val="20"/>
              </w:rPr>
              <w:t>[0.985 - 1.134]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85031" w14:textId="77777777" w:rsidR="007C7317" w:rsidRPr="007C7317" w:rsidRDefault="007C731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90008D1" w14:textId="162649ED" w:rsidR="008E51CA" w:rsidRPr="00FB6AFD" w:rsidRDefault="008E51CA" w:rsidP="00FB6AFD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b/>
        </w:rPr>
        <w:br w:type="page"/>
      </w:r>
    </w:p>
    <w:p w14:paraId="210335B2" w14:textId="608DC4E9" w:rsidR="008E51CA" w:rsidRDefault="008E51CA" w:rsidP="008E51CA">
      <w:pPr>
        <w:spacing w:line="480" w:lineRule="auto"/>
        <w:rPr>
          <w:bCs/>
        </w:rPr>
      </w:pPr>
      <w:r>
        <w:rPr>
          <w:b/>
        </w:rPr>
        <w:lastRenderedPageBreak/>
        <w:t xml:space="preserve">Table </w:t>
      </w:r>
      <w:r w:rsidR="00EA2C17">
        <w:rPr>
          <w:b/>
        </w:rPr>
        <w:t>A</w:t>
      </w:r>
      <w:r w:rsidR="00C639D3">
        <w:rPr>
          <w:b/>
        </w:rPr>
        <w:t>.</w:t>
      </w:r>
      <w:r>
        <w:rPr>
          <w:b/>
        </w:rPr>
        <w:t>4</w:t>
      </w:r>
      <w:r w:rsidR="007553A0">
        <w:rPr>
          <w:b/>
        </w:rPr>
        <w:t>.</w:t>
      </w:r>
      <w:r w:rsidR="007553A0" w:rsidRPr="007553A0">
        <w:rPr>
          <w:b/>
        </w:rPr>
        <w:t xml:space="preserve"> </w:t>
      </w:r>
      <w:r w:rsidR="007553A0">
        <w:rPr>
          <w:b/>
        </w:rPr>
        <w:t>Risk factors for mortality</w:t>
      </w:r>
    </w:p>
    <w:tbl>
      <w:tblPr>
        <w:tblW w:w="8489" w:type="dxa"/>
        <w:tblLook w:val="04A0" w:firstRow="1" w:lastRow="0" w:firstColumn="1" w:lastColumn="0" w:noHBand="0" w:noVBand="1"/>
      </w:tblPr>
      <w:tblGrid>
        <w:gridCol w:w="2231"/>
        <w:gridCol w:w="1251"/>
        <w:gridCol w:w="1262"/>
        <w:gridCol w:w="2257"/>
        <w:gridCol w:w="1488"/>
      </w:tblGrid>
      <w:tr w:rsidR="009866E4" w:rsidRPr="009866E4" w14:paraId="203E36C1" w14:textId="77777777" w:rsidTr="009866E4">
        <w:trPr>
          <w:trHeight w:val="958"/>
        </w:trPr>
        <w:tc>
          <w:tcPr>
            <w:tcW w:w="22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7BABC3FA" w14:textId="77777777" w:rsidR="009866E4" w:rsidRPr="009866E4" w:rsidRDefault="00986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6E4">
              <w:rPr>
                <w:b/>
                <w:bCs/>
                <w:color w:val="000000"/>
                <w:sz w:val="20"/>
                <w:szCs w:val="20"/>
              </w:rPr>
              <w:t>Features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14:paraId="078A4DA7" w14:textId="77777777" w:rsidR="009866E4" w:rsidRPr="009866E4" w:rsidRDefault="009866E4">
            <w:pPr>
              <w:jc w:val="center"/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 xml:space="preserve">Odds </w:t>
            </w:r>
            <w:r w:rsidRPr="009866E4">
              <w:rPr>
                <w:b/>
                <w:bCs/>
                <w:sz w:val="20"/>
                <w:szCs w:val="20"/>
              </w:rPr>
              <w:br/>
              <w:t>ratio</w:t>
            </w:r>
          </w:p>
        </w:tc>
        <w:tc>
          <w:tcPr>
            <w:tcW w:w="126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5FD1AE7F" w14:textId="77777777" w:rsidR="009866E4" w:rsidRPr="009866E4" w:rsidRDefault="009866E4">
            <w:pPr>
              <w:jc w:val="center"/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2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14:paraId="0A202C23" w14:textId="77777777" w:rsidR="009866E4" w:rsidRPr="009866E4" w:rsidRDefault="009866E4">
            <w:pPr>
              <w:jc w:val="center"/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>95%</w:t>
            </w:r>
            <w:r w:rsidRPr="009866E4">
              <w:rPr>
                <w:b/>
                <w:bCs/>
                <w:sz w:val="20"/>
                <w:szCs w:val="20"/>
              </w:rPr>
              <w:br/>
              <w:t xml:space="preserve">Confidence </w:t>
            </w:r>
            <w:r w:rsidRPr="009866E4">
              <w:rPr>
                <w:b/>
                <w:bCs/>
                <w:sz w:val="20"/>
                <w:szCs w:val="20"/>
              </w:rPr>
              <w:br/>
              <w:t>intervals</w:t>
            </w:r>
          </w:p>
        </w:tc>
        <w:tc>
          <w:tcPr>
            <w:tcW w:w="14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0F49E0B5" w14:textId="77777777" w:rsidR="009866E4" w:rsidRPr="009866E4" w:rsidRDefault="009866E4">
            <w:pPr>
              <w:jc w:val="center"/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>Significance</w:t>
            </w:r>
          </w:p>
        </w:tc>
      </w:tr>
      <w:tr w:rsidR="009866E4" w:rsidRPr="009866E4" w14:paraId="15FC4045" w14:textId="77777777" w:rsidTr="009866E4">
        <w:trPr>
          <w:trHeight w:val="299"/>
        </w:trPr>
        <w:tc>
          <w:tcPr>
            <w:tcW w:w="22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74A08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Intercept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C60F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6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0D49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22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6936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[0 - 31.242]</w:t>
            </w:r>
          </w:p>
        </w:tc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F3A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10C599CB" w14:textId="77777777" w:rsidTr="009866E4">
        <w:trPr>
          <w:trHeight w:val="299"/>
        </w:trPr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A55A3" w14:textId="77777777" w:rsidR="009866E4" w:rsidRPr="009866E4" w:rsidRDefault="009866E4" w:rsidP="00D12AB5">
            <w:pPr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>Patient characteristics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F508" w14:textId="77777777" w:rsidR="009866E4" w:rsidRPr="009866E4" w:rsidRDefault="009866E4" w:rsidP="009866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AD4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A652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</w:tr>
      <w:tr w:rsidR="009866E4" w:rsidRPr="009866E4" w14:paraId="0BEB86AB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B9EC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Sex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368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9251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820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[0.429 - 2.293]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5047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2F87AEC7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FD8C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Age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E33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CE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E0A3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[1.039 - 1.118]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DA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***</w:t>
            </w:r>
          </w:p>
        </w:tc>
      </w:tr>
      <w:tr w:rsidR="009866E4" w:rsidRPr="009866E4" w14:paraId="7A5331D3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8D7CC" w14:textId="77777777" w:rsidR="009866E4" w:rsidRPr="009866E4" w:rsidRDefault="009866E4">
            <w:pPr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>Comorbidities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5DF" w14:textId="77777777" w:rsidR="009866E4" w:rsidRPr="009866E4" w:rsidRDefault="009866E4" w:rsidP="009866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1EA9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114A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F9D5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</w:tr>
      <w:tr w:rsidR="009866E4" w:rsidRPr="009866E4" w14:paraId="4345266A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B5680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Nb comorbidities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4717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0.964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07FB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2517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[0.754 - 1.232]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553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6C203394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949D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Lung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1849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CC6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631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[1.166 - 12.911]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51E9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*</w:t>
            </w:r>
          </w:p>
        </w:tc>
      </w:tr>
      <w:tr w:rsidR="009866E4" w:rsidRPr="009866E4" w14:paraId="5EDDA1AE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B019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Stroke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882B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3.716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D8B4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744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[0.891 - 15.506]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262F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5957B7AA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6A6C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Cancer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5BF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1.257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7B9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E6D1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[0.386 - 4.089]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9CEA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702ED716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DDBDD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Dementia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E5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1.575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EEA7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407A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[0.345 - 7.185]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70EB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6A18F39E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E6086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Hypertension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E65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CD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D87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[0.223 - 1.512]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CCA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6E31CE56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6EE61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MI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F459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6D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51C7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[0.328 - 5.955]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22C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33D7DE47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5BE78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CAD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36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1.536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80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86B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[0.475 - 4.964]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F07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1EC84F4A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70EB9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Hematologic disease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39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9A6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F510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[0.27 - 6.313]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5E6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6C6AB69C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68F58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COPD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E50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1.546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BDF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BF23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[0.516 - 4.631]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733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5AC741DD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C7B94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Obesity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AED1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376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56F2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[0.25 - 2.584]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F8A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340428C6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6A83C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CKD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BD52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2.038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BD1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08E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[0.583 - 7.125]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74E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091180E2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CFFC2" w14:textId="77777777" w:rsidR="009866E4" w:rsidRPr="009866E4" w:rsidRDefault="009866E4">
            <w:pPr>
              <w:rPr>
                <w:b/>
                <w:bCs/>
                <w:sz w:val="20"/>
                <w:szCs w:val="20"/>
              </w:rPr>
            </w:pPr>
            <w:r w:rsidRPr="009866E4">
              <w:rPr>
                <w:b/>
                <w:bCs/>
                <w:sz w:val="20"/>
                <w:szCs w:val="20"/>
              </w:rPr>
              <w:t>Lab results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886D" w14:textId="77777777" w:rsidR="009866E4" w:rsidRPr="009866E4" w:rsidRDefault="009866E4" w:rsidP="009866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73FE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D288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7D88" w14:textId="77777777" w:rsidR="009866E4" w:rsidRPr="009866E4" w:rsidRDefault="009866E4" w:rsidP="009866E4">
            <w:pPr>
              <w:jc w:val="center"/>
              <w:rPr>
                <w:sz w:val="20"/>
                <w:szCs w:val="20"/>
              </w:rPr>
            </w:pPr>
          </w:p>
        </w:tc>
      </w:tr>
      <w:tr w:rsidR="009866E4" w:rsidRPr="009866E4" w14:paraId="700AB396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1399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WBC count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8F1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1.166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C934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88E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[0.875 - 1.553]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3540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45232B0B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6B70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Neutrophil count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A1BF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F21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C7DA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[0.652 - 1.227]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F26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526E525F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30F7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Lymphocyte count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6A1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DA70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D6ED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[0.418 - 1.344]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0C93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1BB75F10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E0B9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Basophil count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0DB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22.027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3712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5E3E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[0 - 17152116.826]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4CE9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2D01F17F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A92D" w14:textId="7E630289" w:rsidR="009866E4" w:rsidRPr="009866E4" w:rsidRDefault="000059D0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Creatinine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E50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0A2C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FBEB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[0.998 - 1.003]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6094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6B6AAAC5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9A65E9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Sodium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6E24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465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CDF2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[0.927 - 1.075]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32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6E4" w:rsidRPr="009866E4" w14:paraId="3F806C4C" w14:textId="77777777" w:rsidTr="009866E4">
        <w:trPr>
          <w:trHeight w:val="299"/>
        </w:trPr>
        <w:tc>
          <w:tcPr>
            <w:tcW w:w="22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76262BF8" w14:textId="77777777" w:rsidR="009866E4" w:rsidRPr="009866E4" w:rsidRDefault="009866E4">
            <w:pPr>
              <w:rPr>
                <w:sz w:val="20"/>
                <w:szCs w:val="20"/>
              </w:rPr>
            </w:pPr>
            <w:r w:rsidRPr="009866E4">
              <w:rPr>
                <w:sz w:val="20"/>
                <w:szCs w:val="20"/>
              </w:rPr>
              <w:t>Glucose</w:t>
            </w:r>
          </w:p>
        </w:tc>
        <w:tc>
          <w:tcPr>
            <w:tcW w:w="12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B23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1.035</w:t>
            </w:r>
          </w:p>
        </w:tc>
        <w:tc>
          <w:tcPr>
            <w:tcW w:w="126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EE230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82F18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  <w:r w:rsidRPr="009866E4">
              <w:rPr>
                <w:color w:val="000000"/>
                <w:sz w:val="20"/>
                <w:szCs w:val="20"/>
              </w:rPr>
              <w:t>[0.957 - 1.119]</w:t>
            </w:r>
          </w:p>
        </w:tc>
        <w:tc>
          <w:tcPr>
            <w:tcW w:w="14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37586" w14:textId="77777777" w:rsidR="009866E4" w:rsidRPr="009866E4" w:rsidRDefault="009866E4" w:rsidP="009866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4B8CBF8" w14:textId="77777777" w:rsidR="008E51CA" w:rsidRPr="009866E4" w:rsidRDefault="008E51CA" w:rsidP="008E51CA">
      <w:pPr>
        <w:spacing w:line="480" w:lineRule="auto"/>
        <w:rPr>
          <w:bCs/>
          <w:sz w:val="20"/>
          <w:szCs w:val="20"/>
        </w:rPr>
      </w:pPr>
    </w:p>
    <w:p w14:paraId="53C8094B" w14:textId="054BEE58" w:rsidR="00717EE9" w:rsidRDefault="00717EE9" w:rsidP="008E51CA">
      <w:pPr>
        <w:spacing w:line="480" w:lineRule="auto"/>
        <w:rPr>
          <w:bCs/>
        </w:rPr>
      </w:pPr>
    </w:p>
    <w:p w14:paraId="1FEE122E" w14:textId="09B05E4B" w:rsidR="00717EE9" w:rsidRPr="0096416C" w:rsidRDefault="00717EE9" w:rsidP="00B14F99">
      <w:pPr>
        <w:rPr>
          <w:bCs/>
        </w:rPr>
      </w:pPr>
    </w:p>
    <w:sectPr w:rsidR="00717EE9" w:rsidRPr="0096416C" w:rsidSect="00A051D2">
      <w:footerReference w:type="even" r:id="rId6"/>
      <w:footerReference w:type="default" r:id="rId7"/>
      <w:footnotePr>
        <w:numFmt w:val="lowerLetter"/>
      </w:footnotePr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A6D0" w14:textId="77777777" w:rsidR="004073D4" w:rsidRDefault="004073D4" w:rsidP="006B1B58">
      <w:r>
        <w:separator/>
      </w:r>
    </w:p>
  </w:endnote>
  <w:endnote w:type="continuationSeparator" w:id="0">
    <w:p w14:paraId="78CA5EF7" w14:textId="77777777" w:rsidR="004073D4" w:rsidRDefault="004073D4" w:rsidP="006B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1496580"/>
      <w:docPartObj>
        <w:docPartGallery w:val="Page Numbers (Bottom of Page)"/>
        <w:docPartUnique/>
      </w:docPartObj>
    </w:sdtPr>
    <w:sdtContent>
      <w:p w14:paraId="74C50448" w14:textId="19CC5C42" w:rsidR="006B1B58" w:rsidRDefault="006B1B58" w:rsidP="00B456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2C6254" w14:textId="77777777" w:rsidR="006B1B58" w:rsidRDefault="006B1B58" w:rsidP="006B1B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9950129"/>
      <w:docPartObj>
        <w:docPartGallery w:val="Page Numbers (Bottom of Page)"/>
        <w:docPartUnique/>
      </w:docPartObj>
    </w:sdtPr>
    <w:sdtContent>
      <w:p w14:paraId="5D841DFA" w14:textId="6C526EA6" w:rsidR="006B1B58" w:rsidRDefault="006B1B58" w:rsidP="00B456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48FFA4" w14:textId="77777777" w:rsidR="006B1B58" w:rsidRDefault="006B1B58" w:rsidP="006B1B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6824" w14:textId="77777777" w:rsidR="004073D4" w:rsidRDefault="004073D4" w:rsidP="006B1B58">
      <w:r>
        <w:separator/>
      </w:r>
    </w:p>
  </w:footnote>
  <w:footnote w:type="continuationSeparator" w:id="0">
    <w:p w14:paraId="4459EC70" w14:textId="77777777" w:rsidR="004073D4" w:rsidRDefault="004073D4" w:rsidP="006B1B58">
      <w:r>
        <w:continuationSeparator/>
      </w:r>
    </w:p>
  </w:footnote>
  <w:footnote w:id="1">
    <w:p w14:paraId="2DFA21A0" w14:textId="4789B465" w:rsidR="00194EB7" w:rsidRPr="006E178B" w:rsidRDefault="00194EB7">
      <w:pPr>
        <w:pStyle w:val="FootnoteText"/>
      </w:pPr>
      <w:r w:rsidRPr="006A537A">
        <w:rPr>
          <w:rStyle w:val="FootnoteReference"/>
        </w:rPr>
        <w:footnoteRef/>
      </w:r>
      <w:r w:rsidR="0060052B" w:rsidRPr="006E178B">
        <w:t xml:space="preserve">P-values adjusted with the Benjamini-Hochberg method and adjusted P-values of less than 0.05 were considered statistically significant. Parametric Pearson </w:t>
      </w:r>
      <w:r w:rsidR="006E178B" w:rsidRPr="006E178B">
        <w:t>c</w:t>
      </w:r>
      <w:r w:rsidR="0060052B" w:rsidRPr="006E178B">
        <w:t xml:space="preserve">hi-squared or non-parametric Fisher’s exact tests were used to compare categorical variables appropriately. Either the Two </w:t>
      </w:r>
      <w:r w:rsidR="006E178B" w:rsidRPr="006E178B">
        <w:t>s</w:t>
      </w:r>
      <w:r w:rsidR="0060052B" w:rsidRPr="006E178B">
        <w:t>ample t-test, Welch</w:t>
      </w:r>
      <w:r w:rsidR="006E178B" w:rsidRPr="006E178B">
        <w:t>’s</w:t>
      </w:r>
      <w:r w:rsidR="0060052B" w:rsidRPr="006E178B">
        <w:t xml:space="preserve"> </w:t>
      </w:r>
      <w:r w:rsidR="006E178B" w:rsidRPr="006E178B">
        <w:t>t</w:t>
      </w:r>
      <w:r w:rsidR="0060052B" w:rsidRPr="006E178B">
        <w:t xml:space="preserve">wo </w:t>
      </w:r>
      <w:r w:rsidR="006E178B" w:rsidRPr="006E178B">
        <w:t>s</w:t>
      </w:r>
      <w:r w:rsidR="0060052B" w:rsidRPr="006E178B">
        <w:t>ample t-test or the Mann-Whitney-Wilcoxon test were used to compare continuous data.</w:t>
      </w:r>
    </w:p>
  </w:footnote>
  <w:footnote w:id="2">
    <w:p w14:paraId="3DE39010" w14:textId="5A71C67F" w:rsidR="0060052B" w:rsidRPr="00643329" w:rsidRDefault="0060052B" w:rsidP="0060052B">
      <w:pPr>
        <w:rPr>
          <w:bCs/>
          <w:sz w:val="20"/>
          <w:szCs w:val="20"/>
        </w:rPr>
      </w:pPr>
      <w:r w:rsidRPr="006A537A">
        <w:rPr>
          <w:rStyle w:val="FootnoteReference"/>
        </w:rPr>
        <w:footnoteRef/>
      </w:r>
      <w:r w:rsidRPr="00643329">
        <w:rPr>
          <w:sz w:val="20"/>
          <w:szCs w:val="20"/>
        </w:rPr>
        <w:t>Antibiotics</w:t>
      </w:r>
      <w:r w:rsidR="00D2125F" w:rsidRPr="00643329">
        <w:rPr>
          <w:sz w:val="20"/>
          <w:szCs w:val="20"/>
        </w:rPr>
        <w:t xml:space="preserve">, </w:t>
      </w:r>
      <w:r w:rsidRPr="00643329">
        <w:rPr>
          <w:sz w:val="20"/>
          <w:szCs w:val="20"/>
        </w:rPr>
        <w:t>an</w:t>
      </w:r>
      <w:r w:rsidR="006E178B" w:rsidRPr="00643329">
        <w:rPr>
          <w:sz w:val="20"/>
          <w:szCs w:val="20"/>
        </w:rPr>
        <w:t>ti</w:t>
      </w:r>
      <w:r w:rsidRPr="00643329">
        <w:rPr>
          <w:sz w:val="20"/>
          <w:szCs w:val="20"/>
        </w:rPr>
        <w:t>virals</w:t>
      </w:r>
      <w:r w:rsidR="00D2125F" w:rsidRPr="00643329">
        <w:rPr>
          <w:sz w:val="20"/>
          <w:szCs w:val="20"/>
        </w:rPr>
        <w:t xml:space="preserve"> or immunomodulators</w:t>
      </w:r>
      <w:r w:rsidRPr="00643329">
        <w:rPr>
          <w:sz w:val="20"/>
          <w:szCs w:val="20"/>
        </w:rPr>
        <w:t xml:space="preserve"> not otherwise listed in e-Table 1. Information on specific treatments was not available.</w:t>
      </w:r>
    </w:p>
  </w:footnote>
  <w:footnote w:id="3">
    <w:p w14:paraId="4C8BE89D" w14:textId="7942DE2A" w:rsidR="006E178B" w:rsidRPr="006E178B" w:rsidRDefault="006E178B">
      <w:pPr>
        <w:pStyle w:val="FootnoteText"/>
      </w:pPr>
      <w:r w:rsidRPr="006A537A">
        <w:rPr>
          <w:rStyle w:val="FootnoteReference"/>
        </w:rPr>
        <w:footnoteRef/>
      </w:r>
      <w:r w:rsidRPr="006E178B">
        <w:t>P-values adjusted with the Benjamini-Hochberg method and adjusted P-values of less than 0.05 were considered statistically significant. Parametric Pearson chi-squared or non-parametric Fisher’s exact tests were used to compare categorical variables appropriately. Either the Two sample t-test, Welch’s two sample t-test or the Mann-Whitney-Wilcoxon test were used to compare continuous data.</w:t>
      </w:r>
    </w:p>
  </w:footnote>
  <w:footnote w:id="4">
    <w:p w14:paraId="22C1EE1E" w14:textId="4ABBE9F9" w:rsidR="00643329" w:rsidRPr="00643329" w:rsidRDefault="00643329" w:rsidP="00643329">
      <w:pPr>
        <w:rPr>
          <w:bCs/>
          <w:sz w:val="20"/>
          <w:szCs w:val="20"/>
        </w:rPr>
      </w:pPr>
      <w:r w:rsidRPr="006A537A">
        <w:rPr>
          <w:rStyle w:val="FootnoteReference"/>
        </w:rPr>
        <w:footnoteRef/>
      </w:r>
      <w:r w:rsidRPr="00643329">
        <w:rPr>
          <w:sz w:val="20"/>
          <w:szCs w:val="20"/>
        </w:rPr>
        <w:t xml:space="preserve">Antibiotics, antivirals or immunomodulators not otherwise listed in e-Table </w:t>
      </w:r>
      <w:r>
        <w:rPr>
          <w:sz w:val="20"/>
          <w:szCs w:val="20"/>
        </w:rPr>
        <w:t>2</w:t>
      </w:r>
      <w:r w:rsidRPr="00643329">
        <w:rPr>
          <w:sz w:val="20"/>
          <w:szCs w:val="20"/>
        </w:rPr>
        <w:t>. Information on specific treatments was not available.</w:t>
      </w:r>
    </w:p>
    <w:p w14:paraId="45591CD6" w14:textId="04D8B5DD" w:rsidR="00643329" w:rsidRDefault="0064332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49"/>
    <w:rsid w:val="000059D0"/>
    <w:rsid w:val="00012472"/>
    <w:rsid w:val="0002659A"/>
    <w:rsid w:val="00085ECD"/>
    <w:rsid w:val="000D6849"/>
    <w:rsid w:val="000E1530"/>
    <w:rsid w:val="000E1B84"/>
    <w:rsid w:val="00120963"/>
    <w:rsid w:val="00167A01"/>
    <w:rsid w:val="00194EB7"/>
    <w:rsid w:val="00200A2B"/>
    <w:rsid w:val="00225776"/>
    <w:rsid w:val="00237242"/>
    <w:rsid w:val="00272C63"/>
    <w:rsid w:val="002A2E0A"/>
    <w:rsid w:val="002B39D8"/>
    <w:rsid w:val="00303AC9"/>
    <w:rsid w:val="00311E7D"/>
    <w:rsid w:val="003540B0"/>
    <w:rsid w:val="00373AED"/>
    <w:rsid w:val="00382FE1"/>
    <w:rsid w:val="0039692A"/>
    <w:rsid w:val="004073D4"/>
    <w:rsid w:val="00420805"/>
    <w:rsid w:val="0049135A"/>
    <w:rsid w:val="004B77EE"/>
    <w:rsid w:val="00500001"/>
    <w:rsid w:val="00511F6F"/>
    <w:rsid w:val="005236C6"/>
    <w:rsid w:val="00530E42"/>
    <w:rsid w:val="0053400E"/>
    <w:rsid w:val="0055016B"/>
    <w:rsid w:val="00565566"/>
    <w:rsid w:val="0059374C"/>
    <w:rsid w:val="0060052B"/>
    <w:rsid w:val="00643329"/>
    <w:rsid w:val="006A537A"/>
    <w:rsid w:val="006B1B58"/>
    <w:rsid w:val="006D6291"/>
    <w:rsid w:val="006E178B"/>
    <w:rsid w:val="006F09D9"/>
    <w:rsid w:val="006F7A00"/>
    <w:rsid w:val="00717EE9"/>
    <w:rsid w:val="00737893"/>
    <w:rsid w:val="007553A0"/>
    <w:rsid w:val="007617A0"/>
    <w:rsid w:val="0077496D"/>
    <w:rsid w:val="007807D2"/>
    <w:rsid w:val="00782C28"/>
    <w:rsid w:val="007C7317"/>
    <w:rsid w:val="007D7172"/>
    <w:rsid w:val="00842837"/>
    <w:rsid w:val="008A0191"/>
    <w:rsid w:val="008E51CA"/>
    <w:rsid w:val="00905EC5"/>
    <w:rsid w:val="009478BF"/>
    <w:rsid w:val="0096416C"/>
    <w:rsid w:val="0096635E"/>
    <w:rsid w:val="00975689"/>
    <w:rsid w:val="009866E4"/>
    <w:rsid w:val="00997E76"/>
    <w:rsid w:val="009E12B6"/>
    <w:rsid w:val="00A051D2"/>
    <w:rsid w:val="00A071EC"/>
    <w:rsid w:val="00A23FA3"/>
    <w:rsid w:val="00AB0655"/>
    <w:rsid w:val="00AD5916"/>
    <w:rsid w:val="00B14F99"/>
    <w:rsid w:val="00B519D2"/>
    <w:rsid w:val="00B63EC1"/>
    <w:rsid w:val="00B93C7D"/>
    <w:rsid w:val="00BB7835"/>
    <w:rsid w:val="00C04223"/>
    <w:rsid w:val="00C05F98"/>
    <w:rsid w:val="00C31AE0"/>
    <w:rsid w:val="00C639D3"/>
    <w:rsid w:val="00C71058"/>
    <w:rsid w:val="00C71624"/>
    <w:rsid w:val="00C9084A"/>
    <w:rsid w:val="00C94E57"/>
    <w:rsid w:val="00CA17E6"/>
    <w:rsid w:val="00CD6F25"/>
    <w:rsid w:val="00CF3E0F"/>
    <w:rsid w:val="00D12AB5"/>
    <w:rsid w:val="00D2125F"/>
    <w:rsid w:val="00D96B10"/>
    <w:rsid w:val="00DA5BAB"/>
    <w:rsid w:val="00DE3349"/>
    <w:rsid w:val="00E55340"/>
    <w:rsid w:val="00EA2C17"/>
    <w:rsid w:val="00EE10BA"/>
    <w:rsid w:val="00F16A1C"/>
    <w:rsid w:val="00F22734"/>
    <w:rsid w:val="00F26FE7"/>
    <w:rsid w:val="00F35167"/>
    <w:rsid w:val="00F515F1"/>
    <w:rsid w:val="00FA00F9"/>
    <w:rsid w:val="00FB6AFD"/>
    <w:rsid w:val="00FC076B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0C80"/>
  <w15:chartTrackingRefBased/>
  <w15:docId w15:val="{62407694-2F7E-2B44-BF36-C9CD17C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4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3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4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49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DE3349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051D2"/>
    <w:pPr>
      <w:tabs>
        <w:tab w:val="left" w:pos="260"/>
      </w:tabs>
      <w:spacing w:after="240"/>
      <w:ind w:left="264" w:hanging="264"/>
    </w:pPr>
  </w:style>
  <w:style w:type="character" w:styleId="LineNumber">
    <w:name w:val="line number"/>
    <w:basedOn w:val="DefaultParagraphFont"/>
    <w:uiPriority w:val="99"/>
    <w:semiHidden/>
    <w:unhideWhenUsed/>
    <w:rsid w:val="00A051D2"/>
  </w:style>
  <w:style w:type="paragraph" w:styleId="Footer">
    <w:name w:val="footer"/>
    <w:basedOn w:val="Normal"/>
    <w:link w:val="FooterChar"/>
    <w:uiPriority w:val="99"/>
    <w:unhideWhenUsed/>
    <w:rsid w:val="006B1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B58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1B58"/>
  </w:style>
  <w:style w:type="character" w:styleId="Hyperlink">
    <w:name w:val="Hyperlink"/>
    <w:basedOn w:val="DefaultParagraphFont"/>
    <w:uiPriority w:val="99"/>
    <w:semiHidden/>
    <w:unhideWhenUsed/>
    <w:rsid w:val="00C31AE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AE0"/>
    <w:rPr>
      <w:color w:val="96607D"/>
      <w:u w:val="single"/>
    </w:rPr>
  </w:style>
  <w:style w:type="paragraph" w:customStyle="1" w:styleId="msonormal0">
    <w:name w:val="msonormal"/>
    <w:basedOn w:val="Normal"/>
    <w:rsid w:val="00C31AE0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C31AE0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C31AE0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C31AE0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"/>
    <w:rsid w:val="00C31A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C31AE0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C31AE0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rsid w:val="00C31AE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C31A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C31AE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C31AE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C31AE0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C31AE0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C31AE0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C31AE0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Normal"/>
    <w:rsid w:val="00C31AE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C31AE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C31A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C31AE0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C31AE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C31AE0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63">
    <w:name w:val="xl63"/>
    <w:basedOn w:val="Normal"/>
    <w:rsid w:val="00382FE1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382FE1"/>
    <w:pPr>
      <w:spacing w:before="100" w:beforeAutospacing="1" w:after="100" w:afterAutospacing="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4E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E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3A0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5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3A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3A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A5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3943</Words>
  <Characters>22480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Anthonisen</dc:creator>
  <cp:keywords/>
  <dc:description/>
  <cp:lastModifiedBy>Madeleine Anthonisen</cp:lastModifiedBy>
  <cp:revision>12</cp:revision>
  <dcterms:created xsi:type="dcterms:W3CDTF">2024-08-20T18:17:00Z</dcterms:created>
  <dcterms:modified xsi:type="dcterms:W3CDTF">2025-03-31T22:45:00Z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id="UmjpVODy"/&gt;&lt;style id="http://www.zotero.org/styles/vancouver" locale="en-CA" hasBibliography="1" bibliographyStyleHasBeenSet="1"/&gt;&lt;prefs&gt;&lt;pref name="fieldType" value="Field"/&gt;&lt;/prefs&gt;&lt;/data&gt;</vt:lpwstr>
  </property>
</Properties>
</file>