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C51D61B" w14:textId="22AB9812" w:rsidR="00421EEE" w:rsidRPr="00730A07" w:rsidRDefault="005060FD" w:rsidP="00421EEE">
      <w:pPr>
        <w:jc w:val="center"/>
        <w:rPr>
          <w:b/>
          <w:bCs/>
          <w:sz w:val="36"/>
          <w:szCs w:val="36"/>
          <w:u w:val="single"/>
        </w:rPr>
      </w:pPr>
      <w:r>
        <w:rPr>
          <w:b/>
          <w:bCs/>
          <w:sz w:val="36"/>
          <w:szCs w:val="36"/>
          <w:u w:val="single"/>
        </w:rPr>
        <w:t>SUPPLEMENTARY INFORMATION</w:t>
      </w:r>
    </w:p>
    <w:p w14:paraId="4A8FAB11" w14:textId="77777777" w:rsidR="00421EEE" w:rsidRDefault="00421EEE" w:rsidP="00421EEE">
      <w:pPr>
        <w:jc w:val="center"/>
        <w:rPr>
          <w:b/>
          <w:sz w:val="32"/>
          <w:szCs w:val="32"/>
        </w:rPr>
      </w:pPr>
    </w:p>
    <w:p w14:paraId="04A27C2D" w14:textId="77777777" w:rsidR="00421EEE" w:rsidRPr="00104A71" w:rsidRDefault="00421EEE" w:rsidP="005060FD">
      <w:pPr>
        <w:rPr>
          <w:b/>
          <w:sz w:val="32"/>
          <w:szCs w:val="32"/>
        </w:rPr>
      </w:pPr>
      <w:r w:rsidRPr="00104A71">
        <w:rPr>
          <w:b/>
          <w:sz w:val="32"/>
          <w:szCs w:val="32"/>
        </w:rPr>
        <w:t xml:space="preserve">Effect of thioredoxin tag, oxidizing environment, and temperature on the global metabolome of </w:t>
      </w:r>
      <w:r w:rsidRPr="00104A71">
        <w:rPr>
          <w:b/>
          <w:i/>
          <w:sz w:val="32"/>
          <w:szCs w:val="32"/>
        </w:rPr>
        <w:t xml:space="preserve">E. coli </w:t>
      </w:r>
      <w:r w:rsidRPr="00104A71">
        <w:rPr>
          <w:b/>
          <w:sz w:val="32"/>
          <w:szCs w:val="32"/>
        </w:rPr>
        <w:t>strains</w:t>
      </w:r>
    </w:p>
    <w:p w14:paraId="68828B62" w14:textId="77777777" w:rsidR="00421EEE" w:rsidRDefault="00421EEE" w:rsidP="005060FD">
      <w:pPr>
        <w:spacing w:line="523" w:lineRule="auto"/>
        <w:rPr>
          <w:vertAlign w:val="superscript"/>
        </w:rPr>
      </w:pPr>
      <w:r>
        <w:t>Snehal D Ganjave</w:t>
      </w:r>
      <w:r>
        <w:rPr>
          <w:vertAlign w:val="superscript"/>
        </w:rPr>
        <w:t>1#</w:t>
      </w:r>
      <w:r>
        <w:t>, Meghna Srivastava</w:t>
      </w:r>
      <w:r>
        <w:rPr>
          <w:vertAlign w:val="superscript"/>
        </w:rPr>
        <w:t>1#</w:t>
      </w:r>
      <w:r>
        <w:t>, Prajval Nakrani</w:t>
      </w:r>
      <w:r>
        <w:rPr>
          <w:vertAlign w:val="superscript"/>
        </w:rPr>
        <w:t>2</w:t>
      </w:r>
      <w:r>
        <w:t>, Vivek Mishra</w:t>
      </w:r>
      <w:r>
        <w:rPr>
          <w:vertAlign w:val="superscript"/>
        </w:rPr>
        <w:t>2</w:t>
      </w:r>
      <w:r>
        <w:t>, Pramod P Wangikar</w:t>
      </w:r>
      <w:r>
        <w:rPr>
          <w:vertAlign w:val="superscript"/>
        </w:rPr>
        <w:t>1,2*</w:t>
      </w:r>
    </w:p>
    <w:p w14:paraId="732A21EA" w14:textId="01CD87BB" w:rsidR="00421EEE" w:rsidRDefault="00421EEE" w:rsidP="005060FD">
      <w:pPr>
        <w:spacing w:before="240" w:after="240" w:line="523" w:lineRule="auto"/>
      </w:pPr>
      <w:r>
        <w:rPr>
          <w:vertAlign w:val="superscript"/>
        </w:rPr>
        <w:t>1</w:t>
      </w:r>
      <w:r>
        <w:t xml:space="preserve">Department of Chemical Engineering, Indian Institute of Technology Bombay, Powai, Mumbai, India; </w:t>
      </w:r>
      <w:r>
        <w:rPr>
          <w:vertAlign w:val="superscript"/>
        </w:rPr>
        <w:t>2</w:t>
      </w:r>
      <w:r>
        <w:t>Clarity Bio Systems India Pvt. Ltd., Pune, India</w:t>
      </w:r>
    </w:p>
    <w:p w14:paraId="3263FCC1" w14:textId="77777777" w:rsidR="00421EEE" w:rsidRDefault="00421EEE" w:rsidP="005060FD">
      <w:pPr>
        <w:spacing w:line="276" w:lineRule="auto"/>
        <w:rPr>
          <w:b/>
        </w:rPr>
      </w:pPr>
      <w:r>
        <w:rPr>
          <w:b/>
        </w:rPr>
        <w:t>#</w:t>
      </w:r>
      <w:r w:rsidRPr="00660423">
        <w:rPr>
          <w:b/>
        </w:rPr>
        <w:t xml:space="preserve"> </w:t>
      </w:r>
      <w:r w:rsidRPr="005060FD">
        <w:rPr>
          <w:bCs/>
        </w:rPr>
        <w:t>These authors contributed equally</w:t>
      </w:r>
    </w:p>
    <w:p w14:paraId="40E43D92" w14:textId="0ACCC47A" w:rsidR="00421EEE" w:rsidRPr="005060FD" w:rsidRDefault="00421EEE" w:rsidP="005060FD">
      <w:pPr>
        <w:spacing w:line="276" w:lineRule="auto"/>
        <w:rPr>
          <w:bCs/>
          <w:color w:val="954F72"/>
        </w:rPr>
      </w:pPr>
      <w:r w:rsidRPr="005060FD">
        <w:rPr>
          <w:bCs/>
        </w:rPr>
        <w:t>*Corresponding author</w:t>
      </w:r>
      <w:r w:rsidR="005060FD">
        <w:rPr>
          <w:bCs/>
        </w:rPr>
        <w:t>. Email</w:t>
      </w:r>
      <w:r w:rsidRPr="005060FD">
        <w:rPr>
          <w:bCs/>
        </w:rPr>
        <w:t xml:space="preserve">: </w:t>
      </w:r>
      <w:hyperlink r:id="rId9" w:history="1">
        <w:r w:rsidRPr="005060FD">
          <w:rPr>
            <w:rStyle w:val="Hyperlink"/>
            <w:bCs/>
          </w:rPr>
          <w:t>wangikar@iitb.ac.in</w:t>
        </w:r>
      </w:hyperlink>
    </w:p>
    <w:p w14:paraId="0F1AF27E" w14:textId="77777777" w:rsidR="00421EEE" w:rsidRDefault="00421EEE" w:rsidP="00421EEE">
      <w:pPr>
        <w:jc w:val="both"/>
      </w:pPr>
    </w:p>
    <w:p w14:paraId="17D58732" w14:textId="77777777" w:rsidR="00421EEE" w:rsidRDefault="00421EEE" w:rsidP="00421EEE">
      <w:pPr>
        <w:rPr>
          <w:b/>
          <w:bCs/>
        </w:rPr>
      </w:pPr>
      <w:bookmarkStart w:id="0" w:name="_heading=h.1fob9te" w:colFirst="0" w:colLast="0"/>
      <w:bookmarkStart w:id="1" w:name="_heading=h.wlwy0nacw0dj" w:colFirst="0" w:colLast="0"/>
      <w:bookmarkEnd w:id="0"/>
      <w:bookmarkEnd w:id="1"/>
    </w:p>
    <w:p w14:paraId="75B03E36" w14:textId="77777777" w:rsidR="00421EEE" w:rsidRDefault="00421EEE" w:rsidP="00421EEE">
      <w:pPr>
        <w:rPr>
          <w:b/>
          <w:bCs/>
        </w:rPr>
      </w:pPr>
    </w:p>
    <w:p w14:paraId="054F8E8A" w14:textId="77777777" w:rsidR="00421EEE" w:rsidRDefault="00421EEE" w:rsidP="00421EEE">
      <w:pPr>
        <w:rPr>
          <w:b/>
          <w:bCs/>
        </w:rPr>
      </w:pPr>
    </w:p>
    <w:p w14:paraId="581BED6B" w14:textId="77777777" w:rsidR="00421EEE" w:rsidRDefault="00421EEE" w:rsidP="00421EEE">
      <w:pPr>
        <w:rPr>
          <w:b/>
          <w:bCs/>
        </w:rPr>
      </w:pPr>
    </w:p>
    <w:p w14:paraId="426FFEEF" w14:textId="77777777" w:rsidR="00421EEE" w:rsidRDefault="00421EEE" w:rsidP="00421EEE">
      <w:pPr>
        <w:rPr>
          <w:b/>
          <w:bCs/>
        </w:rPr>
      </w:pPr>
    </w:p>
    <w:p w14:paraId="5D93E13A" w14:textId="77777777" w:rsidR="00421EEE" w:rsidRDefault="00421EEE" w:rsidP="00421EEE">
      <w:pPr>
        <w:rPr>
          <w:b/>
          <w:bCs/>
        </w:rPr>
      </w:pPr>
    </w:p>
    <w:p w14:paraId="0D345613" w14:textId="77777777" w:rsidR="00421EEE" w:rsidRDefault="00421EEE" w:rsidP="00421EEE">
      <w:pPr>
        <w:rPr>
          <w:b/>
          <w:bCs/>
        </w:rPr>
      </w:pPr>
    </w:p>
    <w:p w14:paraId="2BD6CEE0" w14:textId="77777777" w:rsidR="00421EEE" w:rsidRDefault="00421EEE" w:rsidP="00421EEE">
      <w:pPr>
        <w:rPr>
          <w:b/>
          <w:bCs/>
        </w:rPr>
      </w:pPr>
    </w:p>
    <w:p w14:paraId="6ACB3526" w14:textId="77777777" w:rsidR="00421EEE" w:rsidRDefault="00421EEE" w:rsidP="00421EEE">
      <w:pPr>
        <w:rPr>
          <w:b/>
          <w:bCs/>
        </w:rPr>
      </w:pPr>
    </w:p>
    <w:p w14:paraId="10C2E17A" w14:textId="77777777" w:rsidR="00421EEE" w:rsidRDefault="00421EEE" w:rsidP="00421EEE">
      <w:pPr>
        <w:rPr>
          <w:b/>
          <w:bCs/>
        </w:rPr>
      </w:pPr>
    </w:p>
    <w:p w14:paraId="1F50C3BD" w14:textId="77777777" w:rsidR="00421EEE" w:rsidRDefault="00421EEE" w:rsidP="00421EEE">
      <w:pPr>
        <w:rPr>
          <w:b/>
          <w:bCs/>
        </w:rPr>
      </w:pPr>
    </w:p>
    <w:p w14:paraId="7871E8E6" w14:textId="77777777" w:rsidR="00421EEE" w:rsidRDefault="00421EEE" w:rsidP="00421EEE">
      <w:pPr>
        <w:rPr>
          <w:b/>
          <w:bCs/>
        </w:rPr>
      </w:pPr>
    </w:p>
    <w:p w14:paraId="4500A515" w14:textId="77777777" w:rsidR="00421EEE" w:rsidRPr="00267EB0" w:rsidRDefault="00421EEE" w:rsidP="00421EEE">
      <w:pPr>
        <w:rPr>
          <w:b/>
          <w:bCs/>
        </w:rPr>
      </w:pPr>
      <w:r w:rsidRPr="00267EB0">
        <w:rPr>
          <w:b/>
          <w:bCs/>
        </w:rPr>
        <w:lastRenderedPageBreak/>
        <w:t>LC-MS/MS instrumentation and analysis</w:t>
      </w:r>
      <w:r>
        <w:rPr>
          <w:b/>
          <w:bCs/>
        </w:rPr>
        <w:t>:</w:t>
      </w:r>
    </w:p>
    <w:p w14:paraId="44C9F543" w14:textId="1DD4084E" w:rsidR="00421EEE" w:rsidRDefault="00421EEE" w:rsidP="00421EEE">
      <w:pPr>
        <w:spacing w:before="240" w:after="240"/>
        <w:jc w:val="both"/>
      </w:pPr>
      <w:r>
        <w:t xml:space="preserve">To achieve chromatographic separation, a 5 μL sample was injected into an HSS T3 column (Waters) and BEH-HILIC column (Waters). Two mobile phases were used: 0.1% formic acid (FA) in water (A) and 0.1% FA and acetonitrile (B). Gradient conditions for HSS T3 column were: 0.01 min = 1% B; 1 min = 15% B; 4 min = 35% B; 7 to 13 min = 95% B; 14 to 18 min = 1% B. The MS data was collected in negative and positive ion mode with an iron spray voltage of 4500 V and interface heater temperature of 450 ºC. The ion source gas 1 and gas 2 (GS1 and GS2) and curtain gas were set at 40, 40, and 35, respectively. Calibration was performed </w:t>
      </w:r>
      <w:r w:rsidR="006706E9">
        <w:t>before injecting each</w:t>
      </w:r>
      <w:r>
        <w:t xml:space="preserve"> biological replicate. The consistency of quantification between calibration curves was checked by running a Quality Control sample that was composed of all biological replicates. Solvent blanks were injected in every fifth sample to check for carryover.</w:t>
      </w:r>
    </w:p>
    <w:p w14:paraId="12D2F4FE" w14:textId="77777777" w:rsidR="00421EEE" w:rsidRDefault="00421EEE" w:rsidP="00421EEE">
      <w:r>
        <w:br w:type="page"/>
      </w:r>
    </w:p>
    <w:p w14:paraId="420D6C18" w14:textId="77777777" w:rsidR="00421EEE" w:rsidRDefault="00421EEE" w:rsidP="00421EEE">
      <w:pPr>
        <w:spacing w:before="240" w:after="240"/>
        <w:jc w:val="both"/>
      </w:pPr>
    </w:p>
    <w:p w14:paraId="17F8BAEC" w14:textId="77777777" w:rsidR="00421EEE" w:rsidRDefault="00421EEE" w:rsidP="00421EEE">
      <w:pPr>
        <w:spacing w:before="240" w:after="240"/>
        <w:jc w:val="center"/>
      </w:pPr>
      <w:r>
        <w:rPr>
          <w:noProof/>
        </w:rPr>
        <w:drawing>
          <wp:inline distT="114300" distB="114300" distL="114300" distR="114300" wp14:anchorId="22FBD69B" wp14:editId="628480D7">
            <wp:extent cx="4766822" cy="4083752"/>
            <wp:effectExtent l="0" t="0" r="0" b="0"/>
            <wp:docPr id="6679650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76948" cy="40924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C27C048" w14:textId="36CD077D" w:rsidR="00421EEE" w:rsidRDefault="00421EEE" w:rsidP="00421EEE">
      <w:pPr>
        <w:spacing w:before="240" w:after="240"/>
      </w:pPr>
      <w:r w:rsidRPr="00C91934">
        <w:rPr>
          <w:b/>
          <w:bCs/>
        </w:rPr>
        <w:t>Figure S</w:t>
      </w:r>
      <w:r>
        <w:rPr>
          <w:b/>
          <w:bCs/>
        </w:rPr>
        <w:t>1</w:t>
      </w:r>
      <w:r w:rsidRPr="00C91934">
        <w:rPr>
          <w:b/>
          <w:bCs/>
        </w:rPr>
        <w:t>.</w:t>
      </w:r>
      <w:r>
        <w:t xml:space="preserve"> </w:t>
      </w:r>
      <w:r>
        <w:rPr>
          <w:b/>
        </w:rPr>
        <w:t xml:space="preserve">Cloning strategy adapted for designing PDGF </w:t>
      </w:r>
      <w:r w:rsidR="00E83B9B">
        <w:rPr>
          <w:b/>
        </w:rPr>
        <w:t xml:space="preserve">expression constructs </w:t>
      </w:r>
      <w:r>
        <w:rPr>
          <w:b/>
        </w:rPr>
        <w:t xml:space="preserve">with </w:t>
      </w:r>
      <w:r w:rsidR="00E83B9B">
        <w:rPr>
          <w:b/>
        </w:rPr>
        <w:t xml:space="preserve">different </w:t>
      </w:r>
      <w:r>
        <w:rPr>
          <w:b/>
        </w:rPr>
        <w:t>fusion tag</w:t>
      </w:r>
      <w:r w:rsidR="00E83B9B">
        <w:rPr>
          <w:b/>
        </w:rPr>
        <w:t>s</w:t>
      </w:r>
      <w:r>
        <w:rPr>
          <w:b/>
        </w:rPr>
        <w:t>.</w:t>
      </w:r>
      <w:r>
        <w:t xml:space="preserve"> The figures represent focused sections of different pET vectors derived from Snapgene software used for clone development. The restriction enzyme sites utilized for cloning PDGF are highlighted with red arrow</w:t>
      </w:r>
      <w:r w:rsidR="00622CB2">
        <w:t>s</w:t>
      </w:r>
      <w:r>
        <w:t>.</w:t>
      </w:r>
    </w:p>
    <w:p w14:paraId="5C086E1C" w14:textId="77777777" w:rsidR="00421EEE" w:rsidRDefault="00421EEE" w:rsidP="00421EEE">
      <w:pPr>
        <w:spacing w:before="240" w:after="240"/>
        <w:jc w:val="center"/>
      </w:pPr>
      <w:r>
        <w:rPr>
          <w:noProof/>
        </w:rPr>
        <w:lastRenderedPageBreak/>
        <w:drawing>
          <wp:inline distT="114300" distB="114300" distL="114300" distR="114300" wp14:anchorId="5B868B09" wp14:editId="5390B6C1">
            <wp:extent cx="2985150" cy="6095727"/>
            <wp:effectExtent l="0" t="0" r="0" b="0"/>
            <wp:docPr id="66796515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85150" cy="609572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A750DD9" w14:textId="700CE5CE" w:rsidR="00421EEE" w:rsidRDefault="00421EEE" w:rsidP="00421EEE">
      <w:pPr>
        <w:spacing w:before="240" w:after="240"/>
      </w:pPr>
      <w:r w:rsidRPr="00C91934">
        <w:rPr>
          <w:b/>
          <w:bCs/>
        </w:rPr>
        <w:t>Figure S</w:t>
      </w:r>
      <w:r>
        <w:rPr>
          <w:b/>
          <w:bCs/>
        </w:rPr>
        <w:t>2</w:t>
      </w:r>
      <w:r w:rsidRPr="00C91934">
        <w:rPr>
          <w:b/>
          <w:bCs/>
        </w:rPr>
        <w:t>.</w:t>
      </w:r>
      <w:r>
        <w:t xml:space="preserve"> </w:t>
      </w:r>
      <w:r>
        <w:rPr>
          <w:b/>
        </w:rPr>
        <w:t>Overview of the effect of thioredoxin tag on cellular metabolism of host strains</w:t>
      </w:r>
      <w:r>
        <w:t xml:space="preserve">. pET32b vector containing thioredoxin tag was expressed in BL21 (DE3) and SHuffle host strains at 16 °C, and the intracellular metabolites were extracted and injected on LC-MS/MS. </w:t>
      </w:r>
      <w:r w:rsidR="007B1244">
        <w:t>In</w:t>
      </w:r>
      <w:r>
        <w:t>tracellular metabolic profile</w:t>
      </w:r>
      <w:r w:rsidR="007B1244">
        <w:t>s</w:t>
      </w:r>
      <w:r>
        <w:t xml:space="preserve"> of Trx-expressing BL21 (DE3) and SHuffle T7 strains to </w:t>
      </w:r>
      <w:r w:rsidR="007B1244">
        <w:t>were compared to those</w:t>
      </w:r>
      <w:r>
        <w:t xml:space="preserve"> of the corresponding host strains. (Data also shown in </w:t>
      </w:r>
      <w:r>
        <w:lastRenderedPageBreak/>
        <w:t>Figure 2 in the main manuscript). The heatmap is generated using the Metastat tool (available at msone.claritybiosystems.com).</w:t>
      </w:r>
    </w:p>
    <w:p w14:paraId="7EB96F9C" w14:textId="77777777" w:rsidR="007B1244" w:rsidRDefault="007B1244" w:rsidP="00421EEE">
      <w:pPr>
        <w:spacing w:before="240" w:after="240"/>
      </w:pPr>
    </w:p>
    <w:p w14:paraId="099B1DB3" w14:textId="315A94BC" w:rsidR="00421EEE" w:rsidRDefault="007B1244" w:rsidP="007B1244">
      <w:r>
        <w:rPr>
          <w:noProof/>
        </w:rPr>
        <w:drawing>
          <wp:inline distT="114300" distB="114300" distL="114300" distR="114300" wp14:anchorId="3A4DE457" wp14:editId="2C55CFD8">
            <wp:extent cx="4467600" cy="3830400"/>
            <wp:effectExtent l="0" t="0" r="0" b="0"/>
            <wp:docPr id="66796507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67600" cy="3830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06EFCD18" w14:textId="524E0D8D" w:rsidR="00B66271" w:rsidRPr="00867ADE" w:rsidRDefault="00421EEE" w:rsidP="00867ADE">
      <w:pPr>
        <w:spacing w:before="240" w:after="240"/>
        <w:rPr>
          <w:b/>
        </w:rPr>
      </w:pPr>
      <w:r>
        <w:rPr>
          <w:b/>
        </w:rPr>
        <w:t xml:space="preserve">Figure S3: HR-MS data showing the presence of soluble PDGF. </w:t>
      </w:r>
      <w:r w:rsidRPr="00C91934">
        <w:rPr>
          <w:bCs/>
        </w:rPr>
        <w:t xml:space="preserve">The supernatant obtained after </w:t>
      </w:r>
      <w:r>
        <w:rPr>
          <w:bCs/>
        </w:rPr>
        <w:t>cell lysis (</w:t>
      </w:r>
      <w:r w:rsidRPr="00C91934">
        <w:rPr>
          <w:bCs/>
        </w:rPr>
        <w:t>sonication</w:t>
      </w:r>
      <w:r>
        <w:rPr>
          <w:bCs/>
        </w:rPr>
        <w:t>)</w:t>
      </w:r>
      <w:r w:rsidRPr="00C91934">
        <w:rPr>
          <w:bCs/>
        </w:rPr>
        <w:t xml:space="preserve"> was loaded onto 12% SDS-PAGE gel. The </w:t>
      </w:r>
      <w:r w:rsidRPr="00C91934">
        <w:rPr>
          <w:bCs/>
          <w:highlight w:val="white"/>
        </w:rPr>
        <w:t>Coomassie brilliant blue</w:t>
      </w:r>
      <w:r>
        <w:rPr>
          <w:bCs/>
          <w:highlight w:val="white"/>
        </w:rPr>
        <w:t>-</w:t>
      </w:r>
      <w:r w:rsidRPr="00C91934">
        <w:rPr>
          <w:bCs/>
        </w:rPr>
        <w:t xml:space="preserve">stained band of the soluble fraction containing PDGF was excised. The standard in-gel trypsin digestion protocol was followed for preparing the sample for proteomic analysis. </w:t>
      </w:r>
      <w:r w:rsidRPr="00C91934">
        <w:rPr>
          <w:bCs/>
          <w:color w:val="222222"/>
          <w:highlight w:val="white"/>
        </w:rPr>
        <w:t xml:space="preserve">Samples were run for MS analysis on Orbitrap Fusion in the </w:t>
      </w:r>
      <w:r w:rsidRPr="00C91934">
        <w:rPr>
          <w:bCs/>
          <w:i/>
          <w:color w:val="222222"/>
          <w:highlight w:val="white"/>
        </w:rPr>
        <w:t>Mass Spectrometry Facility at IIT Bombay (MASSFIITB).</w:t>
      </w:r>
    </w:p>
    <w:sectPr w:rsidR="00B66271" w:rsidRPr="00867ADE" w:rsidSect="00C60BC9">
      <w:footerReference w:type="default" r:id="rId13"/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B76377" w14:textId="77777777" w:rsidR="00883D4A" w:rsidRDefault="00883D4A">
      <w:pPr>
        <w:spacing w:line="240" w:lineRule="auto"/>
      </w:pPr>
      <w:r>
        <w:separator/>
      </w:r>
    </w:p>
  </w:endnote>
  <w:endnote w:type="continuationSeparator" w:id="0">
    <w:p w14:paraId="5EB903ED" w14:textId="77777777" w:rsidR="00883D4A" w:rsidRDefault="00883D4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65844781"/>
      <w:docPartObj>
        <w:docPartGallery w:val="Page Numbers (Bottom of Page)"/>
        <w:docPartUnique/>
      </w:docPartObj>
    </w:sdtPr>
    <w:sdtEndPr>
      <w:rPr>
        <w:noProof/>
        <w:color w:val="000000" w:themeColor="text1"/>
      </w:rPr>
    </w:sdtEndPr>
    <w:sdtContent>
      <w:p w14:paraId="76BEFA15" w14:textId="77777777" w:rsidR="00832233" w:rsidRPr="004C494C" w:rsidRDefault="00B30D8D">
        <w:pPr>
          <w:pStyle w:val="Footer"/>
          <w:jc w:val="center"/>
          <w:rPr>
            <w:color w:val="000000" w:themeColor="text1"/>
          </w:rPr>
        </w:pPr>
        <w:r w:rsidRPr="004C494C">
          <w:rPr>
            <w:color w:val="000000" w:themeColor="text1"/>
          </w:rPr>
          <w:fldChar w:fldCharType="begin"/>
        </w:r>
        <w:r w:rsidRPr="004C494C">
          <w:rPr>
            <w:color w:val="000000" w:themeColor="text1"/>
          </w:rPr>
          <w:instrText xml:space="preserve"> PAGE   \* MERGEFORMAT </w:instrText>
        </w:r>
        <w:r w:rsidRPr="004C494C">
          <w:rPr>
            <w:color w:val="000000" w:themeColor="text1"/>
          </w:rPr>
          <w:fldChar w:fldCharType="separate"/>
        </w:r>
        <w:r w:rsidRPr="004C494C">
          <w:rPr>
            <w:noProof/>
            <w:color w:val="000000" w:themeColor="text1"/>
          </w:rPr>
          <w:t>2</w:t>
        </w:r>
        <w:r w:rsidRPr="004C494C">
          <w:rPr>
            <w:noProof/>
            <w:color w:val="000000" w:themeColor="text1"/>
          </w:rPr>
          <w:fldChar w:fldCharType="end"/>
        </w:r>
      </w:p>
    </w:sdtContent>
  </w:sdt>
  <w:p w14:paraId="178CF2D0" w14:textId="77777777" w:rsidR="00832233" w:rsidRDefault="0083223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ED4D21" w14:textId="77777777" w:rsidR="00883D4A" w:rsidRDefault="00883D4A">
      <w:pPr>
        <w:spacing w:line="240" w:lineRule="auto"/>
      </w:pPr>
      <w:r>
        <w:separator/>
      </w:r>
    </w:p>
  </w:footnote>
  <w:footnote w:type="continuationSeparator" w:id="0">
    <w:p w14:paraId="126093B0" w14:textId="77777777" w:rsidR="00883D4A" w:rsidRDefault="00883D4A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bIwNLI0M7U0NLE0NTVR0lEKTi0uzszPAykwrAUAp6Sl9SwAAAA="/>
  </w:docVars>
  <w:rsids>
    <w:rsidRoot w:val="00421EEE"/>
    <w:rsid w:val="000E58D4"/>
    <w:rsid w:val="0020533D"/>
    <w:rsid w:val="002D4173"/>
    <w:rsid w:val="003747AE"/>
    <w:rsid w:val="00421EEE"/>
    <w:rsid w:val="005060FD"/>
    <w:rsid w:val="00622CB2"/>
    <w:rsid w:val="006706E9"/>
    <w:rsid w:val="007B1244"/>
    <w:rsid w:val="00832233"/>
    <w:rsid w:val="00867ADE"/>
    <w:rsid w:val="00883D4A"/>
    <w:rsid w:val="009D71AF"/>
    <w:rsid w:val="00B30D8D"/>
    <w:rsid w:val="00B60D8F"/>
    <w:rsid w:val="00B66271"/>
    <w:rsid w:val="00C21FDF"/>
    <w:rsid w:val="00E83B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328F8DF"/>
  <w15:chartTrackingRefBased/>
  <w15:docId w15:val="{F090407F-A9FA-488D-A891-D2BC87238D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21EEE"/>
    <w:pPr>
      <w:spacing w:after="0" w:line="48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21EEE"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rsid w:val="00421EE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21EEE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LineNumber">
    <w:name w:val="line number"/>
    <w:basedOn w:val="DefaultParagraphFont"/>
    <w:uiPriority w:val="99"/>
    <w:semiHidden/>
    <w:unhideWhenUsed/>
    <w:rsid w:val="00421E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image" Target="media/image3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styles" Target="styles.xml"/><Relationship Id="rId9" Type="http://schemas.openxmlformats.org/officeDocument/2006/relationships/hyperlink" Target="mailto:wangikar@iitb.ac.in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5043a6ae-19c9-4c10-8520-9d237b233f8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253EFEDB843A4469C3C973759B1D54E" ma:contentTypeVersion="17" ma:contentTypeDescription="Create a new document." ma:contentTypeScope="" ma:versionID="4846f5510d839f0208757fef7e776f2c">
  <xsd:schema xmlns:xsd="http://www.w3.org/2001/XMLSchema" xmlns:xs="http://www.w3.org/2001/XMLSchema" xmlns:p="http://schemas.microsoft.com/office/2006/metadata/properties" xmlns:ns3="5043a6ae-19c9-4c10-8520-9d237b233f8a" xmlns:ns4="5212e118-7cef-4cf3-8bd6-b4086b1c9119" targetNamespace="http://schemas.microsoft.com/office/2006/metadata/properties" ma:root="true" ma:fieldsID="c54777751e9859e702137e1d544774d2" ns3:_="" ns4:_="">
    <xsd:import namespace="5043a6ae-19c9-4c10-8520-9d237b233f8a"/>
    <xsd:import namespace="5212e118-7cef-4cf3-8bd6-b4086b1c911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043a6ae-19c9-4c10-8520-9d237b233f8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12e118-7cef-4cf3-8bd6-b4086b1c9119" elementFormDefault="qualified">
    <xsd:import namespace="http://schemas.microsoft.com/office/2006/documentManagement/types"/>
    <xsd:import namespace="http://schemas.microsoft.com/office/infopath/2007/PartnerControls"/>
    <xsd:element name="SharedWithUsers" ma:index="1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ADFF5077-C2CF-4B96-B198-B440049D6EF1}">
  <ds:schemaRefs>
    <ds:schemaRef ds:uri="http://schemas.microsoft.com/office/2006/metadata/properties"/>
    <ds:schemaRef ds:uri="http://schemas.microsoft.com/office/infopath/2007/PartnerControls"/>
    <ds:schemaRef ds:uri="5043a6ae-19c9-4c10-8520-9d237b233f8a"/>
  </ds:schemaRefs>
</ds:datastoreItem>
</file>

<file path=customXml/itemProps2.xml><?xml version="1.0" encoding="utf-8"?>
<ds:datastoreItem xmlns:ds="http://schemas.openxmlformats.org/officeDocument/2006/customXml" ds:itemID="{D9EFEA3D-2463-4795-A4CF-1A00C01E850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C8C7B5C-4A41-4F7B-8135-0BDBA59AF97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043a6ae-19c9-4c10-8520-9d237b233f8a"/>
    <ds:schemaRef ds:uri="5212e118-7cef-4cf3-8bd6-b4086b1c911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5</Pages>
  <Words>424</Words>
  <Characters>2399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Indian Institute Of Technology Bombay</Company>
  <LinksUpToDate>false</LinksUpToDate>
  <CharactersWithSpaces>2818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Avinash Sunder</cp:lastModifiedBy>
  <cp:revision>13</cp:revision>
  <dcterms:created xsi:type="dcterms:W3CDTF">2023-10-26T16:56:00Z</dcterms:created>
  <dcterms:modified xsi:type="dcterms:W3CDTF">2025-04-16T09:22:00Z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da1646e9-59a6-4e30-bb9c-16554d033b31</vt:lpwstr>
  </property>
  <property fmtid="{D5CDD505-2E9C-101B-9397-08002B2CF9AE}" pid="3" name="ContentTypeId">
    <vt:lpwstr>0x010100C253EFEDB843A4469C3C973759B1D54E</vt:lpwstr>
  </property>
</Properties>
</file>