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121E7" w14:textId="77777777" w:rsidR="006C6034" w:rsidRPr="00600789" w:rsidRDefault="006C6034" w:rsidP="006C6034">
      <w:pPr>
        <w:pStyle w:val="Paragraph"/>
        <w:spacing w:before="0" w:line="480" w:lineRule="auto"/>
        <w:ind w:firstLine="0"/>
        <w:rPr>
          <w:rFonts w:ascii="Arial" w:eastAsiaTheme="minorEastAsia" w:hAnsi="Arial" w:cs="Arial"/>
          <w:b/>
          <w:bCs/>
          <w:color w:val="000000"/>
          <w:sz w:val="28"/>
          <w:szCs w:val="28"/>
          <w:lang w:eastAsia="zh-CN"/>
        </w:rPr>
      </w:pPr>
      <w:r w:rsidRPr="00600789">
        <w:rPr>
          <w:rStyle w:val="fontstyle21"/>
          <w:rFonts w:ascii="Arial" w:hAnsi="Arial" w:cs="Arial"/>
          <w:sz w:val="20"/>
          <w:szCs w:val="20"/>
        </w:rPr>
        <w:t>The</w:t>
      </w:r>
      <w:r w:rsidRPr="00600789">
        <w:rPr>
          <w:rFonts w:ascii="Arial" w:hAnsi="Arial" w:cs="Arial"/>
          <w:sz w:val="28"/>
          <w:szCs w:val="28"/>
        </w:rPr>
        <w:t xml:space="preserve"> </w:t>
      </w:r>
      <w:r w:rsidRPr="00600789">
        <w:rPr>
          <w:rStyle w:val="fontstyle21"/>
          <w:rFonts w:ascii="Arial" w:hAnsi="Arial" w:cs="Arial"/>
          <w:sz w:val="20"/>
          <w:szCs w:val="20"/>
        </w:rPr>
        <w:t>Supplementary information includes:</w:t>
      </w:r>
    </w:p>
    <w:p w14:paraId="358E6612" w14:textId="77777777" w:rsidR="006C6034" w:rsidRPr="00314C45" w:rsidRDefault="006C6034" w:rsidP="006C6034">
      <w:pPr>
        <w:pBdr>
          <w:top w:val="nil"/>
          <w:left w:val="nil"/>
          <w:bottom w:val="nil"/>
          <w:right w:val="nil"/>
          <w:between w:val="nil"/>
        </w:pBdr>
        <w:spacing w:after="0" w:line="360" w:lineRule="auto"/>
        <w:contextualSpacing/>
        <w:rPr>
          <w:rStyle w:val="fontstyle21"/>
          <w:rFonts w:ascii="Arial" w:hAnsi="Arial" w:cs="Arial"/>
          <w:sz w:val="20"/>
          <w:szCs w:val="20"/>
          <w:lang w:eastAsia="zh-CN"/>
        </w:rPr>
      </w:pPr>
      <w:r w:rsidRPr="00314C45">
        <w:rPr>
          <w:rStyle w:val="fontstyle21"/>
          <w:rFonts w:ascii="Arial" w:eastAsia="Times New Roman" w:hAnsi="Arial"/>
          <w:sz w:val="20"/>
          <w:szCs w:val="20"/>
        </w:rPr>
        <w:t>Materials and Methods</w:t>
      </w:r>
    </w:p>
    <w:p w14:paraId="32EEA17F" w14:textId="77777777" w:rsidR="006C6034" w:rsidRDefault="006C6034" w:rsidP="006C6034">
      <w:pPr>
        <w:pStyle w:val="Paragraph"/>
        <w:spacing w:before="0" w:line="480" w:lineRule="auto"/>
        <w:ind w:firstLine="0"/>
        <w:rPr>
          <w:rStyle w:val="fontstyle21"/>
          <w:rFonts w:ascii="Arial" w:eastAsiaTheme="minorEastAsia" w:hAnsi="Arial" w:cs="Arial"/>
          <w:sz w:val="20"/>
          <w:szCs w:val="20"/>
          <w:lang w:eastAsia="zh-CN"/>
        </w:rPr>
      </w:pPr>
      <w:r w:rsidRPr="00600789">
        <w:rPr>
          <w:rStyle w:val="fontstyle21"/>
          <w:rFonts w:ascii="Arial" w:hAnsi="Arial" w:cs="Arial"/>
          <w:sz w:val="20"/>
          <w:szCs w:val="20"/>
        </w:rPr>
        <w:t xml:space="preserve">Supplemental Figure 1 to </w:t>
      </w:r>
      <w:r w:rsidRPr="00600789">
        <w:rPr>
          <w:rStyle w:val="fontstyle21"/>
          <w:rFonts w:ascii="Arial" w:eastAsiaTheme="minorEastAsia" w:hAnsi="Arial" w:cs="Arial"/>
          <w:sz w:val="20"/>
          <w:szCs w:val="20"/>
          <w:lang w:eastAsia="zh-CN"/>
        </w:rPr>
        <w:t>2</w:t>
      </w:r>
      <w:r>
        <w:rPr>
          <w:rStyle w:val="fontstyle21"/>
          <w:rFonts w:ascii="Arial" w:eastAsiaTheme="minorEastAsia" w:hAnsi="Arial" w:cs="Arial" w:hint="eastAsia"/>
          <w:sz w:val="20"/>
          <w:szCs w:val="20"/>
          <w:lang w:eastAsia="zh-CN"/>
        </w:rPr>
        <w:t>.</w:t>
      </w:r>
    </w:p>
    <w:p w14:paraId="07B660A1" w14:textId="77777777" w:rsidR="006C6034" w:rsidRPr="00314C45" w:rsidRDefault="006C6034" w:rsidP="006C6034">
      <w:pPr>
        <w:spacing w:after="0"/>
        <w:rPr>
          <w:rStyle w:val="fontstyle21"/>
          <w:rFonts w:ascii="Arial" w:eastAsia="Times New Roman" w:hAnsi="Arial"/>
          <w:sz w:val="20"/>
          <w:szCs w:val="20"/>
        </w:rPr>
      </w:pPr>
      <w:r w:rsidRPr="00314C45">
        <w:rPr>
          <w:rStyle w:val="fontstyle21"/>
          <w:rFonts w:ascii="Arial" w:eastAsia="Times New Roman" w:hAnsi="Arial"/>
          <w:sz w:val="20"/>
          <w:szCs w:val="20"/>
        </w:rPr>
        <w:t>Supplementary Table 1.</w:t>
      </w:r>
    </w:p>
    <w:p w14:paraId="7AA5ABA5" w14:textId="77777777" w:rsidR="006C6034" w:rsidRDefault="006C6034" w:rsidP="006C6034">
      <w:pPr>
        <w:spacing w:after="0"/>
        <w:rPr>
          <w:rStyle w:val="fontstyle21"/>
          <w:rFonts w:ascii="Arial" w:eastAsia="Times New Roman" w:hAnsi="Arial" w:cs="Arial"/>
          <w:sz w:val="20"/>
          <w:szCs w:val="20"/>
        </w:rPr>
      </w:pPr>
      <w:r>
        <w:rPr>
          <w:rStyle w:val="fontstyle21"/>
          <w:rFonts w:ascii="Arial" w:hAnsi="Arial" w:cs="Arial"/>
          <w:sz w:val="20"/>
          <w:szCs w:val="20"/>
        </w:rPr>
        <w:br w:type="page"/>
      </w:r>
    </w:p>
    <w:p w14:paraId="40B6CAC2"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lastRenderedPageBreak/>
        <w:t>CT analysis</w:t>
      </w:r>
    </w:p>
    <w:p w14:paraId="3F8D4B05"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 xml:space="preserve">Fractured femurs from mice were skinned and fixed in 70% ethanol. The femurs were scanned using a </w:t>
      </w:r>
      <w:proofErr w:type="spellStart"/>
      <w:r w:rsidRPr="00661D48">
        <w:rPr>
          <w:rFonts w:ascii="Arial" w:hAnsi="Arial" w:cs="Arial"/>
          <w:sz w:val="20"/>
          <w:szCs w:val="20"/>
        </w:rPr>
        <w:t>Skyscan</w:t>
      </w:r>
      <w:proofErr w:type="spellEnd"/>
      <w:r w:rsidRPr="00661D48">
        <w:rPr>
          <w:rFonts w:ascii="Arial" w:hAnsi="Arial" w:cs="Arial"/>
          <w:sz w:val="20"/>
          <w:szCs w:val="20"/>
        </w:rPr>
        <w:t xml:space="preserve"> 1172 micro-CT scanner (Bruker, </w:t>
      </w:r>
      <w:proofErr w:type="spellStart"/>
      <w:r w:rsidRPr="00661D48">
        <w:rPr>
          <w:rFonts w:ascii="Arial" w:hAnsi="Arial" w:cs="Arial"/>
          <w:sz w:val="20"/>
          <w:szCs w:val="20"/>
        </w:rPr>
        <w:t>Kartuizersweg</w:t>
      </w:r>
      <w:proofErr w:type="spellEnd"/>
      <w:r w:rsidRPr="00661D48">
        <w:rPr>
          <w:rFonts w:ascii="Arial" w:hAnsi="Arial" w:cs="Arial"/>
          <w:sz w:val="20"/>
          <w:szCs w:val="20"/>
        </w:rPr>
        <w:t xml:space="preserve">, Belgium) at a spatial resolution of 5 </w:t>
      </w:r>
      <w:proofErr w:type="spellStart"/>
      <w:r w:rsidRPr="00661D48">
        <w:rPr>
          <w:rFonts w:ascii="Arial" w:hAnsi="Arial" w:cs="Arial"/>
          <w:sz w:val="20"/>
          <w:szCs w:val="20"/>
        </w:rPr>
        <w:t>μm</w:t>
      </w:r>
      <w:proofErr w:type="spellEnd"/>
      <w:r w:rsidRPr="00661D48">
        <w:rPr>
          <w:rFonts w:ascii="Arial" w:hAnsi="Arial" w:cs="Arial"/>
          <w:sz w:val="20"/>
          <w:szCs w:val="20"/>
        </w:rPr>
        <w:t xml:space="preserve">. The x-ray settings were 49 </w:t>
      </w:r>
      <w:proofErr w:type="spellStart"/>
      <w:r w:rsidRPr="00661D48">
        <w:rPr>
          <w:rFonts w:ascii="Arial" w:hAnsi="Arial" w:cs="Arial"/>
          <w:sz w:val="20"/>
          <w:szCs w:val="20"/>
        </w:rPr>
        <w:t>kVp</w:t>
      </w:r>
      <w:proofErr w:type="spellEnd"/>
      <w:r w:rsidRPr="00661D48">
        <w:rPr>
          <w:rFonts w:ascii="Arial" w:hAnsi="Arial" w:cs="Arial"/>
          <w:sz w:val="20"/>
          <w:szCs w:val="20"/>
        </w:rPr>
        <w:t xml:space="preserve"> and 179 </w:t>
      </w:r>
      <w:proofErr w:type="spellStart"/>
      <w:r w:rsidRPr="00661D48">
        <w:rPr>
          <w:rFonts w:ascii="Arial" w:hAnsi="Arial" w:cs="Arial"/>
          <w:sz w:val="20"/>
          <w:szCs w:val="20"/>
        </w:rPr>
        <w:t>μA</w:t>
      </w:r>
      <w:proofErr w:type="spellEnd"/>
      <w:r w:rsidRPr="00661D48">
        <w:rPr>
          <w:rFonts w:ascii="Arial" w:hAnsi="Arial" w:cs="Arial"/>
          <w:sz w:val="20"/>
          <w:szCs w:val="20"/>
        </w:rPr>
        <w:t xml:space="preserve">. Three-dimensional bone reconstruction was performed using </w:t>
      </w:r>
      <w:proofErr w:type="spellStart"/>
      <w:r w:rsidRPr="00661D48">
        <w:rPr>
          <w:rFonts w:ascii="Arial" w:hAnsi="Arial" w:cs="Arial"/>
          <w:sz w:val="20"/>
          <w:szCs w:val="20"/>
        </w:rPr>
        <w:t>CTVol</w:t>
      </w:r>
      <w:proofErr w:type="spellEnd"/>
      <w:r w:rsidRPr="00661D48">
        <w:rPr>
          <w:rFonts w:ascii="Arial" w:hAnsi="Arial" w:cs="Arial"/>
          <w:sz w:val="20"/>
          <w:szCs w:val="20"/>
        </w:rPr>
        <w:t xml:space="preserve"> software.</w:t>
      </w:r>
      <w:bookmarkStart w:id="0" w:name="OLE_LINK1"/>
    </w:p>
    <w:p w14:paraId="2A83D0CA" w14:textId="77777777" w:rsidR="006C6034" w:rsidRPr="00661D48" w:rsidRDefault="006C6034" w:rsidP="006C6034">
      <w:pPr>
        <w:pStyle w:val="af1"/>
        <w:ind w:firstLineChars="0" w:firstLine="0"/>
        <w:contextualSpacing/>
        <w:rPr>
          <w:rFonts w:ascii="Arial" w:hAnsi="Arial" w:cs="Arial"/>
          <w:b/>
          <w:bCs/>
          <w:kern w:val="0"/>
          <w:sz w:val="20"/>
          <w:szCs w:val="20"/>
        </w:rPr>
      </w:pPr>
    </w:p>
    <w:p w14:paraId="1DEDA449" w14:textId="77777777" w:rsidR="006C6034" w:rsidRPr="00661D48" w:rsidRDefault="006C6034" w:rsidP="006C6034">
      <w:pPr>
        <w:pStyle w:val="af1"/>
        <w:ind w:firstLineChars="0" w:firstLine="0"/>
        <w:contextualSpacing/>
        <w:rPr>
          <w:rFonts w:ascii="Arial" w:hAnsi="Arial" w:cs="Arial"/>
          <w:b/>
          <w:bCs/>
          <w:kern w:val="0"/>
          <w:sz w:val="20"/>
          <w:szCs w:val="20"/>
        </w:rPr>
      </w:pPr>
      <w:r w:rsidRPr="00661D48">
        <w:rPr>
          <w:rFonts w:ascii="Arial" w:hAnsi="Arial" w:cs="Arial"/>
          <w:b/>
          <w:bCs/>
          <w:kern w:val="0"/>
          <w:sz w:val="20"/>
          <w:szCs w:val="20"/>
        </w:rPr>
        <w:t>Histology and immunostaining</w:t>
      </w:r>
    </w:p>
    <w:p w14:paraId="40C44243"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 xml:space="preserve">Tissues were fixed in 4% paraformaldehyde for 48 hours and decalcified in 15% diethyl </w:t>
      </w:r>
      <w:proofErr w:type="spellStart"/>
      <w:r w:rsidRPr="00661D48">
        <w:rPr>
          <w:rFonts w:ascii="Arial" w:hAnsi="Arial" w:cs="Arial"/>
          <w:kern w:val="0"/>
          <w:sz w:val="20"/>
          <w:szCs w:val="20"/>
        </w:rPr>
        <w:t>pyrocarbonate</w:t>
      </w:r>
      <w:proofErr w:type="spellEnd"/>
      <w:r w:rsidRPr="00661D48">
        <w:rPr>
          <w:rFonts w:ascii="Arial" w:hAnsi="Arial" w:cs="Arial"/>
          <w:kern w:val="0"/>
          <w:sz w:val="20"/>
          <w:szCs w:val="20"/>
        </w:rPr>
        <w:t xml:space="preserve">–EDTA (pH 7.8). Specimens were then embedded in paraffin and sectioned at a thickness of 5 </w:t>
      </w:r>
      <w:proofErr w:type="spellStart"/>
      <w:r w:rsidRPr="00661D48">
        <w:rPr>
          <w:rFonts w:ascii="Arial" w:hAnsi="Arial" w:cs="Arial"/>
          <w:kern w:val="0"/>
          <w:sz w:val="20"/>
          <w:szCs w:val="20"/>
        </w:rPr>
        <w:t>μm</w:t>
      </w:r>
      <w:proofErr w:type="spellEnd"/>
      <w:r w:rsidRPr="00661D48">
        <w:rPr>
          <w:rFonts w:ascii="Arial" w:hAnsi="Arial" w:cs="Arial"/>
          <w:kern w:val="0"/>
          <w:sz w:val="20"/>
          <w:szCs w:val="20"/>
        </w:rPr>
        <w:t>.</w:t>
      </w:r>
    </w:p>
    <w:p w14:paraId="442ED197"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 xml:space="preserve">Frozen bone samples were thawed at room temperature for 10 minutes, rehydrated with PBS, and blocked for 1 hour. Samples were incubated with primary antibodies overnight at 4°C. Following incubation, the samples were washed three times with PBS and subsequently incubated with secondary antibodies for 1 hour, followed by another three PBS washes. The samples were mounted with </w:t>
      </w:r>
      <w:proofErr w:type="spellStart"/>
      <w:r w:rsidRPr="00661D48">
        <w:rPr>
          <w:rFonts w:ascii="Arial" w:hAnsi="Arial" w:cs="Arial"/>
          <w:kern w:val="0"/>
          <w:sz w:val="20"/>
          <w:szCs w:val="20"/>
        </w:rPr>
        <w:t>fluoroshield</w:t>
      </w:r>
      <w:proofErr w:type="spellEnd"/>
      <w:r w:rsidRPr="00661D48">
        <w:rPr>
          <w:rFonts w:ascii="Arial" w:hAnsi="Arial" w:cs="Arial"/>
          <w:kern w:val="0"/>
          <w:sz w:val="20"/>
          <w:szCs w:val="20"/>
        </w:rPr>
        <w:t xml:space="preserve"> mounting medium containing 4′,6-diamidino-2-phenylindole (DAPI). Images were acquired using an Olympus confocal microscope and an Olympus fluorescence microscope.</w:t>
      </w:r>
    </w:p>
    <w:p w14:paraId="532B721C"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The following primary antibodies were used:</w:t>
      </w:r>
    </w:p>
    <w:p w14:paraId="44C5775C"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SOX9 (1:200 dilution; R&amp;D Systems, AF3075)</w:t>
      </w:r>
    </w:p>
    <w:p w14:paraId="6680E06F"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OPN (1:200 dilution; R&amp;D Systems, AF808)</w:t>
      </w:r>
    </w:p>
    <w:p w14:paraId="792EDE42"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EMCN (1:200 dilution; Santa Cruz Biotechnology, sc-65495)</w:t>
      </w:r>
    </w:p>
    <w:p w14:paraId="16118550"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CXCL12 (1:200 dilution; Abcam, ab155090)</w:t>
      </w:r>
    </w:p>
    <w:p w14:paraId="393400F1" w14:textId="77777777" w:rsidR="006C6034" w:rsidRPr="00661D48" w:rsidRDefault="006C6034" w:rsidP="006C6034">
      <w:pPr>
        <w:pStyle w:val="af1"/>
        <w:ind w:firstLineChars="0" w:firstLine="0"/>
        <w:contextualSpacing/>
        <w:rPr>
          <w:rFonts w:ascii="Arial" w:hAnsi="Arial" w:cs="Arial"/>
          <w:kern w:val="0"/>
          <w:sz w:val="20"/>
          <w:szCs w:val="20"/>
        </w:rPr>
      </w:pPr>
      <w:proofErr w:type="gramStart"/>
      <w:r w:rsidRPr="00661D48">
        <w:rPr>
          <w:rFonts w:ascii="Arial" w:hAnsi="Arial" w:cs="Arial"/>
          <w:kern w:val="0"/>
          <w:sz w:val="20"/>
          <w:szCs w:val="20"/>
        </w:rPr>
        <w:t>POSTN(</w:t>
      </w:r>
      <w:proofErr w:type="gramEnd"/>
      <w:r w:rsidRPr="00661D48">
        <w:rPr>
          <w:rFonts w:ascii="Arial" w:hAnsi="Arial" w:cs="Arial"/>
          <w:kern w:val="0"/>
          <w:sz w:val="20"/>
          <w:szCs w:val="20"/>
        </w:rPr>
        <w:t>1:200, R&amp;D, AF2955)</w:t>
      </w:r>
    </w:p>
    <w:p w14:paraId="1B14DDD8" w14:textId="77777777" w:rsidR="006C6034" w:rsidRPr="00661D48" w:rsidRDefault="006C6034" w:rsidP="006C6034">
      <w:pPr>
        <w:pStyle w:val="af1"/>
        <w:ind w:firstLineChars="0" w:firstLine="0"/>
        <w:contextualSpacing/>
        <w:rPr>
          <w:rFonts w:ascii="Arial" w:hAnsi="Arial" w:cs="Arial"/>
          <w:kern w:val="0"/>
          <w:sz w:val="20"/>
          <w:szCs w:val="20"/>
        </w:rPr>
      </w:pPr>
      <w:proofErr w:type="gramStart"/>
      <w:r w:rsidRPr="00661D48">
        <w:rPr>
          <w:rFonts w:ascii="Arial" w:hAnsi="Arial" w:cs="Arial"/>
          <w:kern w:val="0"/>
          <w:sz w:val="20"/>
          <w:szCs w:val="20"/>
        </w:rPr>
        <w:t>CTSK(</w:t>
      </w:r>
      <w:proofErr w:type="gramEnd"/>
      <w:r w:rsidRPr="00661D48">
        <w:rPr>
          <w:rFonts w:ascii="Arial" w:hAnsi="Arial" w:cs="Arial"/>
          <w:kern w:val="0"/>
          <w:sz w:val="20"/>
          <w:szCs w:val="20"/>
        </w:rPr>
        <w:t>1:100, Santa Cruz, sc-48353)</w:t>
      </w:r>
    </w:p>
    <w:p w14:paraId="0A8F551B" w14:textId="77777777" w:rsidR="006C6034" w:rsidRPr="00661D48" w:rsidRDefault="006C6034" w:rsidP="006C6034">
      <w:pPr>
        <w:pStyle w:val="af1"/>
        <w:ind w:firstLineChars="0" w:firstLine="0"/>
        <w:contextualSpacing/>
        <w:rPr>
          <w:rFonts w:ascii="Arial" w:hAnsi="Arial" w:cs="Arial"/>
          <w:kern w:val="0"/>
          <w:sz w:val="20"/>
          <w:szCs w:val="20"/>
        </w:rPr>
      </w:pPr>
      <w:r w:rsidRPr="00661D48">
        <w:rPr>
          <w:rFonts w:ascii="Arial" w:hAnsi="Arial" w:cs="Arial"/>
          <w:kern w:val="0"/>
          <w:sz w:val="20"/>
          <w:szCs w:val="20"/>
        </w:rPr>
        <w:t xml:space="preserve">CD200(1:100, </w:t>
      </w:r>
      <w:proofErr w:type="spellStart"/>
      <w:r w:rsidRPr="00661D48">
        <w:rPr>
          <w:rFonts w:ascii="Arial" w:hAnsi="Arial" w:cs="Arial"/>
          <w:kern w:val="0"/>
          <w:sz w:val="20"/>
          <w:szCs w:val="20"/>
        </w:rPr>
        <w:t>Biolegend</w:t>
      </w:r>
      <w:proofErr w:type="spellEnd"/>
      <w:r w:rsidRPr="00661D48">
        <w:rPr>
          <w:rFonts w:ascii="Arial" w:hAnsi="Arial" w:cs="Arial"/>
          <w:kern w:val="0"/>
          <w:sz w:val="20"/>
          <w:szCs w:val="20"/>
        </w:rPr>
        <w:t>, 123809)</w:t>
      </w:r>
    </w:p>
    <w:p w14:paraId="37C091AD" w14:textId="77777777" w:rsidR="006C6034" w:rsidRPr="00661D48" w:rsidRDefault="006C6034" w:rsidP="006C6034">
      <w:pPr>
        <w:pStyle w:val="af1"/>
        <w:ind w:firstLineChars="0" w:firstLine="0"/>
        <w:contextualSpacing/>
        <w:rPr>
          <w:rFonts w:ascii="Arial" w:hAnsi="Arial" w:cs="Arial"/>
          <w:kern w:val="0"/>
          <w:sz w:val="20"/>
          <w:szCs w:val="20"/>
        </w:rPr>
      </w:pPr>
      <w:proofErr w:type="spellStart"/>
      <w:r w:rsidRPr="00661D48">
        <w:rPr>
          <w:rFonts w:ascii="Arial" w:hAnsi="Arial" w:cs="Arial"/>
          <w:kern w:val="0"/>
          <w:sz w:val="20"/>
          <w:szCs w:val="20"/>
        </w:rPr>
        <w:t>PDGFRa</w:t>
      </w:r>
      <w:proofErr w:type="spellEnd"/>
      <w:r w:rsidRPr="00661D48">
        <w:rPr>
          <w:rFonts w:ascii="Arial" w:hAnsi="Arial" w:cs="Arial"/>
          <w:kern w:val="0"/>
          <w:sz w:val="20"/>
          <w:szCs w:val="20"/>
        </w:rPr>
        <w:t xml:space="preserve"> (1:100</w:t>
      </w:r>
      <w:proofErr w:type="gramStart"/>
      <w:r w:rsidRPr="00661D48">
        <w:rPr>
          <w:rFonts w:ascii="Arial" w:hAnsi="Arial" w:cs="Arial"/>
          <w:kern w:val="0"/>
          <w:sz w:val="20"/>
          <w:szCs w:val="20"/>
        </w:rPr>
        <w:t>,  R</w:t>
      </w:r>
      <w:proofErr w:type="gramEnd"/>
      <w:r w:rsidRPr="00661D48">
        <w:rPr>
          <w:rFonts w:ascii="Arial" w:hAnsi="Arial" w:cs="Arial"/>
          <w:kern w:val="0"/>
          <w:sz w:val="20"/>
          <w:szCs w:val="20"/>
        </w:rPr>
        <w:t>&amp;D, AF1062)</w:t>
      </w:r>
    </w:p>
    <w:p w14:paraId="71A15B68" w14:textId="77777777" w:rsidR="006C6034" w:rsidRPr="00661D48" w:rsidRDefault="006C6034" w:rsidP="006C6034">
      <w:pPr>
        <w:spacing w:line="360" w:lineRule="auto"/>
        <w:contextualSpacing/>
        <w:rPr>
          <w:rFonts w:ascii="Arial" w:eastAsia="宋体" w:hAnsi="Arial" w:cs="Arial"/>
          <w:sz w:val="20"/>
          <w:szCs w:val="20"/>
        </w:rPr>
      </w:pPr>
      <w:r w:rsidRPr="00661D48">
        <w:rPr>
          <w:rFonts w:ascii="Arial" w:eastAsia="宋体" w:hAnsi="Arial" w:cs="Arial"/>
          <w:sz w:val="20"/>
          <w:szCs w:val="20"/>
        </w:rPr>
        <w:t>Histological staining was performed using the Safranin O and Fast Green Cartilage Staining Kit and the Hematoxylin and Eosin Staining Kit (</w:t>
      </w:r>
      <w:proofErr w:type="spellStart"/>
      <w:r w:rsidRPr="00661D48">
        <w:rPr>
          <w:rFonts w:ascii="Arial" w:eastAsia="宋体" w:hAnsi="Arial" w:cs="Arial"/>
          <w:sz w:val="20"/>
          <w:szCs w:val="20"/>
        </w:rPr>
        <w:t>Beyotime</w:t>
      </w:r>
      <w:proofErr w:type="spellEnd"/>
      <w:r w:rsidRPr="00661D48">
        <w:rPr>
          <w:rFonts w:ascii="Arial" w:eastAsia="宋体" w:hAnsi="Arial" w:cs="Arial"/>
          <w:sz w:val="20"/>
          <w:szCs w:val="20"/>
        </w:rPr>
        <w:t xml:space="preserve"> Biotechnology).</w:t>
      </w:r>
      <w:bookmarkEnd w:id="0"/>
    </w:p>
    <w:p w14:paraId="563CA283" w14:textId="77777777" w:rsidR="006C6034" w:rsidRPr="00661D48" w:rsidRDefault="006C6034" w:rsidP="006C6034">
      <w:pPr>
        <w:spacing w:line="360" w:lineRule="auto"/>
        <w:contextualSpacing/>
        <w:rPr>
          <w:rFonts w:ascii="Arial" w:eastAsia="宋体" w:hAnsi="Arial" w:cs="Arial"/>
          <w:b/>
          <w:bCs/>
          <w:sz w:val="20"/>
          <w:szCs w:val="20"/>
        </w:rPr>
      </w:pPr>
    </w:p>
    <w:p w14:paraId="6F334DA2" w14:textId="77777777" w:rsidR="006C6034" w:rsidRPr="00661D48" w:rsidRDefault="006C6034" w:rsidP="006C6034">
      <w:pPr>
        <w:spacing w:line="360" w:lineRule="auto"/>
        <w:contextualSpacing/>
        <w:rPr>
          <w:rFonts w:ascii="Arial" w:eastAsia="宋体" w:hAnsi="Arial" w:cs="Arial"/>
          <w:b/>
          <w:bCs/>
          <w:sz w:val="20"/>
          <w:szCs w:val="20"/>
        </w:rPr>
      </w:pPr>
      <w:r w:rsidRPr="00661D48">
        <w:rPr>
          <w:rFonts w:ascii="Arial" w:eastAsia="宋体" w:hAnsi="Arial" w:cs="Arial"/>
          <w:b/>
          <w:bCs/>
          <w:sz w:val="20"/>
          <w:szCs w:val="20"/>
        </w:rPr>
        <w:t>Sample preparation for frozen sections</w:t>
      </w:r>
    </w:p>
    <w:p w14:paraId="1E363C16" w14:textId="77777777" w:rsidR="006C6034" w:rsidRPr="00661D48" w:rsidRDefault="006C6034" w:rsidP="006C6034">
      <w:pPr>
        <w:spacing w:line="360" w:lineRule="auto"/>
        <w:contextualSpacing/>
        <w:rPr>
          <w:rFonts w:ascii="Arial" w:eastAsia="宋体" w:hAnsi="Arial" w:cs="Arial"/>
          <w:sz w:val="20"/>
          <w:szCs w:val="20"/>
        </w:rPr>
      </w:pPr>
      <w:r w:rsidRPr="00661D48">
        <w:rPr>
          <w:rFonts w:ascii="Arial" w:eastAsia="宋体" w:hAnsi="Arial" w:cs="Arial"/>
          <w:sz w:val="20"/>
          <w:szCs w:val="20"/>
        </w:rPr>
        <w:t xml:space="preserve">Freshly extracted fractured mouse femurs were collected and fixed in 4% paraformaldehyde for 36 hours at 4°C. Samples were decalcified in 15% EDTA for 21 days, followed by thorough washing in PBS. The samples were then incubated overnight at 4°C in PBS containing 30% sucrose and subsequently embedded in optimum cutting temperature (OCT) embedding medium. Prepared samples were stored at −80°C. Sections were cut at a thickness of 15 </w:t>
      </w:r>
      <w:proofErr w:type="spellStart"/>
      <w:r w:rsidRPr="00661D48">
        <w:rPr>
          <w:rFonts w:ascii="Arial" w:eastAsia="宋体" w:hAnsi="Arial" w:cs="Arial"/>
          <w:sz w:val="20"/>
          <w:szCs w:val="20"/>
        </w:rPr>
        <w:t>μm</w:t>
      </w:r>
      <w:proofErr w:type="spellEnd"/>
      <w:r w:rsidRPr="00661D48">
        <w:rPr>
          <w:rFonts w:ascii="Arial" w:eastAsia="宋体" w:hAnsi="Arial" w:cs="Arial"/>
          <w:sz w:val="20"/>
          <w:szCs w:val="20"/>
        </w:rPr>
        <w:t xml:space="preserve"> using a Leica cryostat.</w:t>
      </w:r>
    </w:p>
    <w:p w14:paraId="21ABD1C4" w14:textId="77777777" w:rsidR="006C6034" w:rsidRPr="00661D48" w:rsidRDefault="006C6034" w:rsidP="006C6034">
      <w:pPr>
        <w:spacing w:line="360" w:lineRule="auto"/>
        <w:contextualSpacing/>
        <w:rPr>
          <w:rFonts w:ascii="Arial" w:eastAsia="宋体" w:hAnsi="Arial" w:cs="Arial"/>
          <w:b/>
          <w:bCs/>
          <w:sz w:val="20"/>
          <w:szCs w:val="20"/>
        </w:rPr>
      </w:pPr>
    </w:p>
    <w:p w14:paraId="579B0167" w14:textId="77777777" w:rsidR="006C6034" w:rsidRPr="00661D48" w:rsidRDefault="006C6034" w:rsidP="006C6034">
      <w:pPr>
        <w:spacing w:line="360" w:lineRule="auto"/>
        <w:contextualSpacing/>
        <w:rPr>
          <w:rFonts w:ascii="Arial" w:eastAsia="宋体" w:hAnsi="Arial" w:cs="Arial"/>
          <w:b/>
          <w:bCs/>
          <w:sz w:val="20"/>
          <w:szCs w:val="20"/>
        </w:rPr>
      </w:pPr>
      <w:r w:rsidRPr="00661D48">
        <w:rPr>
          <w:rFonts w:ascii="Arial" w:eastAsia="宋体" w:hAnsi="Arial" w:cs="Arial"/>
          <w:b/>
          <w:bCs/>
          <w:sz w:val="20"/>
          <w:szCs w:val="20"/>
        </w:rPr>
        <w:lastRenderedPageBreak/>
        <w:t>Biomechanical testing</w:t>
      </w:r>
    </w:p>
    <w:p w14:paraId="7091A4E8" w14:textId="77777777" w:rsidR="006C6034" w:rsidRPr="00661D48" w:rsidRDefault="006C6034" w:rsidP="006C6034">
      <w:pPr>
        <w:spacing w:line="360" w:lineRule="auto"/>
        <w:contextualSpacing/>
        <w:rPr>
          <w:rFonts w:ascii="Arial" w:eastAsia="宋体" w:hAnsi="Arial" w:cs="Arial"/>
          <w:sz w:val="20"/>
          <w:szCs w:val="20"/>
        </w:rPr>
      </w:pPr>
      <w:r w:rsidRPr="00661D48">
        <w:rPr>
          <w:rFonts w:ascii="Arial" w:eastAsia="宋体" w:hAnsi="Arial" w:cs="Arial"/>
          <w:sz w:val="20"/>
          <w:szCs w:val="20"/>
        </w:rPr>
        <w:t>Fractured femurs were skinned and fixed in saline solution prior to testing. Three-point bending tests were conducted using an Instron 5569 universal testing machine (Instron, Canton, MA) at the femur midshaft with a displacement rate of 0.5 mm/s until the bone fractured. The maximum load was determined from load-deflection diagrams.</w:t>
      </w:r>
    </w:p>
    <w:p w14:paraId="1E7045FB" w14:textId="77777777" w:rsidR="006C6034" w:rsidRPr="00661D48" w:rsidRDefault="006C6034" w:rsidP="006C6034">
      <w:pPr>
        <w:adjustRightInd w:val="0"/>
        <w:spacing w:line="360" w:lineRule="auto"/>
        <w:contextualSpacing/>
        <w:rPr>
          <w:rFonts w:ascii="Arial" w:eastAsia="宋体" w:hAnsi="Arial" w:cs="Arial"/>
          <w:b/>
          <w:bCs/>
          <w:sz w:val="20"/>
          <w:szCs w:val="20"/>
        </w:rPr>
      </w:pPr>
    </w:p>
    <w:p w14:paraId="54395EA9" w14:textId="77777777" w:rsidR="006C6034" w:rsidRPr="00661D48" w:rsidRDefault="006C6034" w:rsidP="006C6034">
      <w:pPr>
        <w:adjustRightInd w:val="0"/>
        <w:spacing w:line="360" w:lineRule="auto"/>
        <w:contextualSpacing/>
        <w:rPr>
          <w:rFonts w:ascii="Arial" w:eastAsia="宋体" w:hAnsi="Arial" w:cs="Arial"/>
          <w:b/>
          <w:bCs/>
          <w:sz w:val="20"/>
          <w:szCs w:val="20"/>
        </w:rPr>
      </w:pPr>
      <w:r w:rsidRPr="00661D48">
        <w:rPr>
          <w:rFonts w:ascii="Arial" w:eastAsia="宋体" w:hAnsi="Arial" w:cs="Arial"/>
          <w:b/>
          <w:bCs/>
          <w:sz w:val="20"/>
          <w:szCs w:val="20"/>
        </w:rPr>
        <w:t>Cell culture</w:t>
      </w:r>
    </w:p>
    <w:p w14:paraId="37F1673D" w14:textId="77777777" w:rsidR="006C6034" w:rsidRPr="00661D48" w:rsidRDefault="006C6034" w:rsidP="006C6034">
      <w:pPr>
        <w:pStyle w:val="af"/>
        <w:adjustRightInd w:val="0"/>
        <w:spacing w:line="360" w:lineRule="auto"/>
        <w:contextualSpacing/>
        <w:rPr>
          <w:rFonts w:ascii="Arial" w:hAnsi="Arial" w:cs="Arial"/>
          <w:kern w:val="2"/>
          <w:sz w:val="20"/>
          <w:szCs w:val="20"/>
        </w:rPr>
      </w:pPr>
      <w:r w:rsidRPr="00661D48">
        <w:rPr>
          <w:rFonts w:ascii="Arial" w:hAnsi="Arial" w:cs="Arial"/>
          <w:kern w:val="2"/>
          <w:sz w:val="20"/>
          <w:szCs w:val="20"/>
        </w:rPr>
        <w:t xml:space="preserve">Primary PCs were isolated from the femurs of 4-week-old mice. After carefully removing the muscles and tendons, the periosteum was scraped under a dissecting microscope and digested with collagenase II (1 mg/ml; Sigma-Aldrich) and </w:t>
      </w:r>
      <w:proofErr w:type="spellStart"/>
      <w:r w:rsidRPr="00661D48">
        <w:rPr>
          <w:rFonts w:ascii="Arial" w:hAnsi="Arial" w:cs="Arial"/>
          <w:kern w:val="2"/>
          <w:sz w:val="20"/>
          <w:szCs w:val="20"/>
        </w:rPr>
        <w:t>dispase</w:t>
      </w:r>
      <w:proofErr w:type="spellEnd"/>
      <w:r w:rsidRPr="00661D48">
        <w:rPr>
          <w:rFonts w:ascii="Arial" w:hAnsi="Arial" w:cs="Arial"/>
          <w:kern w:val="2"/>
          <w:sz w:val="20"/>
          <w:szCs w:val="20"/>
        </w:rPr>
        <w:t xml:space="preserve"> II (2 mg/ml; Roche) for 30 minutes at 37°C. The digested cells were passed through a 70-μm nylon mesh (BD Falcon), pelleted at 1500 rpm for 5 minutes, and resuspended in α-minimal essential medium (α-MEM; Gibco) supplemented with 10% fetal bovine serum (</w:t>
      </w:r>
      <w:proofErr w:type="spellStart"/>
      <w:r w:rsidRPr="00661D48">
        <w:rPr>
          <w:rFonts w:ascii="Arial" w:hAnsi="Arial" w:cs="Arial"/>
          <w:kern w:val="2"/>
          <w:sz w:val="20"/>
          <w:szCs w:val="20"/>
        </w:rPr>
        <w:t>Ausbian</w:t>
      </w:r>
      <w:proofErr w:type="spellEnd"/>
      <w:r w:rsidRPr="00661D48">
        <w:rPr>
          <w:rFonts w:ascii="Arial" w:hAnsi="Arial" w:cs="Arial"/>
          <w:kern w:val="2"/>
          <w:sz w:val="20"/>
          <w:szCs w:val="20"/>
        </w:rPr>
        <w:t>) and 1% penicillin/streptomycin (Gibco). Cells were cultured in an incubator at 37°C with 5% CO</w:t>
      </w:r>
      <w:r w:rsidRPr="00661D48">
        <w:rPr>
          <w:rFonts w:ascii="Cambria Math" w:hAnsi="Cambria Math" w:cs="Cambria Math"/>
          <w:kern w:val="2"/>
          <w:sz w:val="20"/>
          <w:szCs w:val="20"/>
        </w:rPr>
        <w:t>₂</w:t>
      </w:r>
      <w:r w:rsidRPr="00661D48">
        <w:rPr>
          <w:rFonts w:ascii="Arial" w:hAnsi="Arial" w:cs="Arial"/>
          <w:kern w:val="2"/>
          <w:sz w:val="20"/>
          <w:szCs w:val="20"/>
        </w:rPr>
        <w:t>.</w:t>
      </w:r>
    </w:p>
    <w:p w14:paraId="431273F0"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kern w:val="2"/>
          <w:sz w:val="20"/>
          <w:szCs w:val="20"/>
        </w:rPr>
        <w:t>HUVECs were purchased from the American Type Culture Collection and cultured in endothelial cell basal medium 2 (EBM2; Promo Cell) containing 2% fetal calf serum and an endothelial cell growth supplement. HUVECs were cultured with conditional medium (CM) collected from periosteal cells infected with adenovirus expressing either Cre-EGFP or EGFP. Mouse CXCL12 (250 ng/ml) was added to the CM as indicated.</w:t>
      </w:r>
    </w:p>
    <w:p w14:paraId="35F6A3CB" w14:textId="77777777" w:rsidR="006C6034" w:rsidRPr="00661D48" w:rsidRDefault="006C6034" w:rsidP="006C6034">
      <w:pPr>
        <w:pStyle w:val="af"/>
        <w:spacing w:line="360" w:lineRule="auto"/>
        <w:contextualSpacing/>
        <w:rPr>
          <w:rFonts w:ascii="Arial" w:hAnsi="Arial" w:cs="Arial"/>
          <w:b/>
          <w:bCs/>
          <w:kern w:val="2"/>
          <w:sz w:val="20"/>
          <w:szCs w:val="20"/>
        </w:rPr>
      </w:pPr>
    </w:p>
    <w:p w14:paraId="51F661E9"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b/>
          <w:bCs/>
          <w:kern w:val="2"/>
          <w:sz w:val="20"/>
          <w:szCs w:val="20"/>
        </w:rPr>
        <w:t>Adenoviral infection</w:t>
      </w:r>
    </w:p>
    <w:p w14:paraId="74170634"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kern w:val="2"/>
          <w:sz w:val="20"/>
          <w:szCs w:val="20"/>
        </w:rPr>
        <w:t xml:space="preserve">Cre-EGFP and EGFP adenoviruses were purchased from </w:t>
      </w:r>
      <w:proofErr w:type="spellStart"/>
      <w:r w:rsidRPr="00661D48">
        <w:rPr>
          <w:rFonts w:ascii="Arial" w:hAnsi="Arial" w:cs="Arial"/>
          <w:kern w:val="2"/>
          <w:sz w:val="20"/>
          <w:szCs w:val="20"/>
        </w:rPr>
        <w:t>Hanbio</w:t>
      </w:r>
      <w:proofErr w:type="spellEnd"/>
      <w:r w:rsidRPr="00661D48">
        <w:rPr>
          <w:rFonts w:ascii="Arial" w:hAnsi="Arial" w:cs="Arial"/>
          <w:kern w:val="2"/>
          <w:sz w:val="20"/>
          <w:szCs w:val="20"/>
        </w:rPr>
        <w:t xml:space="preserve"> Biotechnology Co., Ltd. (Shanghai). For adenoviral infections, 2 × 10⁵ PCs were seeded in 12-well plates in α-MEM and allowed to adhere for 24 hours. PCs were then infected with adenovirus expressing either Cre-EGFP recombinase or EGFP at a multiplicity of infection of 30. After 4-6 hours of incubation, the medium was replaced with osteogenic medium (</w:t>
      </w:r>
      <w:proofErr w:type="spellStart"/>
      <w:r w:rsidRPr="00661D48">
        <w:rPr>
          <w:rFonts w:ascii="Arial" w:hAnsi="Arial" w:cs="Arial"/>
          <w:kern w:val="2"/>
          <w:sz w:val="20"/>
          <w:szCs w:val="20"/>
        </w:rPr>
        <w:t>Cyagen</w:t>
      </w:r>
      <w:proofErr w:type="spellEnd"/>
      <w:r w:rsidRPr="00661D48">
        <w:rPr>
          <w:rFonts w:ascii="Arial" w:hAnsi="Arial" w:cs="Arial"/>
          <w:kern w:val="2"/>
          <w:sz w:val="20"/>
          <w:szCs w:val="20"/>
        </w:rPr>
        <w:t>, MUBMD-90021).</w:t>
      </w:r>
    </w:p>
    <w:p w14:paraId="3255DB93" w14:textId="77777777" w:rsidR="006C6034" w:rsidRPr="00661D48" w:rsidRDefault="006C6034" w:rsidP="006C6034">
      <w:pPr>
        <w:pStyle w:val="af"/>
        <w:spacing w:line="360" w:lineRule="auto"/>
        <w:contextualSpacing/>
        <w:rPr>
          <w:rFonts w:ascii="Arial" w:hAnsi="Arial" w:cs="Arial"/>
          <w:b/>
          <w:bCs/>
          <w:kern w:val="2"/>
          <w:sz w:val="20"/>
          <w:szCs w:val="20"/>
        </w:rPr>
      </w:pPr>
    </w:p>
    <w:p w14:paraId="22D5526C"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b/>
          <w:bCs/>
          <w:kern w:val="2"/>
          <w:sz w:val="20"/>
          <w:szCs w:val="20"/>
        </w:rPr>
        <w:t>Osteoblast differentiation</w:t>
      </w:r>
    </w:p>
    <w:p w14:paraId="6CC7BFAA"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kern w:val="2"/>
          <w:sz w:val="20"/>
          <w:szCs w:val="20"/>
        </w:rPr>
        <w:t>For in vitro osteoblast differentiation, 2 × 10</w:t>
      </w:r>
      <w:r w:rsidRPr="00661D48">
        <w:rPr>
          <w:rFonts w:ascii="Arial" w:hAnsi="Arial" w:cs="Arial"/>
          <w:kern w:val="2"/>
          <w:sz w:val="20"/>
          <w:szCs w:val="20"/>
          <w:vertAlign w:val="superscript"/>
        </w:rPr>
        <w:t>3</w:t>
      </w:r>
      <w:r w:rsidRPr="00661D48">
        <w:rPr>
          <w:rFonts w:ascii="Arial" w:hAnsi="Arial" w:cs="Arial"/>
          <w:kern w:val="2"/>
          <w:sz w:val="20"/>
          <w:szCs w:val="20"/>
        </w:rPr>
        <w:t xml:space="preserve"> PCs were seeded in 96-well plates and cultured in osteogenic medium (</w:t>
      </w:r>
      <w:proofErr w:type="spellStart"/>
      <w:r w:rsidRPr="00661D48">
        <w:rPr>
          <w:rFonts w:ascii="Arial" w:hAnsi="Arial" w:cs="Arial"/>
          <w:kern w:val="2"/>
          <w:sz w:val="20"/>
          <w:szCs w:val="20"/>
        </w:rPr>
        <w:t>Cyagen</w:t>
      </w:r>
      <w:proofErr w:type="spellEnd"/>
      <w:r w:rsidRPr="00661D48">
        <w:rPr>
          <w:rFonts w:ascii="Arial" w:hAnsi="Arial" w:cs="Arial"/>
          <w:kern w:val="2"/>
          <w:sz w:val="20"/>
          <w:szCs w:val="20"/>
        </w:rPr>
        <w:t>, MUBMD-90021). ALP staining was performed on day 7 using an ALP staining kit (</w:t>
      </w:r>
      <w:proofErr w:type="spellStart"/>
      <w:r w:rsidRPr="00661D48">
        <w:rPr>
          <w:rFonts w:ascii="Arial" w:hAnsi="Arial" w:cs="Arial"/>
          <w:kern w:val="2"/>
          <w:sz w:val="20"/>
          <w:szCs w:val="20"/>
        </w:rPr>
        <w:t>Beyotime</w:t>
      </w:r>
      <w:proofErr w:type="spellEnd"/>
      <w:r w:rsidRPr="00661D48">
        <w:rPr>
          <w:rFonts w:ascii="Arial" w:hAnsi="Arial" w:cs="Arial"/>
          <w:kern w:val="2"/>
          <w:sz w:val="20"/>
          <w:szCs w:val="20"/>
        </w:rPr>
        <w:t xml:space="preserve"> Institute of Biotechnology, P0321S).</w:t>
      </w:r>
    </w:p>
    <w:p w14:paraId="4610D312" w14:textId="77777777" w:rsidR="006C6034" w:rsidRPr="00661D48" w:rsidRDefault="006C6034" w:rsidP="006C6034">
      <w:pPr>
        <w:pStyle w:val="af"/>
        <w:spacing w:line="360" w:lineRule="auto"/>
        <w:contextualSpacing/>
        <w:rPr>
          <w:rFonts w:ascii="Arial" w:hAnsi="Arial" w:cs="Arial"/>
          <w:b/>
          <w:bCs/>
          <w:kern w:val="2"/>
          <w:sz w:val="20"/>
          <w:szCs w:val="20"/>
        </w:rPr>
      </w:pPr>
    </w:p>
    <w:p w14:paraId="0E7E2C30"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b/>
          <w:bCs/>
          <w:kern w:val="2"/>
          <w:sz w:val="20"/>
          <w:szCs w:val="20"/>
        </w:rPr>
        <w:t>Periosteal cell proliferation</w:t>
      </w:r>
    </w:p>
    <w:p w14:paraId="1971EE54" w14:textId="77777777" w:rsidR="006C6034" w:rsidRPr="00661D48" w:rsidRDefault="006C6034" w:rsidP="006C6034">
      <w:pPr>
        <w:pStyle w:val="af"/>
        <w:spacing w:line="360" w:lineRule="auto"/>
        <w:contextualSpacing/>
        <w:rPr>
          <w:rFonts w:ascii="Arial" w:hAnsi="Arial" w:cs="Arial"/>
          <w:kern w:val="2"/>
          <w:sz w:val="20"/>
          <w:szCs w:val="20"/>
        </w:rPr>
      </w:pPr>
      <w:r w:rsidRPr="00661D48">
        <w:rPr>
          <w:rFonts w:ascii="Arial" w:hAnsi="Arial" w:cs="Arial"/>
          <w:kern w:val="2"/>
          <w:sz w:val="20"/>
          <w:szCs w:val="20"/>
        </w:rPr>
        <w:t>Periosteal cells (2 × 10³ cells/well) were cultured in 96-well plates for 1, 3, 5, or 7 days. Proliferation at each time point was assessed using the CCK-8 assay kit (Sigma, USA) according to the manufacturer’s instructions. The absorbance of the culture supernatants was measured at 450 nm using a microplate reader (</w:t>
      </w:r>
      <w:proofErr w:type="spellStart"/>
      <w:r w:rsidRPr="00661D48">
        <w:rPr>
          <w:rFonts w:ascii="Arial" w:hAnsi="Arial" w:cs="Arial"/>
          <w:kern w:val="2"/>
          <w:sz w:val="20"/>
          <w:szCs w:val="20"/>
        </w:rPr>
        <w:t>SpectraFluor</w:t>
      </w:r>
      <w:proofErr w:type="spellEnd"/>
      <w:r w:rsidRPr="00661D48">
        <w:rPr>
          <w:rFonts w:ascii="Arial" w:hAnsi="Arial" w:cs="Arial"/>
          <w:kern w:val="2"/>
          <w:sz w:val="20"/>
          <w:szCs w:val="20"/>
        </w:rPr>
        <w:t xml:space="preserve"> Plus, Tecan, </w:t>
      </w:r>
      <w:proofErr w:type="spellStart"/>
      <w:r w:rsidRPr="00661D48">
        <w:rPr>
          <w:rFonts w:ascii="Arial" w:hAnsi="Arial" w:cs="Arial"/>
          <w:kern w:val="2"/>
          <w:sz w:val="20"/>
          <w:szCs w:val="20"/>
        </w:rPr>
        <w:t>Crailsheim</w:t>
      </w:r>
      <w:proofErr w:type="spellEnd"/>
      <w:r w:rsidRPr="00661D48">
        <w:rPr>
          <w:rFonts w:ascii="Arial" w:hAnsi="Arial" w:cs="Arial"/>
          <w:kern w:val="2"/>
          <w:sz w:val="20"/>
          <w:szCs w:val="20"/>
        </w:rPr>
        <w:t>, Germany).</w:t>
      </w:r>
    </w:p>
    <w:p w14:paraId="42D0CB88" w14:textId="77777777" w:rsidR="006C6034" w:rsidRPr="00661D48" w:rsidRDefault="006C6034" w:rsidP="006C6034">
      <w:pPr>
        <w:pStyle w:val="af1"/>
        <w:ind w:firstLineChars="0" w:firstLine="0"/>
        <w:contextualSpacing/>
        <w:rPr>
          <w:rFonts w:ascii="Arial" w:hAnsi="Arial" w:cs="Arial"/>
          <w:b/>
          <w:bCs/>
          <w:sz w:val="20"/>
          <w:szCs w:val="20"/>
        </w:rPr>
      </w:pPr>
    </w:p>
    <w:p w14:paraId="5F1CF107"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b/>
          <w:bCs/>
          <w:sz w:val="20"/>
          <w:szCs w:val="20"/>
        </w:rPr>
        <w:t>RT-PCR analysis</w:t>
      </w:r>
    </w:p>
    <w:p w14:paraId="74578476"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 xml:space="preserve">Total RNA was extracted from osteoblasts using </w:t>
      </w:r>
      <w:proofErr w:type="spellStart"/>
      <w:r w:rsidRPr="00661D48">
        <w:rPr>
          <w:rFonts w:ascii="Arial" w:hAnsi="Arial" w:cs="Arial"/>
          <w:sz w:val="20"/>
          <w:szCs w:val="20"/>
        </w:rPr>
        <w:t>TRIzol</w:t>
      </w:r>
      <w:proofErr w:type="spellEnd"/>
      <w:r w:rsidRPr="00661D48">
        <w:rPr>
          <w:rFonts w:ascii="Arial" w:hAnsi="Arial" w:cs="Arial"/>
          <w:sz w:val="20"/>
          <w:szCs w:val="20"/>
        </w:rPr>
        <w:t xml:space="preserve"> reagent (Sigma, T9424) and reverse-transcribed into cDNA using the </w:t>
      </w:r>
      <w:proofErr w:type="spellStart"/>
      <w:r w:rsidRPr="00661D48">
        <w:rPr>
          <w:rFonts w:ascii="Arial" w:hAnsi="Arial" w:cs="Arial"/>
          <w:sz w:val="20"/>
          <w:szCs w:val="20"/>
        </w:rPr>
        <w:t>PrimeScript</w:t>
      </w:r>
      <w:proofErr w:type="spellEnd"/>
      <w:r w:rsidRPr="00661D48">
        <w:rPr>
          <w:rFonts w:ascii="Arial" w:hAnsi="Arial" w:cs="Arial"/>
          <w:sz w:val="20"/>
          <w:szCs w:val="20"/>
        </w:rPr>
        <w:t xml:space="preserve"> RT Master Mix kit (Takara Bio Inc., RR036A). Real-time reverse transcription PCR (RT-PCR) was performed on a Bio-Rad CFX96 system. The primer sets used for amplification are listed in Table S1.</w:t>
      </w:r>
    </w:p>
    <w:p w14:paraId="5C81AAC9" w14:textId="77777777" w:rsidR="006C6034" w:rsidRPr="00661D48" w:rsidRDefault="006C6034" w:rsidP="006C6034">
      <w:pPr>
        <w:pStyle w:val="af1"/>
        <w:ind w:firstLineChars="0" w:firstLine="0"/>
        <w:contextualSpacing/>
        <w:rPr>
          <w:rFonts w:ascii="Arial" w:hAnsi="Arial" w:cs="Arial"/>
          <w:b/>
          <w:bCs/>
          <w:sz w:val="20"/>
          <w:szCs w:val="20"/>
        </w:rPr>
      </w:pPr>
    </w:p>
    <w:p w14:paraId="7581CE0A" w14:textId="77777777" w:rsidR="006C6034" w:rsidRPr="00661D48" w:rsidRDefault="006C6034" w:rsidP="006C6034">
      <w:pPr>
        <w:pStyle w:val="af1"/>
        <w:ind w:firstLineChars="0" w:firstLine="0"/>
        <w:contextualSpacing/>
        <w:rPr>
          <w:rFonts w:ascii="Arial" w:hAnsi="Arial" w:cs="Arial"/>
          <w:b/>
          <w:bCs/>
          <w:sz w:val="20"/>
          <w:szCs w:val="20"/>
        </w:rPr>
      </w:pPr>
      <w:proofErr w:type="spellStart"/>
      <w:r w:rsidRPr="00661D48">
        <w:rPr>
          <w:rFonts w:ascii="Arial" w:hAnsi="Arial" w:cs="Arial"/>
          <w:b/>
          <w:bCs/>
          <w:sz w:val="20"/>
          <w:szCs w:val="20"/>
        </w:rPr>
        <w:t>EdU</w:t>
      </w:r>
      <w:proofErr w:type="spellEnd"/>
      <w:r w:rsidRPr="00661D48">
        <w:rPr>
          <w:rFonts w:ascii="Arial" w:hAnsi="Arial" w:cs="Arial"/>
          <w:b/>
          <w:bCs/>
          <w:sz w:val="20"/>
          <w:szCs w:val="20"/>
        </w:rPr>
        <w:t xml:space="preserve"> assay</w:t>
      </w:r>
    </w:p>
    <w:p w14:paraId="0FCA3A7D"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DNA synthesis rate assessment was conducted utilizing Click-</w:t>
      </w:r>
      <w:proofErr w:type="spellStart"/>
      <w:r w:rsidRPr="00661D48">
        <w:rPr>
          <w:rFonts w:ascii="Arial" w:hAnsi="Arial" w:cs="Arial"/>
          <w:sz w:val="20"/>
          <w:szCs w:val="20"/>
        </w:rPr>
        <w:t>iT</w:t>
      </w:r>
      <w:proofErr w:type="spellEnd"/>
      <w:r w:rsidRPr="00661D48">
        <w:rPr>
          <w:rFonts w:ascii="Arial" w:hAnsi="Arial" w:cs="Arial"/>
          <w:sz w:val="20"/>
          <w:szCs w:val="20"/>
        </w:rPr>
        <w:t xml:space="preserve"> EDU Imaging Kits (</w:t>
      </w:r>
      <w:proofErr w:type="spellStart"/>
      <w:r w:rsidRPr="00661D48">
        <w:rPr>
          <w:rFonts w:ascii="Arial" w:hAnsi="Arial" w:cs="Arial"/>
          <w:sz w:val="20"/>
          <w:szCs w:val="20"/>
        </w:rPr>
        <w:t>Beyotime</w:t>
      </w:r>
      <w:proofErr w:type="spellEnd"/>
      <w:r w:rsidRPr="00661D48">
        <w:rPr>
          <w:rFonts w:ascii="Arial" w:hAnsi="Arial" w:cs="Arial"/>
          <w:sz w:val="20"/>
          <w:szCs w:val="20"/>
        </w:rPr>
        <w:t>, Beijing, China), and experiments were finished with the method provided by the manufacturer.</w:t>
      </w:r>
    </w:p>
    <w:p w14:paraId="5C3293C4"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To analyze cell proliferation after fracture, mice were injected intraperitoneally with 1 mg of 5-ethynyl-20-deoxyuridine (</w:t>
      </w:r>
      <w:proofErr w:type="spellStart"/>
      <w:r w:rsidRPr="00661D48">
        <w:rPr>
          <w:rFonts w:ascii="Arial" w:hAnsi="Arial" w:cs="Arial"/>
          <w:sz w:val="20"/>
          <w:szCs w:val="20"/>
        </w:rPr>
        <w:t>EdU</w:t>
      </w:r>
      <w:proofErr w:type="spellEnd"/>
      <w:r w:rsidRPr="00661D48">
        <w:rPr>
          <w:rFonts w:ascii="Arial" w:hAnsi="Arial" w:cs="Arial"/>
          <w:sz w:val="20"/>
          <w:szCs w:val="20"/>
        </w:rPr>
        <w:t>) (</w:t>
      </w:r>
      <w:proofErr w:type="spellStart"/>
      <w:r w:rsidRPr="00661D48">
        <w:rPr>
          <w:rFonts w:ascii="Arial" w:hAnsi="Arial" w:cs="Arial"/>
          <w:sz w:val="20"/>
          <w:szCs w:val="20"/>
        </w:rPr>
        <w:t>Beyotime</w:t>
      </w:r>
      <w:proofErr w:type="spellEnd"/>
      <w:r w:rsidRPr="00661D48">
        <w:rPr>
          <w:rFonts w:ascii="Arial" w:hAnsi="Arial" w:cs="Arial"/>
          <w:sz w:val="20"/>
          <w:szCs w:val="20"/>
        </w:rPr>
        <w:t xml:space="preserve">, Beijing, China) dissolved in DMSO at 24 and 48 h before sacrificed. Mice were euthanized at 10 days after the injury. Bones used for sectioning were stained for </w:t>
      </w:r>
      <w:proofErr w:type="spellStart"/>
      <w:r w:rsidRPr="00661D48">
        <w:rPr>
          <w:rFonts w:ascii="Arial" w:hAnsi="Arial" w:cs="Arial"/>
          <w:sz w:val="20"/>
          <w:szCs w:val="20"/>
        </w:rPr>
        <w:t>EdU</w:t>
      </w:r>
      <w:proofErr w:type="spellEnd"/>
      <w:r w:rsidRPr="00661D48">
        <w:rPr>
          <w:rFonts w:ascii="Arial" w:hAnsi="Arial" w:cs="Arial"/>
          <w:sz w:val="20"/>
          <w:szCs w:val="20"/>
        </w:rPr>
        <w:t xml:space="preserve"> with the Click-it </w:t>
      </w:r>
      <w:proofErr w:type="spellStart"/>
      <w:r w:rsidRPr="00661D48">
        <w:rPr>
          <w:rFonts w:ascii="Arial" w:hAnsi="Arial" w:cs="Arial"/>
          <w:sz w:val="20"/>
          <w:szCs w:val="20"/>
        </w:rPr>
        <w:t>EdU</w:t>
      </w:r>
      <w:proofErr w:type="spellEnd"/>
      <w:r w:rsidRPr="00661D48">
        <w:rPr>
          <w:rFonts w:ascii="Arial" w:hAnsi="Arial" w:cs="Arial"/>
          <w:sz w:val="20"/>
          <w:szCs w:val="20"/>
        </w:rPr>
        <w:t xml:space="preserve"> Alexa Fluor 647 Imaging Kit (C10340, Invitrogen) according to the manufacturer’s instructions.</w:t>
      </w:r>
    </w:p>
    <w:p w14:paraId="1B5BB58D" w14:textId="77777777" w:rsidR="006C6034" w:rsidRPr="00661D48" w:rsidRDefault="006C6034" w:rsidP="006C6034">
      <w:pPr>
        <w:pStyle w:val="af"/>
        <w:spacing w:line="360" w:lineRule="auto"/>
        <w:contextualSpacing/>
        <w:rPr>
          <w:rStyle w:val="af3"/>
          <w:rFonts w:ascii="Arial" w:hAnsi="Arial" w:cs="Arial"/>
          <w:sz w:val="20"/>
          <w:szCs w:val="20"/>
        </w:rPr>
      </w:pPr>
    </w:p>
    <w:p w14:paraId="2850928E" w14:textId="77777777" w:rsidR="006C6034" w:rsidRPr="00661D48" w:rsidRDefault="006C6034" w:rsidP="006C6034">
      <w:pPr>
        <w:pStyle w:val="af"/>
        <w:spacing w:line="360" w:lineRule="auto"/>
        <w:contextualSpacing/>
        <w:rPr>
          <w:rFonts w:ascii="Arial" w:hAnsi="Arial" w:cs="Arial"/>
          <w:sz w:val="20"/>
          <w:szCs w:val="20"/>
        </w:rPr>
      </w:pPr>
      <w:r w:rsidRPr="00661D48">
        <w:rPr>
          <w:rStyle w:val="af3"/>
          <w:rFonts w:ascii="Arial" w:hAnsi="Arial" w:cs="Arial"/>
          <w:sz w:val="20"/>
          <w:szCs w:val="20"/>
        </w:rPr>
        <w:t>In vitro migration assays</w:t>
      </w:r>
    </w:p>
    <w:p w14:paraId="36130B22" w14:textId="77777777" w:rsidR="006C6034" w:rsidRPr="00661D48" w:rsidRDefault="006C6034" w:rsidP="006C6034">
      <w:pPr>
        <w:pStyle w:val="af"/>
        <w:spacing w:line="360" w:lineRule="auto"/>
        <w:contextualSpacing/>
        <w:rPr>
          <w:rFonts w:ascii="Arial" w:hAnsi="Arial" w:cs="Arial"/>
          <w:sz w:val="20"/>
          <w:szCs w:val="20"/>
        </w:rPr>
      </w:pPr>
      <w:r w:rsidRPr="00661D48">
        <w:rPr>
          <w:rFonts w:ascii="Arial" w:hAnsi="Arial" w:cs="Arial"/>
          <w:sz w:val="20"/>
          <w:szCs w:val="20"/>
        </w:rPr>
        <w:t>Periosteal cells or HUVECs were seeded in 24-well plates separated by a removable silicone stamp (</w:t>
      </w:r>
      <w:proofErr w:type="spellStart"/>
      <w:r w:rsidRPr="00661D48">
        <w:rPr>
          <w:rFonts w:ascii="Arial" w:hAnsi="Arial" w:cs="Arial"/>
          <w:sz w:val="20"/>
          <w:szCs w:val="20"/>
        </w:rPr>
        <w:t>Ibidi</w:t>
      </w:r>
      <w:proofErr w:type="spellEnd"/>
      <w:r w:rsidRPr="00661D48">
        <w:rPr>
          <w:rFonts w:ascii="Arial" w:hAnsi="Arial" w:cs="Arial"/>
          <w:sz w:val="20"/>
          <w:szCs w:val="20"/>
        </w:rPr>
        <w:t xml:space="preserve"> Culture-Inserts 2 Well for self-insertion, </w:t>
      </w:r>
      <w:proofErr w:type="spellStart"/>
      <w:r w:rsidRPr="00661D48">
        <w:rPr>
          <w:rFonts w:ascii="Arial" w:hAnsi="Arial" w:cs="Arial"/>
          <w:sz w:val="20"/>
          <w:szCs w:val="20"/>
        </w:rPr>
        <w:t>Ibidi</w:t>
      </w:r>
      <w:proofErr w:type="spellEnd"/>
      <w:r w:rsidRPr="00661D48">
        <w:rPr>
          <w:rFonts w:ascii="Arial" w:hAnsi="Arial" w:cs="Arial"/>
          <w:sz w:val="20"/>
          <w:szCs w:val="20"/>
        </w:rPr>
        <w:t>, #80209). Cells were grown to confluency over 24 hours, after which the stamp was removed to initiate sheet migration. Images were captured 24 hours post-stamp removal. The extent of wound closure was quantified as the percentage of the area covered by migrating cells in the initial wound area, based on five replicates per condition, using Image-Pro Plus software.</w:t>
      </w:r>
    </w:p>
    <w:p w14:paraId="139EDE03" w14:textId="77777777" w:rsidR="006C6034" w:rsidRPr="00661D48" w:rsidRDefault="006C6034" w:rsidP="006C6034">
      <w:pPr>
        <w:pStyle w:val="af"/>
        <w:spacing w:line="360" w:lineRule="auto"/>
        <w:contextualSpacing/>
        <w:rPr>
          <w:rStyle w:val="af3"/>
          <w:rFonts w:ascii="Arial" w:hAnsi="Arial" w:cs="Arial"/>
          <w:sz w:val="20"/>
          <w:szCs w:val="20"/>
        </w:rPr>
      </w:pPr>
    </w:p>
    <w:p w14:paraId="50B7D794" w14:textId="77777777" w:rsidR="006C6034" w:rsidRPr="00661D48" w:rsidRDefault="006C6034" w:rsidP="006C6034">
      <w:pPr>
        <w:pStyle w:val="af"/>
        <w:spacing w:line="360" w:lineRule="auto"/>
        <w:contextualSpacing/>
        <w:rPr>
          <w:rFonts w:ascii="Arial" w:hAnsi="Arial" w:cs="Arial"/>
          <w:sz w:val="20"/>
          <w:szCs w:val="20"/>
        </w:rPr>
      </w:pPr>
      <w:proofErr w:type="spellStart"/>
      <w:r w:rsidRPr="00661D48">
        <w:rPr>
          <w:rStyle w:val="af3"/>
          <w:rFonts w:ascii="Arial" w:hAnsi="Arial" w:cs="Arial"/>
          <w:sz w:val="20"/>
          <w:szCs w:val="20"/>
        </w:rPr>
        <w:t>Transwell</w:t>
      </w:r>
      <w:proofErr w:type="spellEnd"/>
      <w:r w:rsidRPr="00661D48">
        <w:rPr>
          <w:rStyle w:val="af3"/>
          <w:rFonts w:ascii="Arial" w:hAnsi="Arial" w:cs="Arial"/>
          <w:sz w:val="20"/>
          <w:szCs w:val="20"/>
        </w:rPr>
        <w:t xml:space="preserve"> migration assays</w:t>
      </w:r>
    </w:p>
    <w:p w14:paraId="37D63556" w14:textId="77777777" w:rsidR="006C6034" w:rsidRPr="00661D48" w:rsidRDefault="006C6034" w:rsidP="006C6034">
      <w:pPr>
        <w:pStyle w:val="af"/>
        <w:spacing w:line="360" w:lineRule="auto"/>
        <w:contextualSpacing/>
        <w:rPr>
          <w:rFonts w:ascii="Arial" w:hAnsi="Arial" w:cs="Arial"/>
          <w:sz w:val="20"/>
          <w:szCs w:val="20"/>
        </w:rPr>
      </w:pPr>
      <w:r w:rsidRPr="00661D48">
        <w:rPr>
          <w:rFonts w:ascii="Arial" w:hAnsi="Arial" w:cs="Arial"/>
          <w:sz w:val="20"/>
          <w:szCs w:val="20"/>
        </w:rPr>
        <w:t xml:space="preserve">Vertical migration of periosteal cells or HUVECs was evaluated using a </w:t>
      </w:r>
      <w:proofErr w:type="spellStart"/>
      <w:r w:rsidRPr="00661D48">
        <w:rPr>
          <w:rFonts w:ascii="Arial" w:hAnsi="Arial" w:cs="Arial"/>
          <w:sz w:val="20"/>
          <w:szCs w:val="20"/>
        </w:rPr>
        <w:t>transwell</w:t>
      </w:r>
      <w:proofErr w:type="spellEnd"/>
      <w:r w:rsidRPr="00661D48">
        <w:rPr>
          <w:rFonts w:ascii="Arial" w:hAnsi="Arial" w:cs="Arial"/>
          <w:sz w:val="20"/>
          <w:szCs w:val="20"/>
        </w:rPr>
        <w:t xml:space="preserve"> migration assay with 24-well </w:t>
      </w:r>
      <w:proofErr w:type="spellStart"/>
      <w:r w:rsidRPr="00661D48">
        <w:rPr>
          <w:rFonts w:ascii="Arial" w:hAnsi="Arial" w:cs="Arial"/>
          <w:sz w:val="20"/>
          <w:szCs w:val="20"/>
        </w:rPr>
        <w:t>transwell</w:t>
      </w:r>
      <w:proofErr w:type="spellEnd"/>
      <w:r w:rsidRPr="00661D48">
        <w:rPr>
          <w:rFonts w:ascii="Arial" w:hAnsi="Arial" w:cs="Arial"/>
          <w:sz w:val="20"/>
          <w:szCs w:val="20"/>
        </w:rPr>
        <w:t xml:space="preserve"> inserts (3/8 </w:t>
      </w:r>
      <w:proofErr w:type="spellStart"/>
      <w:r w:rsidRPr="00661D48">
        <w:rPr>
          <w:rFonts w:ascii="Arial" w:hAnsi="Arial" w:cs="Arial"/>
          <w:sz w:val="20"/>
          <w:szCs w:val="20"/>
        </w:rPr>
        <w:t>μm</w:t>
      </w:r>
      <w:proofErr w:type="spellEnd"/>
      <w:r w:rsidRPr="00661D48">
        <w:rPr>
          <w:rFonts w:ascii="Arial" w:hAnsi="Arial" w:cs="Arial"/>
          <w:sz w:val="20"/>
          <w:szCs w:val="20"/>
        </w:rPr>
        <w:t xml:space="preserve"> pore size, Corning Costar, USA). A total of 250 </w:t>
      </w:r>
      <w:proofErr w:type="spellStart"/>
      <w:r w:rsidRPr="00661D48">
        <w:rPr>
          <w:rFonts w:ascii="Arial" w:hAnsi="Arial" w:cs="Arial"/>
          <w:sz w:val="20"/>
          <w:szCs w:val="20"/>
        </w:rPr>
        <w:t>μl</w:t>
      </w:r>
      <w:proofErr w:type="spellEnd"/>
      <w:r w:rsidRPr="00661D48">
        <w:rPr>
          <w:rFonts w:ascii="Arial" w:hAnsi="Arial" w:cs="Arial"/>
          <w:sz w:val="20"/>
          <w:szCs w:val="20"/>
        </w:rPr>
        <w:t xml:space="preserve"> of CM containing 20% FBS was added to the lower chamber, while 100 </w:t>
      </w:r>
      <w:proofErr w:type="spellStart"/>
      <w:r w:rsidRPr="00661D48">
        <w:rPr>
          <w:rFonts w:ascii="Arial" w:hAnsi="Arial" w:cs="Arial"/>
          <w:sz w:val="20"/>
          <w:szCs w:val="20"/>
        </w:rPr>
        <w:t>μl</w:t>
      </w:r>
      <w:proofErr w:type="spellEnd"/>
      <w:r w:rsidRPr="00661D48">
        <w:rPr>
          <w:rFonts w:ascii="Arial" w:hAnsi="Arial" w:cs="Arial"/>
          <w:sz w:val="20"/>
          <w:szCs w:val="20"/>
        </w:rPr>
        <w:t xml:space="preserve"> of HUVECs or PCs suspension containing 3% FBS was seeded into the upper chamber at a density of 2 × 10⁴ cells/well. After 24 hours of incubation, non-migratory cells on the upper surface of the membrane were gently removed with cotton swabs. Migrated cells on the lower surface were fixed in 4% paraformaldehyde and stained with 0.1% gentian violet. Images were captured from three to five randomly selected fields per well, and migrated cells were counted.</w:t>
      </w:r>
    </w:p>
    <w:p w14:paraId="2FC905A6" w14:textId="77777777" w:rsidR="006C6034" w:rsidRPr="00661D48" w:rsidRDefault="006C6034" w:rsidP="006C6034">
      <w:pPr>
        <w:spacing w:line="360" w:lineRule="auto"/>
        <w:contextualSpacing/>
        <w:rPr>
          <w:rFonts w:ascii="Arial" w:hAnsi="Arial" w:cs="Arial"/>
          <w:b/>
          <w:bCs/>
          <w:sz w:val="20"/>
          <w:szCs w:val="20"/>
        </w:rPr>
      </w:pPr>
    </w:p>
    <w:p w14:paraId="4DEA903D" w14:textId="77777777" w:rsidR="006C6034" w:rsidRPr="00661D48" w:rsidRDefault="006C6034" w:rsidP="006C6034">
      <w:pPr>
        <w:spacing w:line="360" w:lineRule="auto"/>
        <w:contextualSpacing/>
        <w:rPr>
          <w:rFonts w:ascii="Arial" w:hAnsi="Arial" w:cs="Arial"/>
          <w:b/>
          <w:bCs/>
          <w:sz w:val="20"/>
          <w:szCs w:val="20"/>
        </w:rPr>
      </w:pPr>
      <w:r w:rsidRPr="00661D48">
        <w:rPr>
          <w:rFonts w:ascii="Arial" w:hAnsi="Arial" w:cs="Arial"/>
          <w:b/>
          <w:bCs/>
          <w:sz w:val="20"/>
          <w:szCs w:val="20"/>
        </w:rPr>
        <w:t>Single-cell RNA-sequencing data collection and processing</w:t>
      </w:r>
    </w:p>
    <w:p w14:paraId="3AAC5352" w14:textId="77777777" w:rsidR="006C6034" w:rsidRPr="00661D48" w:rsidRDefault="006C6034" w:rsidP="006C6034">
      <w:pPr>
        <w:spacing w:line="360" w:lineRule="auto"/>
        <w:contextualSpacing/>
        <w:rPr>
          <w:rFonts w:ascii="Arial" w:hAnsi="Arial" w:cs="Arial"/>
          <w:sz w:val="20"/>
          <w:szCs w:val="20"/>
        </w:rPr>
      </w:pPr>
      <w:r w:rsidRPr="00661D48">
        <w:rPr>
          <w:rFonts w:ascii="Arial" w:hAnsi="Arial" w:cs="Arial"/>
          <w:sz w:val="20"/>
          <w:szCs w:val="20"/>
        </w:rPr>
        <w:t xml:space="preserve">The Cell Ranger Single-Cell Software Suite was used to align the newly generated </w:t>
      </w:r>
      <w:proofErr w:type="spellStart"/>
      <w:r w:rsidRPr="00661D48">
        <w:rPr>
          <w:rFonts w:ascii="Arial" w:hAnsi="Arial" w:cs="Arial"/>
          <w:sz w:val="20"/>
          <w:szCs w:val="20"/>
        </w:rPr>
        <w:t>scRNA</w:t>
      </w:r>
      <w:proofErr w:type="spellEnd"/>
      <w:r w:rsidRPr="00661D48">
        <w:rPr>
          <w:rFonts w:ascii="Arial" w:hAnsi="Arial" w:cs="Arial"/>
          <w:sz w:val="20"/>
          <w:szCs w:val="20"/>
        </w:rPr>
        <w:t xml:space="preserve">-seq data to the GRCm39 Mus musculus reference genome. The resulting unique molecular identifier </w:t>
      </w:r>
      <w:r w:rsidRPr="00661D48">
        <w:rPr>
          <w:rFonts w:ascii="Arial" w:hAnsi="Arial" w:cs="Arial"/>
          <w:sz w:val="20"/>
          <w:szCs w:val="20"/>
        </w:rPr>
        <w:lastRenderedPageBreak/>
        <w:t xml:space="preserve">(UMI) matrix was analyzed with Seurat (version 4.3.0). Low-quality cells, defined as those with fewer than 500 detected genes or more than 10% mitochondrial UMI counts, were excluded. Following quality control, the count data were normalized using the </w:t>
      </w:r>
      <w:proofErr w:type="spellStart"/>
      <w:r w:rsidRPr="00661D48">
        <w:rPr>
          <w:rFonts w:ascii="Arial" w:hAnsi="Arial" w:cs="Arial"/>
          <w:sz w:val="20"/>
          <w:szCs w:val="20"/>
        </w:rPr>
        <w:t>NormalizeData</w:t>
      </w:r>
      <w:proofErr w:type="spellEnd"/>
      <w:r w:rsidRPr="00661D48">
        <w:rPr>
          <w:rFonts w:ascii="Arial" w:hAnsi="Arial" w:cs="Arial"/>
          <w:sz w:val="20"/>
          <w:szCs w:val="20"/>
        </w:rPr>
        <w:t xml:space="preserve"> function in Seurat, and the logarithm-transformed normalized matrix was used for subsequent analyses. Principal component analysis (PCA) was conducted on the variable gene matrix. Batch effects were corrected using Harmony, with the top 30 principal components retained for downstream analyses. The </w:t>
      </w:r>
      <w:proofErr w:type="spellStart"/>
      <w:r w:rsidRPr="00661D48">
        <w:rPr>
          <w:rFonts w:ascii="Arial" w:hAnsi="Arial" w:cs="Arial"/>
          <w:sz w:val="20"/>
          <w:szCs w:val="20"/>
        </w:rPr>
        <w:t>RunHarmony</w:t>
      </w:r>
      <w:proofErr w:type="spellEnd"/>
      <w:r w:rsidRPr="00661D48">
        <w:rPr>
          <w:rFonts w:ascii="Arial" w:hAnsi="Arial" w:cs="Arial"/>
          <w:sz w:val="20"/>
          <w:szCs w:val="20"/>
        </w:rPr>
        <w:t xml:space="preserve"> function was applied to adjust batch effects across datasets and samples, with both theta and lambda parameters set to 1. The </w:t>
      </w:r>
      <w:proofErr w:type="spellStart"/>
      <w:r w:rsidRPr="00661D48">
        <w:rPr>
          <w:rFonts w:ascii="Arial" w:hAnsi="Arial" w:cs="Arial"/>
          <w:sz w:val="20"/>
          <w:szCs w:val="20"/>
        </w:rPr>
        <w:t>FindNeighbors</w:t>
      </w:r>
      <w:proofErr w:type="spellEnd"/>
      <w:r w:rsidRPr="00661D48">
        <w:rPr>
          <w:rFonts w:ascii="Arial" w:hAnsi="Arial" w:cs="Arial"/>
          <w:sz w:val="20"/>
          <w:szCs w:val="20"/>
        </w:rPr>
        <w:t xml:space="preserve"> function in Seurat was used to construct the Shared Nearest Neighbor Graph, which served as the basis for unsupervised clustering via the </w:t>
      </w:r>
      <w:proofErr w:type="spellStart"/>
      <w:r w:rsidRPr="00661D48">
        <w:rPr>
          <w:rFonts w:ascii="Arial" w:hAnsi="Arial" w:cs="Arial"/>
          <w:sz w:val="20"/>
          <w:szCs w:val="20"/>
        </w:rPr>
        <w:t>FindClusters</w:t>
      </w:r>
      <w:proofErr w:type="spellEnd"/>
      <w:r w:rsidRPr="00661D48">
        <w:rPr>
          <w:rFonts w:ascii="Arial" w:hAnsi="Arial" w:cs="Arial"/>
          <w:sz w:val="20"/>
          <w:szCs w:val="20"/>
        </w:rPr>
        <w:t xml:space="preserve"> function, with the resolution parameter set to 0.9. For visualization, dimensionality reduction was performed using Uniform Manifold Approximation and Projection (UMAP) through the </w:t>
      </w:r>
      <w:proofErr w:type="spellStart"/>
      <w:r w:rsidRPr="00661D48">
        <w:rPr>
          <w:rFonts w:ascii="Arial" w:hAnsi="Arial" w:cs="Arial"/>
          <w:sz w:val="20"/>
          <w:szCs w:val="20"/>
        </w:rPr>
        <w:t>RunUMAP</w:t>
      </w:r>
      <w:proofErr w:type="spellEnd"/>
      <w:r w:rsidRPr="00661D48">
        <w:rPr>
          <w:rFonts w:ascii="Arial" w:hAnsi="Arial" w:cs="Arial"/>
          <w:sz w:val="20"/>
          <w:szCs w:val="20"/>
        </w:rPr>
        <w:t xml:space="preserve"> function, with parameters </w:t>
      </w:r>
      <w:proofErr w:type="spellStart"/>
      <w:proofErr w:type="gramStart"/>
      <w:r w:rsidRPr="00661D48">
        <w:rPr>
          <w:rFonts w:ascii="Arial" w:hAnsi="Arial" w:cs="Arial"/>
          <w:sz w:val="20"/>
          <w:szCs w:val="20"/>
        </w:rPr>
        <w:t>umap.method</w:t>
      </w:r>
      <w:proofErr w:type="spellEnd"/>
      <w:proofErr w:type="gramEnd"/>
      <w:r w:rsidRPr="00661D48">
        <w:rPr>
          <w:rFonts w:ascii="Arial" w:hAnsi="Arial" w:cs="Arial"/>
          <w:sz w:val="20"/>
          <w:szCs w:val="20"/>
        </w:rPr>
        <w:t xml:space="preserve"> = '</w:t>
      </w:r>
      <w:proofErr w:type="spellStart"/>
      <w:r w:rsidRPr="00661D48">
        <w:rPr>
          <w:rFonts w:ascii="Arial" w:hAnsi="Arial" w:cs="Arial"/>
          <w:sz w:val="20"/>
          <w:szCs w:val="20"/>
        </w:rPr>
        <w:t>umap</w:t>
      </w:r>
      <w:proofErr w:type="spellEnd"/>
      <w:r w:rsidRPr="00661D48">
        <w:rPr>
          <w:rFonts w:ascii="Arial" w:hAnsi="Arial" w:cs="Arial"/>
          <w:sz w:val="20"/>
          <w:szCs w:val="20"/>
        </w:rPr>
        <w:t>-learn', dims = 1:20, and reduction = 'harmony'. Default settings were applied for unspecified parameters.</w:t>
      </w:r>
    </w:p>
    <w:p w14:paraId="00053E7E" w14:textId="77777777" w:rsidR="006C6034" w:rsidRPr="00661D48" w:rsidRDefault="006C6034" w:rsidP="006C6034">
      <w:pPr>
        <w:spacing w:line="360" w:lineRule="auto"/>
        <w:contextualSpacing/>
        <w:rPr>
          <w:rFonts w:ascii="Arial" w:hAnsi="Arial" w:cs="Arial"/>
          <w:sz w:val="20"/>
          <w:szCs w:val="20"/>
        </w:rPr>
      </w:pPr>
      <w:r w:rsidRPr="00661D48">
        <w:rPr>
          <w:rFonts w:ascii="Arial" w:hAnsi="Arial" w:cs="Arial"/>
          <w:sz w:val="20"/>
          <w:szCs w:val="20"/>
        </w:rPr>
        <w:t xml:space="preserve">After the first round of unsupervised clustering, cell clusters were annotated based on marker gene expression to identify major clusters. A second round of clustering was conducted using the same procedure, starting with the logarithm-transformed matrix. The top 1,000 highly variable genes were identified, followed by PCA and batch effect correction using Harmony. For specific major clusters of MSCs, the parameters </w:t>
      </w:r>
      <w:proofErr w:type="spellStart"/>
      <w:r w:rsidRPr="00661D48">
        <w:rPr>
          <w:rFonts w:ascii="Arial" w:hAnsi="Arial" w:cs="Arial"/>
          <w:sz w:val="20"/>
          <w:szCs w:val="20"/>
        </w:rPr>
        <w:t>harmony_theta</w:t>
      </w:r>
      <w:proofErr w:type="spellEnd"/>
      <w:r w:rsidRPr="00661D48">
        <w:rPr>
          <w:rFonts w:ascii="Arial" w:hAnsi="Arial" w:cs="Arial"/>
          <w:sz w:val="20"/>
          <w:szCs w:val="20"/>
        </w:rPr>
        <w:t xml:space="preserve"> = 3 and </w:t>
      </w:r>
      <w:proofErr w:type="spellStart"/>
      <w:r w:rsidRPr="00661D48">
        <w:rPr>
          <w:rFonts w:ascii="Arial" w:hAnsi="Arial" w:cs="Arial"/>
          <w:sz w:val="20"/>
          <w:szCs w:val="20"/>
        </w:rPr>
        <w:t>harmony_lambda</w:t>
      </w:r>
      <w:proofErr w:type="spellEnd"/>
      <w:r w:rsidRPr="00661D48">
        <w:rPr>
          <w:rFonts w:ascii="Arial" w:hAnsi="Arial" w:cs="Arial"/>
          <w:sz w:val="20"/>
          <w:szCs w:val="20"/>
        </w:rPr>
        <w:t xml:space="preserve"> = 1 were applied. Cell clusters were then detected, and dimensionality reduction was performed for visualization. To refine cell type and state definitions, differentially expressed genes were identified for each cluster using the </w:t>
      </w:r>
      <w:proofErr w:type="spellStart"/>
      <w:r w:rsidRPr="00661D48">
        <w:rPr>
          <w:rFonts w:ascii="Arial" w:hAnsi="Arial" w:cs="Arial"/>
          <w:sz w:val="20"/>
          <w:szCs w:val="20"/>
        </w:rPr>
        <w:t>FindAllMarkers</w:t>
      </w:r>
      <w:proofErr w:type="spellEnd"/>
      <w:r w:rsidRPr="00661D48">
        <w:rPr>
          <w:rFonts w:ascii="Arial" w:hAnsi="Arial" w:cs="Arial"/>
          <w:sz w:val="20"/>
          <w:szCs w:val="20"/>
        </w:rPr>
        <w:t xml:space="preserve"> function in Seurat. The top 100 ranked genes per cluster were subjected to gene set enrichment analysis against pathway databases using the </w:t>
      </w:r>
      <w:proofErr w:type="spellStart"/>
      <w:r w:rsidRPr="00661D48">
        <w:rPr>
          <w:rFonts w:ascii="Arial" w:hAnsi="Arial" w:cs="Arial"/>
          <w:sz w:val="20"/>
          <w:szCs w:val="20"/>
        </w:rPr>
        <w:t>clusterProfiler</w:t>
      </w:r>
      <w:proofErr w:type="spellEnd"/>
      <w:r w:rsidRPr="00661D48">
        <w:rPr>
          <w:rFonts w:ascii="Arial" w:hAnsi="Arial" w:cs="Arial"/>
          <w:sz w:val="20"/>
          <w:szCs w:val="20"/>
        </w:rPr>
        <w:t xml:space="preserve"> package (version 4.4.4).</w:t>
      </w:r>
    </w:p>
    <w:p w14:paraId="643B291C" w14:textId="77777777" w:rsidR="006C6034" w:rsidRPr="00661D48" w:rsidRDefault="006C6034" w:rsidP="006C6034">
      <w:pPr>
        <w:spacing w:line="360" w:lineRule="auto"/>
        <w:contextualSpacing/>
        <w:rPr>
          <w:rFonts w:ascii="Arial" w:hAnsi="Arial" w:cs="Arial"/>
          <w:b/>
          <w:bCs/>
          <w:sz w:val="20"/>
          <w:szCs w:val="20"/>
        </w:rPr>
      </w:pPr>
    </w:p>
    <w:p w14:paraId="4CA4FFFF" w14:textId="77777777" w:rsidR="006C6034" w:rsidRPr="00661D48" w:rsidRDefault="006C6034" w:rsidP="006C6034">
      <w:pPr>
        <w:spacing w:line="360" w:lineRule="auto"/>
        <w:contextualSpacing/>
        <w:rPr>
          <w:rFonts w:ascii="Arial" w:hAnsi="Arial" w:cs="Arial"/>
          <w:b/>
          <w:bCs/>
          <w:sz w:val="20"/>
          <w:szCs w:val="20"/>
        </w:rPr>
      </w:pPr>
      <w:r w:rsidRPr="00661D48">
        <w:rPr>
          <w:rFonts w:ascii="Arial" w:hAnsi="Arial" w:cs="Arial"/>
          <w:b/>
          <w:bCs/>
          <w:sz w:val="20"/>
          <w:szCs w:val="20"/>
        </w:rPr>
        <w:t>Differentiation states analysis and pseudo-time trajectory inference</w:t>
      </w:r>
    </w:p>
    <w:p w14:paraId="70FDC5C1" w14:textId="77777777" w:rsidR="006C6034" w:rsidRPr="00661D48" w:rsidRDefault="006C6034" w:rsidP="006C6034">
      <w:pPr>
        <w:spacing w:line="360" w:lineRule="auto"/>
        <w:contextualSpacing/>
        <w:rPr>
          <w:rFonts w:ascii="Arial" w:hAnsi="Arial" w:cs="Arial"/>
          <w:sz w:val="20"/>
          <w:szCs w:val="20"/>
        </w:rPr>
      </w:pPr>
      <w:proofErr w:type="spellStart"/>
      <w:r w:rsidRPr="00661D48">
        <w:rPr>
          <w:rFonts w:ascii="Arial" w:hAnsi="Arial" w:cs="Arial"/>
          <w:sz w:val="20"/>
          <w:szCs w:val="20"/>
        </w:rPr>
        <w:t>ScRNA</w:t>
      </w:r>
      <w:proofErr w:type="spellEnd"/>
      <w:r w:rsidRPr="00661D48">
        <w:rPr>
          <w:rFonts w:ascii="Arial" w:hAnsi="Arial" w:cs="Arial"/>
          <w:sz w:val="20"/>
          <w:szCs w:val="20"/>
        </w:rPr>
        <w:t xml:space="preserve">-seq data were further analyzed using </w:t>
      </w:r>
      <w:proofErr w:type="spellStart"/>
      <w:r w:rsidRPr="00661D48">
        <w:rPr>
          <w:rFonts w:ascii="Arial" w:hAnsi="Arial" w:cs="Arial"/>
          <w:sz w:val="20"/>
          <w:szCs w:val="20"/>
        </w:rPr>
        <w:t>CytoTRACE</w:t>
      </w:r>
      <w:proofErr w:type="spellEnd"/>
      <w:r w:rsidRPr="00661D48">
        <w:rPr>
          <w:rFonts w:ascii="Arial" w:hAnsi="Arial" w:cs="Arial"/>
          <w:sz w:val="20"/>
          <w:szCs w:val="20"/>
        </w:rPr>
        <w:t xml:space="preserve">, an algorithm for reconstructing cellular differentiation trajectories and tracing chromatin dynamics. </w:t>
      </w:r>
      <w:proofErr w:type="spellStart"/>
      <w:r w:rsidRPr="00661D48">
        <w:rPr>
          <w:rFonts w:ascii="Arial" w:hAnsi="Arial" w:cs="Arial"/>
          <w:sz w:val="20"/>
          <w:szCs w:val="20"/>
        </w:rPr>
        <w:t>Pseudotime</w:t>
      </w:r>
      <w:proofErr w:type="spellEnd"/>
      <w:r w:rsidRPr="00661D48">
        <w:rPr>
          <w:rFonts w:ascii="Arial" w:hAnsi="Arial" w:cs="Arial"/>
          <w:sz w:val="20"/>
          <w:szCs w:val="20"/>
        </w:rPr>
        <w:t xml:space="preserve"> analysis was performed with the Monocle2 (version 2.24.0) and Monocle3 (version 1.3.1) R packages.</w:t>
      </w:r>
    </w:p>
    <w:p w14:paraId="52988170" w14:textId="77777777" w:rsidR="006C6034" w:rsidRPr="00661D48" w:rsidRDefault="006C6034" w:rsidP="006C6034">
      <w:pPr>
        <w:pStyle w:val="af1"/>
        <w:ind w:firstLineChars="0" w:firstLine="0"/>
        <w:contextualSpacing/>
        <w:rPr>
          <w:rStyle w:val="af3"/>
          <w:rFonts w:ascii="Arial" w:hAnsi="Arial" w:cs="Arial"/>
          <w:sz w:val="20"/>
          <w:szCs w:val="20"/>
        </w:rPr>
      </w:pPr>
    </w:p>
    <w:p w14:paraId="3FAA7723"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ELISA analysis</w:t>
      </w:r>
    </w:p>
    <w:p w14:paraId="09A93E34" w14:textId="77777777" w:rsidR="006C6034" w:rsidRPr="00661D48" w:rsidRDefault="006C6034" w:rsidP="006C6034">
      <w:pPr>
        <w:pStyle w:val="af1"/>
        <w:ind w:firstLineChars="0" w:firstLine="0"/>
        <w:contextualSpacing/>
        <w:rPr>
          <w:rFonts w:ascii="Arial" w:hAnsi="Arial" w:cs="Arial"/>
          <w:b/>
          <w:bCs/>
          <w:sz w:val="20"/>
          <w:szCs w:val="20"/>
        </w:rPr>
      </w:pPr>
      <w:r w:rsidRPr="00661D48">
        <w:rPr>
          <w:rFonts w:ascii="Arial" w:hAnsi="Arial" w:cs="Arial"/>
          <w:sz w:val="20"/>
          <w:szCs w:val="20"/>
        </w:rPr>
        <w:t>We used the Mouse SDF-1/CXCL12 ELISA Kit (</w:t>
      </w:r>
      <w:proofErr w:type="spellStart"/>
      <w:r w:rsidRPr="00661D48">
        <w:rPr>
          <w:rFonts w:ascii="Arial" w:hAnsi="Arial" w:cs="Arial"/>
          <w:sz w:val="20"/>
          <w:szCs w:val="20"/>
        </w:rPr>
        <w:t>Elabscience</w:t>
      </w:r>
      <w:proofErr w:type="spellEnd"/>
      <w:r w:rsidRPr="00661D48">
        <w:rPr>
          <w:rFonts w:ascii="Arial" w:hAnsi="Arial" w:cs="Arial"/>
          <w:sz w:val="20"/>
          <w:szCs w:val="20"/>
        </w:rPr>
        <w:t>, E-EL-M3046) and the Mouse CXCL9/MIG ELISA Kit (</w:t>
      </w:r>
      <w:proofErr w:type="spellStart"/>
      <w:r w:rsidRPr="00661D48">
        <w:rPr>
          <w:rFonts w:ascii="Arial" w:hAnsi="Arial" w:cs="Arial"/>
          <w:sz w:val="20"/>
          <w:szCs w:val="20"/>
        </w:rPr>
        <w:t>Elabscience</w:t>
      </w:r>
      <w:proofErr w:type="spellEnd"/>
      <w:r w:rsidRPr="00661D48">
        <w:rPr>
          <w:rFonts w:ascii="Arial" w:hAnsi="Arial" w:cs="Arial"/>
          <w:sz w:val="20"/>
          <w:szCs w:val="20"/>
        </w:rPr>
        <w:t>, E-EL-M0020) to analyze CXCL12 and CXCL9 in the conditioned medium of periosteal cells, respectively. ELISA analysis was performed according to the manufacturer’s instructions.</w:t>
      </w:r>
    </w:p>
    <w:p w14:paraId="3CC4051E" w14:textId="77777777" w:rsidR="006C6034" w:rsidRPr="00661D48" w:rsidRDefault="006C6034" w:rsidP="006C6034">
      <w:pPr>
        <w:pStyle w:val="af1"/>
        <w:ind w:firstLineChars="0" w:firstLine="0"/>
        <w:contextualSpacing/>
        <w:rPr>
          <w:rStyle w:val="af3"/>
          <w:rFonts w:ascii="Arial" w:hAnsi="Arial" w:cs="Arial"/>
          <w:sz w:val="20"/>
          <w:szCs w:val="20"/>
        </w:rPr>
      </w:pPr>
    </w:p>
    <w:p w14:paraId="47051A87"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Chromatin immunoprecipitation (</w:t>
      </w:r>
      <w:proofErr w:type="spellStart"/>
      <w:r w:rsidRPr="00661D48">
        <w:rPr>
          <w:rStyle w:val="af3"/>
          <w:rFonts w:ascii="Arial" w:hAnsi="Arial" w:cs="Arial"/>
          <w:sz w:val="20"/>
          <w:szCs w:val="20"/>
        </w:rPr>
        <w:t>ChIP</w:t>
      </w:r>
      <w:proofErr w:type="spellEnd"/>
      <w:r w:rsidRPr="00661D48">
        <w:rPr>
          <w:rStyle w:val="af3"/>
          <w:rFonts w:ascii="Arial" w:hAnsi="Arial" w:cs="Arial"/>
          <w:sz w:val="20"/>
          <w:szCs w:val="20"/>
        </w:rPr>
        <w:t>) and qPCR</w:t>
      </w:r>
    </w:p>
    <w:p w14:paraId="29D78396" w14:textId="77777777" w:rsidR="006C6034" w:rsidRPr="00661D48" w:rsidRDefault="006C6034" w:rsidP="006C6034">
      <w:pPr>
        <w:pStyle w:val="af1"/>
        <w:ind w:firstLineChars="0" w:firstLine="0"/>
        <w:contextualSpacing/>
        <w:rPr>
          <w:rFonts w:ascii="Arial" w:hAnsi="Arial" w:cs="Arial"/>
          <w:sz w:val="20"/>
          <w:szCs w:val="20"/>
        </w:rPr>
      </w:pPr>
      <w:proofErr w:type="spellStart"/>
      <w:r w:rsidRPr="00661D48">
        <w:rPr>
          <w:rFonts w:ascii="Arial" w:hAnsi="Arial" w:cs="Arial"/>
          <w:sz w:val="20"/>
          <w:szCs w:val="20"/>
        </w:rPr>
        <w:lastRenderedPageBreak/>
        <w:t>ChIP</w:t>
      </w:r>
      <w:proofErr w:type="spellEnd"/>
      <w:r w:rsidRPr="00661D48">
        <w:rPr>
          <w:rFonts w:ascii="Arial" w:hAnsi="Arial" w:cs="Arial"/>
          <w:sz w:val="20"/>
          <w:szCs w:val="20"/>
        </w:rPr>
        <w:t xml:space="preserve"> analysis in C3H10T1/2 cells was conducted using an enzymatic chromatin immunoprecipitation kit (Millipore, Catalog #17-371) following the manufacturer’s protocol. Briefly, C3H10T1/2 cells at 80–90% confluence in 10 cm dishes were cross-linked with 1% formaldehyde for 10 minutes at room temperature and quenched with glycine. Chromatin digestion was performed to produce DNA fragments ranging from 250 to 500 bp using micrococcal nuclease (</w:t>
      </w:r>
      <w:proofErr w:type="spellStart"/>
      <w:r w:rsidRPr="00661D48">
        <w:rPr>
          <w:rFonts w:ascii="Arial" w:hAnsi="Arial" w:cs="Arial"/>
          <w:sz w:val="20"/>
          <w:szCs w:val="20"/>
        </w:rPr>
        <w:t>Bioruptor</w:t>
      </w:r>
      <w:proofErr w:type="spellEnd"/>
      <w:r w:rsidRPr="00661D48">
        <w:rPr>
          <w:rFonts w:ascii="Arial" w:hAnsi="Arial" w:cs="Arial"/>
          <w:sz w:val="20"/>
          <w:szCs w:val="20"/>
        </w:rPr>
        <w:t xml:space="preserve">™, </w:t>
      </w:r>
      <w:proofErr w:type="spellStart"/>
      <w:r w:rsidRPr="00661D48">
        <w:rPr>
          <w:rFonts w:ascii="Arial" w:hAnsi="Arial" w:cs="Arial"/>
          <w:sz w:val="20"/>
          <w:szCs w:val="20"/>
        </w:rPr>
        <w:t>Diagenode</w:t>
      </w:r>
      <w:proofErr w:type="spellEnd"/>
      <w:r w:rsidRPr="00661D48">
        <w:rPr>
          <w:rFonts w:ascii="Arial" w:hAnsi="Arial" w:cs="Arial"/>
          <w:sz w:val="20"/>
          <w:szCs w:val="20"/>
        </w:rPr>
        <w:t xml:space="preserve">, Belgium). Immunoprecipitation was carried out with STAT3 antibody (CST, #12640, Rabbit monoclonal, 1:50), while IgG (Millipore, No. 12-371B) was used as a negative control. The primers sequences for </w:t>
      </w:r>
      <w:proofErr w:type="spellStart"/>
      <w:r w:rsidRPr="00661D48">
        <w:rPr>
          <w:rFonts w:ascii="Arial" w:hAnsi="Arial" w:cs="Arial"/>
          <w:sz w:val="20"/>
          <w:szCs w:val="20"/>
        </w:rPr>
        <w:t>ChIP</w:t>
      </w:r>
      <w:proofErr w:type="spellEnd"/>
      <w:r w:rsidRPr="00661D48">
        <w:rPr>
          <w:rFonts w:ascii="Arial" w:hAnsi="Arial" w:cs="Arial"/>
          <w:sz w:val="20"/>
          <w:szCs w:val="20"/>
        </w:rPr>
        <w:t>-qPCR are listed in table S1.</w:t>
      </w:r>
    </w:p>
    <w:p w14:paraId="4BDFE377" w14:textId="77777777" w:rsidR="006C6034" w:rsidRPr="00661D48" w:rsidRDefault="006C6034" w:rsidP="006C6034">
      <w:pPr>
        <w:pStyle w:val="af1"/>
        <w:ind w:firstLineChars="0" w:firstLine="0"/>
        <w:contextualSpacing/>
        <w:rPr>
          <w:rStyle w:val="af3"/>
          <w:rFonts w:ascii="Arial" w:hAnsi="Arial" w:cs="Arial"/>
          <w:sz w:val="20"/>
          <w:szCs w:val="20"/>
        </w:rPr>
      </w:pPr>
    </w:p>
    <w:p w14:paraId="67261B21"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Luciferase reporter assay</w:t>
      </w:r>
    </w:p>
    <w:p w14:paraId="3BEBA518"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We assessed CXCL12 or mutant CXCL12 transcriptional activity using the Dual-Luciferase Reporter Assay System. 293T cells were seeded at a density of 2 × 10⁵ cells/well in 24-well plates for 18</w:t>
      </w:r>
      <w:r w:rsidRPr="00661D48">
        <w:rPr>
          <w:rFonts w:ascii="Arial" w:eastAsia="等线" w:hAnsi="Arial" w:cs="Arial"/>
          <w:sz w:val="20"/>
          <w:szCs w:val="20"/>
        </w:rPr>
        <w:t>-</w:t>
      </w:r>
      <w:r w:rsidRPr="00661D48">
        <w:rPr>
          <w:rFonts w:ascii="Arial" w:hAnsi="Arial" w:cs="Arial"/>
          <w:sz w:val="20"/>
          <w:szCs w:val="20"/>
        </w:rPr>
        <w:t xml:space="preserve">24 hours and transfected using Lipofectamine 6000 (Life Technologies, 11668019) with luciferase reporter plasmids (CXCL12-Luc or CXCL12-mu-Luc), </w:t>
      </w:r>
      <w:proofErr w:type="spellStart"/>
      <w:r w:rsidRPr="00661D48">
        <w:rPr>
          <w:rFonts w:ascii="Arial" w:hAnsi="Arial" w:cs="Arial"/>
          <w:sz w:val="20"/>
          <w:szCs w:val="20"/>
        </w:rPr>
        <w:t>renilla</w:t>
      </w:r>
      <w:proofErr w:type="spellEnd"/>
      <w:r w:rsidRPr="00661D48">
        <w:rPr>
          <w:rFonts w:ascii="Arial" w:hAnsi="Arial" w:cs="Arial"/>
          <w:sz w:val="20"/>
          <w:szCs w:val="20"/>
        </w:rPr>
        <w:t>, and either STAT3 (wild-type or mutants, including STAT3-C, STAT3-DN, R382W, R382Q, V637M, T714A) according to a previously published protocol</w:t>
      </w:r>
      <w:r>
        <w:rPr>
          <w:rFonts w:ascii="Arial" w:hAnsi="Arial" w:cs="Arial"/>
          <w:sz w:val="20"/>
          <w:szCs w:val="20"/>
        </w:rPr>
        <w:fldChar w:fldCharType="begin"/>
      </w:r>
      <w:r>
        <w:rPr>
          <w:rFonts w:ascii="Arial" w:hAnsi="Arial" w:cs="Arial"/>
          <w:sz w:val="20"/>
          <w:szCs w:val="20"/>
        </w:rPr>
        <w:instrText xml:space="preserve"> ADDIN EN.CITE &lt;EndNote&gt;&lt;Cite&gt;&lt;Author&gt;Liu&lt;/Author&gt;&lt;Year&gt;2016&lt;/Year&gt;&lt;RecNum&gt;257&lt;/RecNum&gt;&lt;DisplayText&gt;&lt;style face="superscript"&gt;44&lt;/style&gt;&lt;/DisplayText&gt;&lt;record&gt;&lt;rec-number&gt;257&lt;/rec-number&gt;&lt;foreign-keys&gt;&lt;key app="EN" db-id="vvxzd2906etapvepfwvxtpd5wt25zspdt0f9" timestamp="1739950568"&gt;257&lt;/key&gt;&lt;/foreign-keys&gt;&lt;ref-type name="Journal Article"&gt;17&lt;/ref-type&gt;&lt;contributors&gt;&lt;authors&gt;&lt;author&gt;Liu, Zhen&lt;/author&gt;&lt;author&gt;Yao, Xiao&lt;/author&gt;&lt;author&gt;Yan, Guang&lt;/author&gt;&lt;author&gt;Xu, YiChi&lt;/author&gt;&lt;author&gt;Yan, Jun&lt;/author&gt;&lt;author&gt;Zou, Weiguo&lt;/author&gt;&lt;author&gt;Wang, Gang&lt;/author&gt;&lt;/authors&gt;&lt;/contributors&gt;&lt;titles&gt;&lt;title&gt;Mediator MED23 cooperates with RUNX2 to drive osteoblast differentiation and bone development&lt;/title&gt;&lt;secondary-title&gt;Nature Communications&lt;/secondary-title&gt;&lt;/titles&gt;&lt;periodical&gt;&lt;full-title&gt;Nature Communications&lt;/full-title&gt;&lt;/periodical&gt;&lt;pages&gt;11149&lt;/pages&gt;&lt;volume&gt;7&lt;/volume&gt;&lt;number&gt;1&lt;/number&gt;&lt;dates&gt;&lt;year&gt;2016&lt;/year&gt;&lt;pub-dates&gt;&lt;date&gt;2016/04/01&lt;/date&gt;&lt;/pub-dates&gt;&lt;/dates&gt;&lt;isbn&gt;2041-1723&lt;/isbn&gt;&lt;urls&gt;&lt;related-urls&gt;&lt;url&gt;https://doi.org/10.1038/ncomms11149&lt;/url&gt;&lt;/related-urls&gt;&lt;/urls&gt;&lt;electronic-resource-num&gt;10.1038/ncomms11149&lt;/electronic-resource-num&gt;&lt;/record&gt;&lt;/Cite&gt;&lt;/EndNote&gt;</w:instrText>
      </w:r>
      <w:r>
        <w:rPr>
          <w:rFonts w:ascii="Arial" w:hAnsi="Arial" w:cs="Arial"/>
          <w:sz w:val="20"/>
          <w:szCs w:val="20"/>
        </w:rPr>
        <w:fldChar w:fldCharType="separate"/>
      </w:r>
      <w:r w:rsidRPr="00350AF3">
        <w:rPr>
          <w:rFonts w:ascii="Arial" w:hAnsi="Arial" w:cs="Arial"/>
          <w:noProof/>
          <w:sz w:val="20"/>
          <w:szCs w:val="20"/>
          <w:vertAlign w:val="superscript"/>
        </w:rPr>
        <w:t>44</w:t>
      </w:r>
      <w:r>
        <w:rPr>
          <w:rFonts w:ascii="Arial" w:hAnsi="Arial" w:cs="Arial"/>
          <w:sz w:val="20"/>
          <w:szCs w:val="20"/>
        </w:rPr>
        <w:fldChar w:fldCharType="end"/>
      </w:r>
      <w:r w:rsidRPr="00661D48">
        <w:rPr>
          <w:rFonts w:ascii="Arial" w:hAnsi="Arial" w:cs="Arial"/>
          <w:sz w:val="20"/>
          <w:szCs w:val="20"/>
        </w:rPr>
        <w:t>. Empty vector plasmids were used to maintain a constant DNA amount across all wells. Luciferase activity in cell extract supernatants was measured 48 hours post-transfection using the Dual-Luciferase Reporter Assay System (Promega, E1910), following the manufacturer’s instructions.</w:t>
      </w:r>
    </w:p>
    <w:p w14:paraId="5A2956F8" w14:textId="77777777" w:rsidR="006C6034" w:rsidRPr="00661D48" w:rsidRDefault="006C6034" w:rsidP="006C6034">
      <w:pPr>
        <w:pStyle w:val="af1"/>
        <w:ind w:firstLineChars="0" w:firstLine="0"/>
        <w:contextualSpacing/>
        <w:rPr>
          <w:rStyle w:val="af3"/>
          <w:rFonts w:ascii="Arial" w:hAnsi="Arial" w:cs="Arial"/>
          <w:sz w:val="20"/>
          <w:szCs w:val="20"/>
        </w:rPr>
      </w:pPr>
    </w:p>
    <w:p w14:paraId="7EFA4C58"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In vitro tube formation assay</w:t>
      </w:r>
    </w:p>
    <w:p w14:paraId="634FCD85"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HUVECs were serum-starved for 16 hours before being seeded at a density of 1 × 10</w:t>
      </w:r>
      <w:r w:rsidRPr="00661D48">
        <w:rPr>
          <w:rFonts w:ascii="Arial" w:hAnsi="Arial" w:cs="Arial"/>
          <w:sz w:val="20"/>
          <w:szCs w:val="20"/>
          <w:vertAlign w:val="superscript"/>
        </w:rPr>
        <w:t>4</w:t>
      </w:r>
      <w:r w:rsidRPr="00661D48">
        <w:rPr>
          <w:rFonts w:ascii="Arial" w:hAnsi="Arial" w:cs="Arial"/>
          <w:sz w:val="20"/>
          <w:szCs w:val="20"/>
        </w:rPr>
        <w:t xml:space="preserve"> cells per well onto growth factor-depleted Matrigel (BD Biosciences, NSW, Australia) in 24-well plates. CM was added, and results were quantified 6 hours later. Before imaging, cells were labeled with </w:t>
      </w:r>
      <w:proofErr w:type="spellStart"/>
      <w:r w:rsidRPr="00661D48">
        <w:rPr>
          <w:rFonts w:ascii="Arial" w:hAnsi="Arial" w:cs="Arial"/>
          <w:sz w:val="20"/>
          <w:szCs w:val="20"/>
        </w:rPr>
        <w:t>calcein</w:t>
      </w:r>
      <w:proofErr w:type="spellEnd"/>
      <w:r w:rsidRPr="00661D48">
        <w:rPr>
          <w:rFonts w:ascii="Arial" w:hAnsi="Arial" w:cs="Arial"/>
          <w:sz w:val="20"/>
          <w:szCs w:val="20"/>
        </w:rPr>
        <w:t>. Tube areas were quantified using Image-Pro Plus software.</w:t>
      </w:r>
    </w:p>
    <w:p w14:paraId="078C4368" w14:textId="77777777" w:rsidR="006C6034" w:rsidRPr="00661D48" w:rsidRDefault="006C6034" w:rsidP="006C6034">
      <w:pPr>
        <w:pStyle w:val="af1"/>
        <w:ind w:firstLineChars="0" w:firstLine="0"/>
        <w:contextualSpacing/>
        <w:rPr>
          <w:rStyle w:val="af3"/>
          <w:rFonts w:ascii="Arial" w:hAnsi="Arial" w:cs="Arial"/>
          <w:sz w:val="20"/>
          <w:szCs w:val="20"/>
        </w:rPr>
      </w:pPr>
    </w:p>
    <w:p w14:paraId="2B02A953"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Mice treated with CXCL12</w:t>
      </w:r>
    </w:p>
    <w:p w14:paraId="2026A601"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 xml:space="preserve">8-week-old mice (five per group) were subcutaneously administered mouse SDF-1 alpha/CXCL12 (HY-P7285, 100 ng in 50 </w:t>
      </w:r>
      <w:proofErr w:type="spellStart"/>
      <w:r w:rsidRPr="00661D48">
        <w:rPr>
          <w:rFonts w:ascii="Arial" w:hAnsi="Arial" w:cs="Arial"/>
          <w:sz w:val="20"/>
          <w:szCs w:val="20"/>
        </w:rPr>
        <w:t>μl</w:t>
      </w:r>
      <w:proofErr w:type="spellEnd"/>
      <w:r w:rsidRPr="00661D48">
        <w:rPr>
          <w:rFonts w:ascii="Arial" w:hAnsi="Arial" w:cs="Arial"/>
          <w:sz w:val="20"/>
          <w:szCs w:val="20"/>
        </w:rPr>
        <w:t>) every other day for 2 weeks.</w:t>
      </w:r>
    </w:p>
    <w:p w14:paraId="05BB2778" w14:textId="77777777" w:rsidR="006C6034" w:rsidRPr="00661D48" w:rsidRDefault="006C6034" w:rsidP="006C6034">
      <w:pPr>
        <w:pStyle w:val="af1"/>
        <w:ind w:firstLineChars="0" w:firstLine="0"/>
        <w:contextualSpacing/>
        <w:rPr>
          <w:rStyle w:val="af3"/>
          <w:rFonts w:ascii="Arial" w:hAnsi="Arial" w:cs="Arial"/>
          <w:sz w:val="20"/>
          <w:szCs w:val="20"/>
        </w:rPr>
      </w:pPr>
    </w:p>
    <w:p w14:paraId="77E5D56C" w14:textId="77777777" w:rsidR="006C6034" w:rsidRPr="00661D48" w:rsidRDefault="006C6034" w:rsidP="006C6034">
      <w:pPr>
        <w:pStyle w:val="af1"/>
        <w:ind w:firstLineChars="0" w:firstLine="0"/>
        <w:contextualSpacing/>
        <w:rPr>
          <w:rFonts w:ascii="Arial" w:hAnsi="Arial" w:cs="Arial"/>
          <w:sz w:val="20"/>
          <w:szCs w:val="20"/>
        </w:rPr>
      </w:pPr>
      <w:r w:rsidRPr="00661D48">
        <w:rPr>
          <w:rStyle w:val="af3"/>
          <w:rFonts w:ascii="Arial" w:hAnsi="Arial" w:cs="Arial"/>
          <w:sz w:val="20"/>
          <w:szCs w:val="20"/>
        </w:rPr>
        <w:t xml:space="preserve">Mice treated with STAT3 agonist </w:t>
      </w:r>
      <w:proofErr w:type="spellStart"/>
      <w:r w:rsidRPr="00661D48">
        <w:rPr>
          <w:rStyle w:val="af3"/>
          <w:rFonts w:ascii="Arial" w:hAnsi="Arial" w:cs="Arial"/>
          <w:sz w:val="20"/>
          <w:szCs w:val="20"/>
        </w:rPr>
        <w:t>colivelin</w:t>
      </w:r>
      <w:proofErr w:type="spellEnd"/>
    </w:p>
    <w:p w14:paraId="47397E3B"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 xml:space="preserve">8-week-old mice (five per group) were intraperitoneally administered </w:t>
      </w:r>
      <w:proofErr w:type="spellStart"/>
      <w:r w:rsidRPr="00661D48">
        <w:rPr>
          <w:rFonts w:ascii="Arial" w:hAnsi="Arial" w:cs="Arial"/>
          <w:sz w:val="20"/>
          <w:szCs w:val="20"/>
        </w:rPr>
        <w:t>colivelin</w:t>
      </w:r>
      <w:proofErr w:type="spellEnd"/>
      <w:r w:rsidRPr="00661D48">
        <w:rPr>
          <w:rFonts w:ascii="Arial" w:hAnsi="Arial" w:cs="Arial"/>
          <w:sz w:val="20"/>
          <w:szCs w:val="20"/>
        </w:rPr>
        <w:t xml:space="preserve"> (MCE, HY-P1061A) at a dose of 1.5 mg/kg every other day for 4 weeks.</w:t>
      </w:r>
    </w:p>
    <w:p w14:paraId="03AC69CA" w14:textId="77777777" w:rsidR="006C6034" w:rsidRPr="00661D48" w:rsidRDefault="006C6034" w:rsidP="006C6034">
      <w:pPr>
        <w:pStyle w:val="af1"/>
        <w:ind w:firstLineChars="0" w:firstLine="0"/>
        <w:contextualSpacing/>
        <w:rPr>
          <w:rFonts w:ascii="Arial" w:hAnsi="Arial" w:cs="Arial"/>
          <w:b/>
          <w:bCs/>
          <w:sz w:val="20"/>
          <w:szCs w:val="20"/>
        </w:rPr>
      </w:pPr>
    </w:p>
    <w:p w14:paraId="08632162" w14:textId="77777777" w:rsidR="006C6034" w:rsidRPr="00661D48" w:rsidRDefault="006C6034" w:rsidP="006C6034">
      <w:pPr>
        <w:pStyle w:val="af1"/>
        <w:ind w:firstLineChars="0" w:firstLine="0"/>
        <w:contextualSpacing/>
        <w:rPr>
          <w:rFonts w:ascii="Arial" w:hAnsi="Arial" w:cs="Arial"/>
          <w:b/>
          <w:bCs/>
          <w:sz w:val="20"/>
          <w:szCs w:val="20"/>
        </w:rPr>
      </w:pPr>
      <w:r w:rsidRPr="00661D48">
        <w:rPr>
          <w:rFonts w:ascii="Arial" w:hAnsi="Arial" w:cs="Arial"/>
          <w:b/>
          <w:bCs/>
          <w:sz w:val="20"/>
          <w:szCs w:val="20"/>
        </w:rPr>
        <w:t xml:space="preserve">Statistical analysis </w:t>
      </w:r>
    </w:p>
    <w:p w14:paraId="5E046C84" w14:textId="77777777" w:rsidR="006C6034" w:rsidRPr="00661D48" w:rsidRDefault="006C6034" w:rsidP="006C6034">
      <w:pPr>
        <w:pStyle w:val="af1"/>
        <w:ind w:firstLineChars="0" w:firstLine="0"/>
        <w:contextualSpacing/>
        <w:rPr>
          <w:rFonts w:ascii="Arial" w:hAnsi="Arial" w:cs="Arial"/>
          <w:sz w:val="20"/>
          <w:szCs w:val="20"/>
        </w:rPr>
      </w:pPr>
      <w:r w:rsidRPr="00661D48">
        <w:rPr>
          <w:rFonts w:ascii="Arial" w:hAnsi="Arial" w:cs="Arial"/>
          <w:sz w:val="20"/>
          <w:szCs w:val="20"/>
        </w:rPr>
        <w:t xml:space="preserve">All results were presented as the </w:t>
      </w:r>
      <w:proofErr w:type="spellStart"/>
      <w:r w:rsidRPr="00661D48">
        <w:rPr>
          <w:rFonts w:ascii="Arial" w:hAnsi="Arial" w:cs="Arial"/>
          <w:sz w:val="20"/>
          <w:szCs w:val="20"/>
        </w:rPr>
        <w:t>mean±s.d</w:t>
      </w:r>
      <w:proofErr w:type="spellEnd"/>
      <w:r w:rsidRPr="00661D48">
        <w:rPr>
          <w:rFonts w:ascii="Arial" w:hAnsi="Arial" w:cs="Arial"/>
          <w:sz w:val="20"/>
          <w:szCs w:val="20"/>
        </w:rPr>
        <w:t xml:space="preserve">. using GraphPad Prism 6.00 (GraphPad Software, San Diego, CA, USA) and analyzed using Student’s t test or ANOVA (analysis of variance). Pearson’s </w:t>
      </w:r>
      <w:r w:rsidRPr="00661D48">
        <w:rPr>
          <w:rFonts w:ascii="Arial" w:hAnsi="Arial" w:cs="Arial"/>
          <w:sz w:val="20"/>
          <w:szCs w:val="20"/>
        </w:rPr>
        <w:lastRenderedPageBreak/>
        <w:t>linear correlation coefficients were used to measure the dependency of two variables. The level of significance was set at P &lt; 0.05.</w:t>
      </w:r>
    </w:p>
    <w:p w14:paraId="6AC3DB78" w14:textId="77777777" w:rsidR="006C6034" w:rsidRDefault="006C6034" w:rsidP="006C6034">
      <w:pPr>
        <w:spacing w:after="0"/>
        <w:rPr>
          <w:rStyle w:val="fontstyle21"/>
          <w:rFonts w:ascii="Arial" w:eastAsia="Times New Roman" w:hAnsi="Arial" w:cs="Arial"/>
          <w:sz w:val="20"/>
          <w:szCs w:val="20"/>
        </w:rPr>
      </w:pPr>
      <w:r>
        <w:rPr>
          <w:rStyle w:val="fontstyle21"/>
          <w:rFonts w:ascii="Arial" w:hAnsi="Arial" w:cs="Arial"/>
          <w:sz w:val="20"/>
          <w:szCs w:val="20"/>
        </w:rPr>
        <w:br w:type="page"/>
      </w:r>
    </w:p>
    <w:p w14:paraId="76C76A6D" w14:textId="77777777" w:rsidR="006C6034" w:rsidRPr="00600789" w:rsidRDefault="006C6034" w:rsidP="006C6034">
      <w:pPr>
        <w:pStyle w:val="Paragraph"/>
        <w:spacing w:before="0" w:line="480" w:lineRule="auto"/>
        <w:ind w:firstLine="0"/>
        <w:rPr>
          <w:rFonts w:ascii="Arial" w:eastAsiaTheme="minorEastAsia" w:hAnsi="Arial" w:cs="Arial"/>
          <w:color w:val="000000"/>
          <w:sz w:val="20"/>
          <w:szCs w:val="20"/>
          <w:lang w:eastAsia="zh-CN"/>
        </w:rPr>
      </w:pPr>
      <w:r w:rsidRPr="00600789">
        <w:rPr>
          <w:rStyle w:val="fontstyle21"/>
          <w:rFonts w:ascii="Arial" w:hAnsi="Arial" w:cs="Arial"/>
          <w:sz w:val="20"/>
          <w:szCs w:val="20"/>
        </w:rPr>
        <w:lastRenderedPageBreak/>
        <w:t>Supplemental Tables 1</w:t>
      </w:r>
    </w:p>
    <w:p w14:paraId="5B4ABDA6" w14:textId="77777777" w:rsidR="006C6034" w:rsidRDefault="006C6034" w:rsidP="006C6034">
      <w:pPr>
        <w:widowControl w:val="0"/>
        <w:jc w:val="both"/>
        <w:rPr>
          <w:b/>
          <w:sz w:val="24"/>
          <w:szCs w:val="24"/>
        </w:rPr>
      </w:pPr>
      <w:r>
        <w:rPr>
          <w:noProof/>
        </w:rPr>
        <w:drawing>
          <wp:inline distT="0" distB="0" distL="0" distR="0" wp14:anchorId="63887B10" wp14:editId="05E5FAF2">
            <wp:extent cx="5815965" cy="5486400"/>
            <wp:effectExtent l="0" t="0" r="0" b="0"/>
            <wp:docPr id="2324681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8191" name="图片 9"/>
                    <pic:cNvPicPr>
                      <a:picLocks noChangeAspect="1" noChangeArrowheads="1"/>
                    </pic:cNvPicPr>
                  </pic:nvPicPr>
                  <pic:blipFill>
                    <a:blip r:embed="rId4" cstate="print">
                      <a:extLst>
                        <a:ext uri="{28A0092B-C50C-407E-A947-70E740481C1C}">
                          <a14:useLocalDpi xmlns:a14="http://schemas.microsoft.com/office/drawing/2010/main" val="0"/>
                        </a:ext>
                      </a:extLst>
                    </a:blip>
                    <a:srcRect b="33333"/>
                    <a:stretch>
                      <a:fillRect/>
                    </a:stretch>
                  </pic:blipFill>
                  <pic:spPr>
                    <a:xfrm>
                      <a:off x="0" y="0"/>
                      <a:ext cx="5815965" cy="5486400"/>
                    </a:xfrm>
                    <a:prstGeom prst="rect">
                      <a:avLst/>
                    </a:prstGeom>
                    <a:noFill/>
                    <a:ln>
                      <a:noFill/>
                    </a:ln>
                  </pic:spPr>
                </pic:pic>
              </a:graphicData>
            </a:graphic>
          </wp:inline>
        </w:drawing>
      </w:r>
    </w:p>
    <w:p w14:paraId="5D5A726D" w14:textId="77777777" w:rsidR="006C6034" w:rsidRPr="00600789" w:rsidRDefault="006C6034" w:rsidP="006C6034">
      <w:pPr>
        <w:widowControl w:val="0"/>
        <w:spacing w:line="360" w:lineRule="auto"/>
        <w:jc w:val="both"/>
        <w:rPr>
          <w:rFonts w:ascii="Arial" w:hAnsi="Arial" w:cs="Arial"/>
          <w:b/>
          <w:bCs/>
          <w:sz w:val="20"/>
          <w:szCs w:val="20"/>
        </w:rPr>
      </w:pPr>
      <w:r w:rsidRPr="00600789">
        <w:rPr>
          <w:rFonts w:ascii="Arial" w:hAnsi="Arial" w:cs="Arial"/>
          <w:b/>
          <w:sz w:val="20"/>
          <w:szCs w:val="20"/>
        </w:rPr>
        <w:t>Supplemental Figure</w:t>
      </w:r>
      <w:r w:rsidRPr="00600789">
        <w:rPr>
          <w:rFonts w:ascii="Arial" w:hAnsi="Arial" w:cs="Arial"/>
          <w:b/>
          <w:sz w:val="20"/>
          <w:szCs w:val="20"/>
          <w:lang w:eastAsia="zh-CN"/>
        </w:rPr>
        <w:t xml:space="preserve"> </w:t>
      </w:r>
      <w:r w:rsidRPr="00600789">
        <w:rPr>
          <w:rFonts w:ascii="Arial" w:hAnsi="Arial" w:cs="Arial"/>
          <w:b/>
          <w:sz w:val="20"/>
          <w:szCs w:val="20"/>
        </w:rPr>
        <w:t xml:space="preserve">1. Ablation of STAT3 affect PCs osteoblastic differentiation and affects angiogenesis in vitro. </w:t>
      </w:r>
      <w:r w:rsidRPr="00600789">
        <w:rPr>
          <w:rFonts w:ascii="Arial" w:hAnsi="Arial" w:cs="Arial"/>
          <w:sz w:val="20"/>
          <w:szCs w:val="20"/>
        </w:rPr>
        <w:t>(</w:t>
      </w:r>
      <w:r w:rsidRPr="00600789">
        <w:rPr>
          <w:rFonts w:ascii="Arial" w:hAnsi="Arial" w:cs="Arial"/>
          <w:b/>
          <w:bCs/>
          <w:sz w:val="20"/>
          <w:szCs w:val="20"/>
        </w:rPr>
        <w:t>A</w:t>
      </w:r>
      <w:r w:rsidRPr="00600789">
        <w:rPr>
          <w:rFonts w:ascii="Arial" w:hAnsi="Arial" w:cs="Arial"/>
          <w:sz w:val="20"/>
          <w:szCs w:val="20"/>
        </w:rPr>
        <w:t xml:space="preserve">) Periosteal cells from 4-week-old male </w:t>
      </w:r>
      <w:r w:rsidRPr="00600789">
        <w:rPr>
          <w:rFonts w:ascii="Arial" w:hAnsi="Arial" w:cs="Arial"/>
          <w:i/>
          <w:iCs/>
          <w:sz w:val="20"/>
          <w:szCs w:val="20"/>
        </w:rPr>
        <w:t>Stat3</w:t>
      </w:r>
      <w:r w:rsidRPr="00600789">
        <w:rPr>
          <w:rFonts w:ascii="Arial" w:hAnsi="Arial" w:cs="Arial"/>
          <w:i/>
          <w:iCs/>
          <w:sz w:val="20"/>
          <w:szCs w:val="20"/>
          <w:vertAlign w:val="superscript"/>
        </w:rPr>
        <w:t>fl/</w:t>
      </w:r>
      <w:proofErr w:type="spellStart"/>
      <w:r w:rsidRPr="00600789">
        <w:rPr>
          <w:rFonts w:ascii="Arial" w:hAnsi="Arial" w:cs="Arial"/>
          <w:i/>
          <w:iCs/>
          <w:sz w:val="20"/>
          <w:szCs w:val="20"/>
          <w:vertAlign w:val="superscript"/>
        </w:rPr>
        <w:t>fl</w:t>
      </w:r>
      <w:proofErr w:type="spellEnd"/>
      <w:r w:rsidRPr="00600789">
        <w:rPr>
          <w:rFonts w:ascii="Arial" w:hAnsi="Arial" w:cs="Arial"/>
          <w:sz w:val="20"/>
          <w:szCs w:val="20"/>
        </w:rPr>
        <w:t xml:space="preserve"> mice were infected with adenovirus expressing EGFP or Cre-EGFP for 4 h then induced by chondrogenic medium. Alcian blue staining of periosteal cells after culture in chondrogenic medium for 21 days. (</w:t>
      </w:r>
      <w:r w:rsidRPr="00600789">
        <w:rPr>
          <w:rFonts w:ascii="Arial" w:hAnsi="Arial" w:cs="Arial"/>
          <w:b/>
          <w:bCs/>
          <w:sz w:val="20"/>
          <w:szCs w:val="20"/>
        </w:rPr>
        <w:t>B</w:t>
      </w:r>
      <w:r w:rsidRPr="00600789">
        <w:rPr>
          <w:rFonts w:ascii="Arial" w:hAnsi="Arial" w:cs="Arial"/>
          <w:sz w:val="20"/>
          <w:szCs w:val="20"/>
        </w:rPr>
        <w:t>) ALP staining of PCs after culture in osteogenic medium for 7 days.</w:t>
      </w:r>
      <w:r w:rsidRPr="00600789">
        <w:rPr>
          <w:rFonts w:ascii="Arial" w:hAnsi="Arial" w:cs="Arial"/>
          <w:b/>
          <w:bCs/>
          <w:sz w:val="20"/>
          <w:szCs w:val="20"/>
        </w:rPr>
        <w:t xml:space="preserve"> </w:t>
      </w:r>
      <w:r w:rsidRPr="00600789">
        <w:rPr>
          <w:rFonts w:ascii="Arial" w:hAnsi="Arial" w:cs="Arial"/>
          <w:sz w:val="20"/>
          <w:szCs w:val="20"/>
        </w:rPr>
        <w:t>(</w:t>
      </w:r>
      <w:r w:rsidRPr="00600789">
        <w:rPr>
          <w:rFonts w:ascii="Arial" w:hAnsi="Arial" w:cs="Arial"/>
          <w:b/>
          <w:bCs/>
          <w:sz w:val="20"/>
          <w:szCs w:val="20"/>
        </w:rPr>
        <w:t>C</w:t>
      </w:r>
      <w:r w:rsidRPr="00600789">
        <w:rPr>
          <w:rFonts w:ascii="Arial" w:hAnsi="Arial" w:cs="Arial"/>
          <w:sz w:val="20"/>
          <w:szCs w:val="20"/>
        </w:rPr>
        <w:t xml:space="preserve">) The relative mRNA levels of </w:t>
      </w:r>
      <w:r w:rsidRPr="00600789">
        <w:rPr>
          <w:rFonts w:ascii="Arial" w:hAnsi="Arial" w:cs="Arial"/>
          <w:i/>
          <w:iCs/>
          <w:sz w:val="20"/>
          <w:szCs w:val="20"/>
        </w:rPr>
        <w:t>Runx2</w:t>
      </w:r>
      <w:r w:rsidRPr="00600789">
        <w:rPr>
          <w:rFonts w:ascii="Arial" w:hAnsi="Arial" w:cs="Arial"/>
          <w:sz w:val="20"/>
          <w:szCs w:val="20"/>
        </w:rPr>
        <w:t xml:space="preserve">, </w:t>
      </w:r>
      <w:r w:rsidRPr="00600789">
        <w:rPr>
          <w:rFonts w:ascii="Arial" w:hAnsi="Arial" w:cs="Arial"/>
          <w:i/>
          <w:iCs/>
          <w:sz w:val="20"/>
          <w:szCs w:val="20"/>
        </w:rPr>
        <w:t>Sp7</w:t>
      </w:r>
      <w:r w:rsidRPr="00600789">
        <w:rPr>
          <w:rFonts w:ascii="Arial" w:hAnsi="Arial" w:cs="Arial"/>
          <w:sz w:val="20"/>
          <w:szCs w:val="20"/>
        </w:rPr>
        <w:t xml:space="preserve">, </w:t>
      </w:r>
      <w:r w:rsidRPr="00600789">
        <w:rPr>
          <w:rFonts w:ascii="Arial" w:hAnsi="Arial" w:cs="Arial"/>
          <w:i/>
          <w:iCs/>
          <w:sz w:val="20"/>
          <w:szCs w:val="20"/>
        </w:rPr>
        <w:t>Alp</w:t>
      </w:r>
      <w:r w:rsidRPr="00600789">
        <w:rPr>
          <w:rFonts w:ascii="Arial" w:hAnsi="Arial" w:cs="Arial"/>
          <w:sz w:val="20"/>
          <w:szCs w:val="20"/>
        </w:rPr>
        <w:t xml:space="preserve"> and </w:t>
      </w:r>
      <w:r w:rsidRPr="00600789">
        <w:rPr>
          <w:rFonts w:ascii="Arial" w:hAnsi="Arial" w:cs="Arial"/>
          <w:i/>
          <w:iCs/>
          <w:sz w:val="20"/>
          <w:szCs w:val="20"/>
        </w:rPr>
        <w:t>Col1</w:t>
      </w:r>
      <w:r w:rsidRPr="00600789">
        <w:rPr>
          <w:rFonts w:ascii="Arial" w:hAnsi="Arial" w:cs="Arial"/>
          <w:sz w:val="20"/>
          <w:szCs w:val="20"/>
        </w:rPr>
        <w:t xml:space="preserve"> in PCs after culture in osteogenic medium for 7 days. </w:t>
      </w:r>
      <w:r w:rsidRPr="00600789">
        <w:rPr>
          <w:rFonts w:ascii="Arial" w:hAnsi="Arial" w:cs="Arial"/>
          <w:i/>
          <w:iCs/>
          <w:sz w:val="20"/>
          <w:szCs w:val="20"/>
        </w:rPr>
        <w:t xml:space="preserve">n = </w:t>
      </w:r>
      <w:r w:rsidRPr="00600789">
        <w:rPr>
          <w:rFonts w:ascii="Arial" w:hAnsi="Arial" w:cs="Arial"/>
          <w:sz w:val="20"/>
          <w:szCs w:val="20"/>
        </w:rPr>
        <w:t>9. (</w:t>
      </w:r>
      <w:r w:rsidRPr="00600789">
        <w:rPr>
          <w:rFonts w:ascii="Arial" w:hAnsi="Arial" w:cs="Arial"/>
          <w:b/>
          <w:bCs/>
          <w:sz w:val="20"/>
          <w:szCs w:val="20"/>
        </w:rPr>
        <w:t>D</w:t>
      </w:r>
      <w:r w:rsidRPr="00600789">
        <w:rPr>
          <w:rFonts w:ascii="Arial" w:hAnsi="Arial" w:cs="Arial"/>
          <w:sz w:val="20"/>
          <w:szCs w:val="20"/>
        </w:rPr>
        <w:t>) Scheme of currently used in vitro culture of HUVEC.</w:t>
      </w:r>
      <w:r w:rsidRPr="00600789">
        <w:rPr>
          <w:rFonts w:ascii="Arial" w:hAnsi="Arial" w:cs="Arial"/>
          <w:b/>
          <w:bCs/>
          <w:sz w:val="20"/>
          <w:szCs w:val="20"/>
        </w:rPr>
        <w:t xml:space="preserve"> </w:t>
      </w:r>
      <w:r w:rsidRPr="00600789">
        <w:rPr>
          <w:rFonts w:ascii="Arial" w:hAnsi="Arial" w:cs="Arial"/>
          <w:sz w:val="20"/>
          <w:szCs w:val="20"/>
        </w:rPr>
        <w:t>(</w:t>
      </w:r>
      <w:r w:rsidRPr="00600789">
        <w:rPr>
          <w:rFonts w:ascii="Arial" w:hAnsi="Arial" w:cs="Arial"/>
          <w:b/>
          <w:bCs/>
          <w:sz w:val="20"/>
          <w:szCs w:val="20"/>
        </w:rPr>
        <w:t>E</w:t>
      </w:r>
      <w:r w:rsidRPr="00600789">
        <w:rPr>
          <w:rFonts w:ascii="Arial" w:hAnsi="Arial" w:cs="Arial"/>
          <w:sz w:val="20"/>
          <w:szCs w:val="20"/>
        </w:rPr>
        <w:t xml:space="preserve">) Representative graphs of wounds in HUVECs after 24 h. Dotted lines highlight the linear wound for each group of cells. The bar graph shows the mean percentage of wound closure. </w:t>
      </w:r>
      <w:r w:rsidRPr="00600789">
        <w:rPr>
          <w:rFonts w:ascii="Arial" w:hAnsi="Arial" w:cs="Arial"/>
          <w:i/>
          <w:iCs/>
          <w:sz w:val="20"/>
          <w:szCs w:val="20"/>
        </w:rPr>
        <w:t xml:space="preserve">n = </w:t>
      </w:r>
      <w:r w:rsidRPr="00600789">
        <w:rPr>
          <w:rFonts w:ascii="Arial" w:hAnsi="Arial" w:cs="Arial"/>
          <w:sz w:val="20"/>
          <w:szCs w:val="20"/>
        </w:rPr>
        <w:t>9 per group. (</w:t>
      </w:r>
      <w:r w:rsidRPr="00600789">
        <w:rPr>
          <w:rFonts w:ascii="Arial" w:hAnsi="Arial" w:cs="Arial"/>
          <w:b/>
          <w:bCs/>
          <w:sz w:val="20"/>
          <w:szCs w:val="20"/>
        </w:rPr>
        <w:t>F</w:t>
      </w:r>
      <w:r w:rsidRPr="00600789">
        <w:rPr>
          <w:rFonts w:ascii="Arial" w:hAnsi="Arial" w:cs="Arial"/>
          <w:sz w:val="20"/>
          <w:szCs w:val="20"/>
        </w:rPr>
        <w:t xml:space="preserve">) Representative graphs of </w:t>
      </w:r>
      <w:proofErr w:type="spellStart"/>
      <w:r w:rsidRPr="00600789">
        <w:rPr>
          <w:rFonts w:ascii="Arial" w:hAnsi="Arial" w:cs="Arial"/>
          <w:sz w:val="20"/>
          <w:szCs w:val="20"/>
        </w:rPr>
        <w:t>transwell</w:t>
      </w:r>
      <w:proofErr w:type="spellEnd"/>
      <w:r w:rsidRPr="00600789">
        <w:rPr>
          <w:rFonts w:ascii="Arial" w:hAnsi="Arial" w:cs="Arial"/>
          <w:sz w:val="20"/>
          <w:szCs w:val="20"/>
        </w:rPr>
        <w:t xml:space="preserve"> migration assay in HUVECs. </w:t>
      </w:r>
      <w:r w:rsidRPr="00600789">
        <w:rPr>
          <w:rFonts w:ascii="Arial" w:hAnsi="Arial" w:cs="Arial"/>
          <w:i/>
          <w:iCs/>
          <w:sz w:val="20"/>
          <w:szCs w:val="20"/>
        </w:rPr>
        <w:t xml:space="preserve">n = </w:t>
      </w:r>
      <w:r w:rsidRPr="00600789">
        <w:rPr>
          <w:rFonts w:ascii="Arial" w:hAnsi="Arial" w:cs="Arial"/>
          <w:sz w:val="20"/>
          <w:szCs w:val="20"/>
        </w:rPr>
        <w:t>9. (</w:t>
      </w:r>
      <w:r w:rsidRPr="00600789">
        <w:rPr>
          <w:rFonts w:ascii="Arial" w:hAnsi="Arial" w:cs="Arial"/>
          <w:b/>
          <w:bCs/>
          <w:sz w:val="20"/>
          <w:szCs w:val="20"/>
        </w:rPr>
        <w:t>G</w:t>
      </w:r>
      <w:r w:rsidRPr="00600789">
        <w:rPr>
          <w:rFonts w:ascii="Arial" w:hAnsi="Arial" w:cs="Arial"/>
          <w:sz w:val="20"/>
          <w:szCs w:val="20"/>
        </w:rPr>
        <w:t xml:space="preserve">) Representative photomicrographs of tube formation of HUVECs incubated </w:t>
      </w:r>
      <w:r w:rsidRPr="00600789">
        <w:rPr>
          <w:rFonts w:ascii="Arial" w:hAnsi="Arial" w:cs="Arial"/>
          <w:sz w:val="20"/>
          <w:szCs w:val="20"/>
        </w:rPr>
        <w:lastRenderedPageBreak/>
        <w:t xml:space="preserve">with Matrigel and quantitative analysis of tube area. </w:t>
      </w:r>
      <w:r w:rsidRPr="00600789">
        <w:rPr>
          <w:rFonts w:ascii="Arial" w:hAnsi="Arial" w:cs="Arial"/>
          <w:i/>
          <w:iCs/>
          <w:sz w:val="20"/>
          <w:szCs w:val="20"/>
        </w:rPr>
        <w:t xml:space="preserve">n = </w:t>
      </w:r>
      <w:r w:rsidRPr="00600789">
        <w:rPr>
          <w:rFonts w:ascii="Arial" w:hAnsi="Arial" w:cs="Arial"/>
          <w:sz w:val="20"/>
          <w:szCs w:val="20"/>
        </w:rPr>
        <w:t>9.</w:t>
      </w:r>
    </w:p>
    <w:p w14:paraId="71E4B9BA" w14:textId="77777777" w:rsidR="006C6034" w:rsidRPr="00600789" w:rsidRDefault="006C6034" w:rsidP="006C6034">
      <w:pPr>
        <w:spacing w:line="360" w:lineRule="auto"/>
        <w:rPr>
          <w:rFonts w:ascii="Arial" w:hAnsi="Arial" w:cs="Arial"/>
          <w:sz w:val="20"/>
          <w:szCs w:val="20"/>
        </w:rPr>
      </w:pPr>
      <w:r w:rsidRPr="00600789">
        <w:rPr>
          <w:rFonts w:ascii="Arial" w:hAnsi="Arial" w:cs="Arial"/>
          <w:sz w:val="20"/>
          <w:szCs w:val="20"/>
        </w:rPr>
        <w:br w:type="page"/>
      </w:r>
    </w:p>
    <w:p w14:paraId="6EB6179E" w14:textId="77777777" w:rsidR="006C6034" w:rsidRPr="00600789" w:rsidRDefault="006C6034" w:rsidP="006C6034">
      <w:pPr>
        <w:widowControl w:val="0"/>
        <w:spacing w:line="360" w:lineRule="auto"/>
        <w:jc w:val="both"/>
        <w:rPr>
          <w:rFonts w:ascii="Arial" w:hAnsi="Arial" w:cs="Arial"/>
          <w:b/>
          <w:sz w:val="20"/>
          <w:szCs w:val="20"/>
        </w:rPr>
      </w:pPr>
      <w:r w:rsidRPr="00600789">
        <w:rPr>
          <w:rFonts w:ascii="Arial" w:hAnsi="Arial" w:cs="Arial"/>
          <w:noProof/>
          <w:sz w:val="20"/>
          <w:szCs w:val="20"/>
        </w:rPr>
        <w:lastRenderedPageBreak/>
        <w:drawing>
          <wp:inline distT="0" distB="0" distL="0" distR="0" wp14:anchorId="62D8B921" wp14:editId="2F430F11">
            <wp:extent cx="5815965" cy="2338705"/>
            <wp:effectExtent l="0" t="0" r="0" b="4445"/>
            <wp:docPr id="1728813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316"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rcRect b="71576"/>
                    <a:stretch>
                      <a:fillRect/>
                    </a:stretch>
                  </pic:blipFill>
                  <pic:spPr>
                    <a:xfrm>
                      <a:off x="0" y="0"/>
                      <a:ext cx="5815965" cy="2339163"/>
                    </a:xfrm>
                    <a:prstGeom prst="rect">
                      <a:avLst/>
                    </a:prstGeom>
                    <a:noFill/>
                    <a:ln>
                      <a:noFill/>
                    </a:ln>
                  </pic:spPr>
                </pic:pic>
              </a:graphicData>
            </a:graphic>
          </wp:inline>
        </w:drawing>
      </w:r>
    </w:p>
    <w:p w14:paraId="5AB4FCC3" w14:textId="77777777" w:rsidR="006C6034" w:rsidRPr="00600789" w:rsidRDefault="006C6034" w:rsidP="006C6034">
      <w:pPr>
        <w:widowControl w:val="0"/>
        <w:spacing w:line="360" w:lineRule="auto"/>
        <w:jc w:val="both"/>
        <w:rPr>
          <w:rFonts w:ascii="Arial" w:hAnsi="Arial" w:cs="Arial"/>
          <w:sz w:val="20"/>
          <w:szCs w:val="20"/>
          <w:lang w:eastAsia="zh-CN"/>
        </w:rPr>
      </w:pPr>
      <w:r w:rsidRPr="00600789">
        <w:rPr>
          <w:rFonts w:ascii="Arial" w:hAnsi="Arial" w:cs="Arial"/>
          <w:b/>
          <w:sz w:val="20"/>
          <w:szCs w:val="20"/>
        </w:rPr>
        <w:t>Supplemental Figure</w:t>
      </w:r>
      <w:r w:rsidRPr="00600789">
        <w:rPr>
          <w:rFonts w:ascii="Arial" w:hAnsi="Arial" w:cs="Arial"/>
          <w:b/>
          <w:sz w:val="20"/>
          <w:szCs w:val="20"/>
          <w:lang w:eastAsia="zh-CN"/>
        </w:rPr>
        <w:t xml:space="preserve"> </w:t>
      </w:r>
      <w:r w:rsidRPr="00600789">
        <w:rPr>
          <w:rFonts w:ascii="Arial" w:hAnsi="Arial" w:cs="Arial"/>
          <w:b/>
          <w:sz w:val="20"/>
          <w:szCs w:val="20"/>
        </w:rPr>
        <w:t>2.</w:t>
      </w:r>
      <w:r w:rsidRPr="00600789">
        <w:rPr>
          <w:rFonts w:ascii="Arial" w:hAnsi="Arial" w:cs="Arial"/>
          <w:sz w:val="20"/>
          <w:szCs w:val="20"/>
        </w:rPr>
        <w:t xml:space="preserve"> </w:t>
      </w:r>
      <w:r w:rsidRPr="00600789">
        <w:rPr>
          <w:rFonts w:ascii="Arial" w:hAnsi="Arial" w:cs="Arial"/>
          <w:b/>
          <w:bCs/>
          <w:sz w:val="20"/>
          <w:szCs w:val="20"/>
        </w:rPr>
        <w:t>Ablation of STAT3 affect PCs proliferation and migration.</w:t>
      </w:r>
      <w:r w:rsidRPr="00600789">
        <w:rPr>
          <w:rFonts w:ascii="Arial" w:hAnsi="Arial" w:cs="Arial"/>
          <w:sz w:val="20"/>
          <w:szCs w:val="20"/>
        </w:rPr>
        <w:t xml:space="preserve"> (</w:t>
      </w:r>
      <w:r w:rsidRPr="00600789">
        <w:rPr>
          <w:rFonts w:ascii="Arial" w:hAnsi="Arial" w:cs="Arial"/>
          <w:b/>
          <w:bCs/>
          <w:sz w:val="20"/>
          <w:szCs w:val="20"/>
        </w:rPr>
        <w:t>A</w:t>
      </w:r>
      <w:r w:rsidRPr="00600789">
        <w:rPr>
          <w:rFonts w:ascii="Arial" w:hAnsi="Arial" w:cs="Arial"/>
          <w:sz w:val="20"/>
          <w:szCs w:val="20"/>
        </w:rPr>
        <w:t xml:space="preserve">) Periosteal cells from 4-week-old male </w:t>
      </w:r>
      <w:r w:rsidRPr="00600789">
        <w:rPr>
          <w:rFonts w:ascii="Arial" w:hAnsi="Arial" w:cs="Arial"/>
          <w:i/>
          <w:iCs/>
          <w:sz w:val="20"/>
          <w:szCs w:val="20"/>
        </w:rPr>
        <w:t>Stat3</w:t>
      </w:r>
      <w:r w:rsidRPr="00600789">
        <w:rPr>
          <w:rFonts w:ascii="Arial" w:hAnsi="Arial" w:cs="Arial"/>
          <w:i/>
          <w:iCs/>
          <w:sz w:val="20"/>
          <w:szCs w:val="20"/>
          <w:vertAlign w:val="superscript"/>
        </w:rPr>
        <w:t>fl/</w:t>
      </w:r>
      <w:proofErr w:type="spellStart"/>
      <w:r w:rsidRPr="00600789">
        <w:rPr>
          <w:rFonts w:ascii="Arial" w:hAnsi="Arial" w:cs="Arial"/>
          <w:i/>
          <w:iCs/>
          <w:sz w:val="20"/>
          <w:szCs w:val="20"/>
          <w:vertAlign w:val="superscript"/>
        </w:rPr>
        <w:t>fl</w:t>
      </w:r>
      <w:proofErr w:type="spellEnd"/>
      <w:r w:rsidRPr="00600789">
        <w:rPr>
          <w:rFonts w:ascii="Arial" w:hAnsi="Arial" w:cs="Arial"/>
          <w:sz w:val="20"/>
          <w:szCs w:val="20"/>
        </w:rPr>
        <w:t xml:space="preserve"> mice were infected with adenovirus expressing EGFP or Cre-EGFP for 4 h. Cell viability was assessed using CCK8 after 24, 48, 72 and 96 hours. (</w:t>
      </w:r>
      <w:r w:rsidRPr="00600789">
        <w:rPr>
          <w:rFonts w:ascii="Arial" w:hAnsi="Arial" w:cs="Arial"/>
          <w:b/>
          <w:bCs/>
          <w:sz w:val="20"/>
          <w:szCs w:val="20"/>
        </w:rPr>
        <w:t>B</w:t>
      </w:r>
      <w:r w:rsidRPr="00600789">
        <w:rPr>
          <w:rFonts w:ascii="Arial" w:hAnsi="Arial" w:cs="Arial"/>
          <w:sz w:val="20"/>
          <w:szCs w:val="20"/>
        </w:rPr>
        <w:t xml:space="preserve">) Cell proliferation after transfection with adenovirus expressing EGFP or Cre-EGFP was evaluated using an </w:t>
      </w:r>
      <w:proofErr w:type="spellStart"/>
      <w:r w:rsidRPr="00600789">
        <w:rPr>
          <w:rFonts w:ascii="Arial" w:hAnsi="Arial" w:cs="Arial"/>
          <w:sz w:val="20"/>
          <w:szCs w:val="20"/>
        </w:rPr>
        <w:t>EdU</w:t>
      </w:r>
      <w:proofErr w:type="spellEnd"/>
      <w:r w:rsidRPr="00600789">
        <w:rPr>
          <w:rFonts w:ascii="Arial" w:hAnsi="Arial" w:cs="Arial"/>
          <w:sz w:val="20"/>
          <w:szCs w:val="20"/>
        </w:rPr>
        <w:t xml:space="preserve"> labeling assay. (</w:t>
      </w:r>
      <w:r w:rsidRPr="00600789">
        <w:rPr>
          <w:rFonts w:ascii="Arial" w:hAnsi="Arial" w:cs="Arial"/>
          <w:b/>
          <w:bCs/>
          <w:sz w:val="20"/>
          <w:szCs w:val="20"/>
        </w:rPr>
        <w:t>C</w:t>
      </w:r>
      <w:r w:rsidRPr="00600789">
        <w:rPr>
          <w:rFonts w:ascii="Arial" w:hAnsi="Arial" w:cs="Arial"/>
          <w:sz w:val="20"/>
          <w:szCs w:val="20"/>
        </w:rPr>
        <w:t>) Representative graphs of wounds in PCs after 24 h. Dotted lines highlight the linear wound for each group of cells. The bar graph shows the mean percentage of wound closure. n=9 per group. (</w:t>
      </w:r>
      <w:r w:rsidRPr="00600789">
        <w:rPr>
          <w:rFonts w:ascii="Arial" w:hAnsi="Arial" w:cs="Arial"/>
          <w:b/>
          <w:bCs/>
          <w:sz w:val="20"/>
          <w:szCs w:val="20"/>
        </w:rPr>
        <w:t>D</w:t>
      </w:r>
      <w:r w:rsidRPr="00600789">
        <w:rPr>
          <w:rFonts w:ascii="Arial" w:hAnsi="Arial" w:cs="Arial"/>
          <w:sz w:val="20"/>
          <w:szCs w:val="20"/>
        </w:rPr>
        <w:t xml:space="preserve">) </w:t>
      </w:r>
      <w:proofErr w:type="spellStart"/>
      <w:r w:rsidRPr="00600789">
        <w:rPr>
          <w:rFonts w:ascii="Arial" w:hAnsi="Arial" w:cs="Arial"/>
          <w:sz w:val="20"/>
          <w:szCs w:val="20"/>
        </w:rPr>
        <w:t>Transwell</w:t>
      </w:r>
      <w:proofErr w:type="spellEnd"/>
      <w:r w:rsidRPr="00600789">
        <w:rPr>
          <w:rFonts w:ascii="Arial" w:hAnsi="Arial" w:cs="Arial"/>
          <w:sz w:val="20"/>
          <w:szCs w:val="20"/>
        </w:rPr>
        <w:t xml:space="preserve"> migration assay results of PCs with different treatments. PCs were transfected with adenovirus expressing EGFP or Cre-EGFP.</w:t>
      </w:r>
    </w:p>
    <w:p w14:paraId="6C51A220" w14:textId="77777777" w:rsidR="006C6034" w:rsidRPr="00600789" w:rsidRDefault="006C6034" w:rsidP="006C6034">
      <w:pPr>
        <w:spacing w:line="360" w:lineRule="auto"/>
        <w:rPr>
          <w:rFonts w:ascii="Arial" w:hAnsi="Arial" w:cs="Arial"/>
          <w:sz w:val="20"/>
          <w:szCs w:val="20"/>
        </w:rPr>
      </w:pPr>
      <w:r w:rsidRPr="00600789">
        <w:rPr>
          <w:rFonts w:ascii="Arial" w:hAnsi="Arial" w:cs="Arial"/>
          <w:sz w:val="20"/>
          <w:szCs w:val="20"/>
        </w:rPr>
        <w:br w:type="page"/>
      </w:r>
    </w:p>
    <w:p w14:paraId="12C584F0" w14:textId="77777777" w:rsidR="006C6034" w:rsidRPr="00600789" w:rsidRDefault="006C6034" w:rsidP="006C6034">
      <w:pPr>
        <w:pStyle w:val="af1"/>
        <w:ind w:firstLineChars="0" w:firstLine="0"/>
        <w:contextualSpacing/>
        <w:rPr>
          <w:rFonts w:ascii="Arial" w:eastAsiaTheme="minorEastAsia" w:hAnsi="Arial" w:cs="Arial"/>
          <w:sz w:val="20"/>
          <w:szCs w:val="20"/>
        </w:rPr>
      </w:pPr>
      <w:r w:rsidRPr="00600789">
        <w:rPr>
          <w:rFonts w:ascii="Arial" w:eastAsiaTheme="minorEastAsia" w:hAnsi="Arial" w:cs="Arial"/>
          <w:b/>
          <w:bCs/>
          <w:color w:val="242021"/>
          <w:sz w:val="20"/>
          <w:szCs w:val="20"/>
        </w:rPr>
        <w:lastRenderedPageBreak/>
        <w:t xml:space="preserve">Supplementary Table 1. Primers for </w:t>
      </w:r>
      <w:proofErr w:type="spellStart"/>
      <w:r w:rsidRPr="00600789">
        <w:rPr>
          <w:rFonts w:ascii="Arial" w:eastAsiaTheme="minorEastAsia" w:hAnsi="Arial" w:cs="Arial"/>
          <w:b/>
          <w:bCs/>
          <w:color w:val="242021"/>
          <w:sz w:val="20"/>
          <w:szCs w:val="20"/>
        </w:rPr>
        <w:t>ChIP</w:t>
      </w:r>
      <w:proofErr w:type="spellEnd"/>
      <w:r w:rsidRPr="00600789">
        <w:rPr>
          <w:rFonts w:ascii="Arial" w:eastAsiaTheme="minorEastAsia" w:hAnsi="Arial" w:cs="Arial"/>
          <w:b/>
          <w:bCs/>
          <w:color w:val="242021"/>
          <w:sz w:val="20"/>
          <w:szCs w:val="20"/>
        </w:rPr>
        <w:t>-qPCR and RT-qPCR</w:t>
      </w:r>
    </w:p>
    <w:p w14:paraId="3E89A076" w14:textId="77777777" w:rsidR="006C6034" w:rsidRPr="00600789" w:rsidRDefault="006C6034" w:rsidP="006C6034">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Chip-primers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3024"/>
        <w:gridCol w:w="2766"/>
      </w:tblGrid>
      <w:tr w:rsidR="006C6034" w:rsidRPr="00600789" w14:paraId="46D96E58" w14:textId="77777777" w:rsidTr="0061190B">
        <w:tc>
          <w:tcPr>
            <w:tcW w:w="2765" w:type="dxa"/>
          </w:tcPr>
          <w:p w14:paraId="40DDAE53"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Name</w:t>
            </w:r>
          </w:p>
        </w:tc>
        <w:tc>
          <w:tcPr>
            <w:tcW w:w="2765" w:type="dxa"/>
          </w:tcPr>
          <w:p w14:paraId="13758FBB" w14:textId="77777777" w:rsidR="006C6034" w:rsidRPr="00600789" w:rsidRDefault="006C6034" w:rsidP="0061190B">
            <w:pPr>
              <w:pStyle w:val="af1"/>
              <w:ind w:firstLineChars="0" w:firstLine="0"/>
              <w:contextualSpacing/>
              <w:rPr>
                <w:rFonts w:ascii="Arial" w:eastAsiaTheme="minorEastAsia" w:hAnsi="Arial" w:cs="Arial"/>
                <w:sz w:val="20"/>
                <w:szCs w:val="20"/>
              </w:rPr>
            </w:pPr>
            <w:proofErr w:type="gramStart"/>
            <w:r w:rsidRPr="00600789">
              <w:rPr>
                <w:rFonts w:ascii="Arial" w:eastAsiaTheme="minorEastAsia" w:hAnsi="Arial" w:cs="Arial"/>
                <w:sz w:val="20"/>
                <w:szCs w:val="20"/>
              </w:rPr>
              <w:t>Sequence(</w:t>
            </w:r>
            <w:proofErr w:type="gramEnd"/>
            <w:r w:rsidRPr="00600789">
              <w:rPr>
                <w:rFonts w:ascii="Arial" w:eastAsiaTheme="minorEastAsia" w:hAnsi="Arial" w:cs="Arial"/>
                <w:sz w:val="20"/>
                <w:szCs w:val="20"/>
              </w:rPr>
              <w:t>5’-3’)</w:t>
            </w:r>
          </w:p>
        </w:tc>
        <w:tc>
          <w:tcPr>
            <w:tcW w:w="2766" w:type="dxa"/>
          </w:tcPr>
          <w:p w14:paraId="2017A9CA"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Species</w:t>
            </w:r>
          </w:p>
        </w:tc>
      </w:tr>
      <w:tr w:rsidR="006C6034" w:rsidRPr="00600789" w14:paraId="6846887C" w14:textId="77777777" w:rsidTr="0061190B">
        <w:tc>
          <w:tcPr>
            <w:tcW w:w="2765" w:type="dxa"/>
          </w:tcPr>
          <w:p w14:paraId="1E6AF625"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i/>
                <w:iCs/>
                <w:sz w:val="20"/>
                <w:szCs w:val="20"/>
              </w:rPr>
              <w:t>Cxc12</w:t>
            </w:r>
            <w:r w:rsidRPr="00600789">
              <w:rPr>
                <w:rFonts w:ascii="Arial" w:eastAsiaTheme="minorEastAsia" w:hAnsi="Arial" w:cs="Arial"/>
                <w:sz w:val="20"/>
                <w:szCs w:val="20"/>
              </w:rPr>
              <w:t>-Forward</w:t>
            </w:r>
          </w:p>
        </w:tc>
        <w:tc>
          <w:tcPr>
            <w:tcW w:w="2765" w:type="dxa"/>
          </w:tcPr>
          <w:p w14:paraId="0871AA8F"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AGTTGACCGTGCAAGAGGTT</w:t>
            </w:r>
          </w:p>
        </w:tc>
        <w:tc>
          <w:tcPr>
            <w:tcW w:w="2766" w:type="dxa"/>
          </w:tcPr>
          <w:p w14:paraId="0BA8DD82"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1944C72E" w14:textId="77777777" w:rsidTr="0061190B">
        <w:tc>
          <w:tcPr>
            <w:tcW w:w="2765" w:type="dxa"/>
          </w:tcPr>
          <w:p w14:paraId="74EEE917"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i/>
                <w:iCs/>
                <w:sz w:val="20"/>
                <w:szCs w:val="20"/>
              </w:rPr>
              <w:t>Cxc12</w:t>
            </w:r>
            <w:r w:rsidRPr="00600789">
              <w:rPr>
                <w:rFonts w:ascii="Arial" w:eastAsiaTheme="minorEastAsia" w:hAnsi="Arial" w:cs="Arial"/>
                <w:sz w:val="20"/>
                <w:szCs w:val="20"/>
              </w:rPr>
              <w:t>-Reverse</w:t>
            </w:r>
          </w:p>
        </w:tc>
        <w:tc>
          <w:tcPr>
            <w:tcW w:w="2765" w:type="dxa"/>
          </w:tcPr>
          <w:p w14:paraId="0C7114B7"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AAGAGAACACGCTACACCCG</w:t>
            </w:r>
          </w:p>
        </w:tc>
        <w:tc>
          <w:tcPr>
            <w:tcW w:w="2766" w:type="dxa"/>
          </w:tcPr>
          <w:p w14:paraId="69345F9C"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bl>
    <w:p w14:paraId="7E99EB93" w14:textId="77777777" w:rsidR="006C6034" w:rsidRPr="00600789" w:rsidRDefault="006C6034" w:rsidP="006C6034">
      <w:pPr>
        <w:pStyle w:val="af1"/>
        <w:ind w:firstLineChars="0" w:firstLine="0"/>
        <w:contextualSpacing/>
        <w:rPr>
          <w:rFonts w:ascii="Arial" w:eastAsiaTheme="minorEastAsia" w:hAnsi="Arial" w:cs="Arial"/>
          <w:sz w:val="20"/>
          <w:szCs w:val="20"/>
        </w:rPr>
      </w:pPr>
    </w:p>
    <w:p w14:paraId="71EF6B9F" w14:textId="77777777" w:rsidR="006C6034" w:rsidRPr="00600789" w:rsidRDefault="006C6034" w:rsidP="006C6034">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qPCR-</w:t>
      </w:r>
      <w:proofErr w:type="spellStart"/>
      <w:r w:rsidRPr="00600789">
        <w:rPr>
          <w:rFonts w:ascii="Arial" w:eastAsiaTheme="minorEastAsia" w:hAnsi="Arial" w:cs="Arial"/>
          <w:sz w:val="20"/>
          <w:szCs w:val="20"/>
        </w:rPr>
        <w:t>premers</w:t>
      </w:r>
      <w:proofErr w:type="spellEnd"/>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3339"/>
        <w:gridCol w:w="2650"/>
      </w:tblGrid>
      <w:tr w:rsidR="006C6034" w:rsidRPr="00600789" w14:paraId="50E6D869" w14:textId="77777777" w:rsidTr="0061190B">
        <w:tc>
          <w:tcPr>
            <w:tcW w:w="2765" w:type="dxa"/>
          </w:tcPr>
          <w:p w14:paraId="0900B178"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Name</w:t>
            </w:r>
          </w:p>
        </w:tc>
        <w:tc>
          <w:tcPr>
            <w:tcW w:w="2765" w:type="dxa"/>
          </w:tcPr>
          <w:p w14:paraId="7AA5020F" w14:textId="77777777" w:rsidR="006C6034" w:rsidRPr="00600789" w:rsidRDefault="006C6034" w:rsidP="0061190B">
            <w:pPr>
              <w:pStyle w:val="af1"/>
              <w:ind w:firstLineChars="0" w:firstLine="0"/>
              <w:contextualSpacing/>
              <w:rPr>
                <w:rFonts w:ascii="Arial" w:eastAsiaTheme="minorEastAsia" w:hAnsi="Arial" w:cs="Arial"/>
                <w:sz w:val="20"/>
                <w:szCs w:val="20"/>
              </w:rPr>
            </w:pPr>
            <w:proofErr w:type="gramStart"/>
            <w:r w:rsidRPr="00600789">
              <w:rPr>
                <w:rFonts w:ascii="Arial" w:eastAsiaTheme="minorEastAsia" w:hAnsi="Arial" w:cs="Arial"/>
                <w:sz w:val="20"/>
                <w:szCs w:val="20"/>
              </w:rPr>
              <w:t>Sequence(</w:t>
            </w:r>
            <w:proofErr w:type="gramEnd"/>
            <w:r w:rsidRPr="00600789">
              <w:rPr>
                <w:rFonts w:ascii="Arial" w:eastAsiaTheme="minorEastAsia" w:hAnsi="Arial" w:cs="Arial"/>
                <w:sz w:val="20"/>
                <w:szCs w:val="20"/>
              </w:rPr>
              <w:t>5’-3’)</w:t>
            </w:r>
          </w:p>
        </w:tc>
        <w:tc>
          <w:tcPr>
            <w:tcW w:w="2766" w:type="dxa"/>
          </w:tcPr>
          <w:p w14:paraId="274D05DE"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Species</w:t>
            </w:r>
          </w:p>
        </w:tc>
      </w:tr>
      <w:tr w:rsidR="006C6034" w:rsidRPr="00600789" w14:paraId="03D6011A" w14:textId="77777777" w:rsidTr="0061190B">
        <w:tc>
          <w:tcPr>
            <w:tcW w:w="2765" w:type="dxa"/>
          </w:tcPr>
          <w:p w14:paraId="430907EA"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i/>
                <w:iCs/>
                <w:sz w:val="20"/>
                <w:szCs w:val="20"/>
              </w:rPr>
              <w:t>Runx2</w:t>
            </w:r>
            <w:r w:rsidRPr="00600789">
              <w:rPr>
                <w:rFonts w:ascii="Arial" w:hAnsi="Arial" w:cs="Arial"/>
                <w:sz w:val="20"/>
                <w:szCs w:val="20"/>
              </w:rPr>
              <w:t>-Forward</w:t>
            </w:r>
          </w:p>
        </w:tc>
        <w:tc>
          <w:tcPr>
            <w:tcW w:w="2765" w:type="dxa"/>
          </w:tcPr>
          <w:p w14:paraId="4C8178B2"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GGACCGTCCACTGTCACTTT</w:t>
            </w:r>
          </w:p>
        </w:tc>
        <w:tc>
          <w:tcPr>
            <w:tcW w:w="2766" w:type="dxa"/>
          </w:tcPr>
          <w:p w14:paraId="1E001298"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3F09604F" w14:textId="77777777" w:rsidTr="0061190B">
        <w:tc>
          <w:tcPr>
            <w:tcW w:w="2765" w:type="dxa"/>
          </w:tcPr>
          <w:p w14:paraId="43F4F88B"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hAnsi="Arial" w:cs="Arial"/>
                <w:i/>
                <w:iCs/>
                <w:sz w:val="20"/>
                <w:szCs w:val="20"/>
              </w:rPr>
              <w:t>Runx2</w:t>
            </w:r>
            <w:r w:rsidRPr="00600789">
              <w:rPr>
                <w:rFonts w:ascii="Arial" w:eastAsiaTheme="minorEastAsia" w:hAnsi="Arial" w:cs="Arial"/>
                <w:sz w:val="20"/>
                <w:szCs w:val="20"/>
              </w:rPr>
              <w:t>-Reverse</w:t>
            </w:r>
          </w:p>
        </w:tc>
        <w:tc>
          <w:tcPr>
            <w:tcW w:w="2765" w:type="dxa"/>
          </w:tcPr>
          <w:p w14:paraId="27EFCBE2"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GGCCGGGAATGATGAGAACTAC</w:t>
            </w:r>
          </w:p>
        </w:tc>
        <w:tc>
          <w:tcPr>
            <w:tcW w:w="2766" w:type="dxa"/>
          </w:tcPr>
          <w:p w14:paraId="356D5958"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0A10D214" w14:textId="77777777" w:rsidTr="0061190B">
        <w:tc>
          <w:tcPr>
            <w:tcW w:w="2765" w:type="dxa"/>
          </w:tcPr>
          <w:p w14:paraId="65C07A48"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i/>
                <w:iCs/>
                <w:sz w:val="20"/>
                <w:szCs w:val="20"/>
              </w:rPr>
              <w:t>Sp7</w:t>
            </w:r>
            <w:r w:rsidRPr="00600789">
              <w:rPr>
                <w:rFonts w:ascii="Arial" w:hAnsi="Arial" w:cs="Arial"/>
                <w:sz w:val="20"/>
                <w:szCs w:val="20"/>
              </w:rPr>
              <w:t>-Forward</w:t>
            </w:r>
          </w:p>
        </w:tc>
        <w:tc>
          <w:tcPr>
            <w:tcW w:w="2765" w:type="dxa"/>
          </w:tcPr>
          <w:p w14:paraId="24201637"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GAGCGAGGATTCTGTGGA</w:t>
            </w:r>
          </w:p>
        </w:tc>
        <w:tc>
          <w:tcPr>
            <w:tcW w:w="2766" w:type="dxa"/>
          </w:tcPr>
          <w:p w14:paraId="7E0111B2"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6C7350C4" w14:textId="77777777" w:rsidTr="0061190B">
        <w:tc>
          <w:tcPr>
            <w:tcW w:w="2765" w:type="dxa"/>
          </w:tcPr>
          <w:p w14:paraId="4257F8D8"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hAnsi="Arial" w:cs="Arial"/>
                <w:i/>
                <w:iCs/>
                <w:sz w:val="20"/>
                <w:szCs w:val="20"/>
              </w:rPr>
              <w:t>Sp7</w:t>
            </w:r>
            <w:r w:rsidRPr="00600789">
              <w:rPr>
                <w:rFonts w:ascii="Arial" w:eastAsiaTheme="minorEastAsia" w:hAnsi="Arial" w:cs="Arial"/>
                <w:sz w:val="20"/>
                <w:szCs w:val="20"/>
              </w:rPr>
              <w:t>-Reverse</w:t>
            </w:r>
          </w:p>
        </w:tc>
        <w:tc>
          <w:tcPr>
            <w:tcW w:w="2765" w:type="dxa"/>
          </w:tcPr>
          <w:p w14:paraId="43F25D6C"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TCGACTGTAGGGACGATTG</w:t>
            </w:r>
          </w:p>
        </w:tc>
        <w:tc>
          <w:tcPr>
            <w:tcW w:w="2766" w:type="dxa"/>
          </w:tcPr>
          <w:p w14:paraId="43F6C1BD"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6E3DD4E1" w14:textId="77777777" w:rsidTr="0061190B">
        <w:tc>
          <w:tcPr>
            <w:tcW w:w="2765" w:type="dxa"/>
          </w:tcPr>
          <w:p w14:paraId="1EEE58A1"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i/>
                <w:iCs/>
                <w:sz w:val="20"/>
                <w:szCs w:val="20"/>
              </w:rPr>
              <w:t>ALP</w:t>
            </w:r>
            <w:r w:rsidRPr="00600789">
              <w:rPr>
                <w:rFonts w:ascii="Arial" w:hAnsi="Arial" w:cs="Arial"/>
                <w:sz w:val="20"/>
                <w:szCs w:val="20"/>
              </w:rPr>
              <w:t>-Forward</w:t>
            </w:r>
          </w:p>
        </w:tc>
        <w:tc>
          <w:tcPr>
            <w:tcW w:w="2765" w:type="dxa"/>
          </w:tcPr>
          <w:p w14:paraId="38CAE1D8"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 xml:space="preserve">CGGGACTGGTACTCGGATAA </w:t>
            </w:r>
          </w:p>
        </w:tc>
        <w:tc>
          <w:tcPr>
            <w:tcW w:w="2766" w:type="dxa"/>
          </w:tcPr>
          <w:p w14:paraId="5A46EEA3"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2C57D078" w14:textId="77777777" w:rsidTr="0061190B">
        <w:trPr>
          <w:trHeight w:val="54"/>
        </w:trPr>
        <w:tc>
          <w:tcPr>
            <w:tcW w:w="2765" w:type="dxa"/>
          </w:tcPr>
          <w:p w14:paraId="551CAAA2"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hAnsi="Arial" w:cs="Arial"/>
                <w:i/>
                <w:iCs/>
                <w:sz w:val="20"/>
                <w:szCs w:val="20"/>
              </w:rPr>
              <w:t>ALP</w:t>
            </w:r>
            <w:r w:rsidRPr="00600789">
              <w:rPr>
                <w:rFonts w:ascii="Arial" w:eastAsiaTheme="minorEastAsia" w:hAnsi="Arial" w:cs="Arial"/>
                <w:sz w:val="20"/>
                <w:szCs w:val="20"/>
              </w:rPr>
              <w:t>-Reverse</w:t>
            </w:r>
          </w:p>
        </w:tc>
        <w:tc>
          <w:tcPr>
            <w:tcW w:w="2765" w:type="dxa"/>
          </w:tcPr>
          <w:p w14:paraId="47CADC19"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ATTCCACGTCGGTTCTGTTC</w:t>
            </w:r>
          </w:p>
        </w:tc>
        <w:tc>
          <w:tcPr>
            <w:tcW w:w="2766" w:type="dxa"/>
          </w:tcPr>
          <w:p w14:paraId="4C6A7D5A"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09A5EDF1" w14:textId="77777777" w:rsidTr="0061190B">
        <w:tc>
          <w:tcPr>
            <w:tcW w:w="2765" w:type="dxa"/>
          </w:tcPr>
          <w:p w14:paraId="3FE55F37"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i/>
                <w:iCs/>
                <w:sz w:val="20"/>
                <w:szCs w:val="20"/>
              </w:rPr>
              <w:t>Col1</w:t>
            </w:r>
            <w:r w:rsidRPr="00600789">
              <w:rPr>
                <w:rFonts w:ascii="Arial" w:hAnsi="Arial" w:cs="Arial"/>
                <w:sz w:val="20"/>
                <w:szCs w:val="20"/>
              </w:rPr>
              <w:t>-Forward</w:t>
            </w:r>
          </w:p>
        </w:tc>
        <w:tc>
          <w:tcPr>
            <w:tcW w:w="2765" w:type="dxa"/>
          </w:tcPr>
          <w:p w14:paraId="5D828FBB"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 xml:space="preserve">GCTCCTCTTAGGGGCCACT </w:t>
            </w:r>
          </w:p>
        </w:tc>
        <w:tc>
          <w:tcPr>
            <w:tcW w:w="2766" w:type="dxa"/>
          </w:tcPr>
          <w:p w14:paraId="74D0CF19"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r w:rsidR="006C6034" w:rsidRPr="00600789" w14:paraId="0DC6001A" w14:textId="77777777" w:rsidTr="0061190B">
        <w:tc>
          <w:tcPr>
            <w:tcW w:w="2765" w:type="dxa"/>
          </w:tcPr>
          <w:p w14:paraId="3DA5F3C5"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hAnsi="Arial" w:cs="Arial"/>
                <w:i/>
                <w:iCs/>
                <w:sz w:val="20"/>
                <w:szCs w:val="20"/>
              </w:rPr>
              <w:t>Col1</w:t>
            </w:r>
            <w:r w:rsidRPr="00600789">
              <w:rPr>
                <w:rFonts w:ascii="Arial" w:eastAsiaTheme="minorEastAsia" w:hAnsi="Arial" w:cs="Arial"/>
                <w:sz w:val="20"/>
                <w:szCs w:val="20"/>
              </w:rPr>
              <w:t>-Reverse</w:t>
            </w:r>
          </w:p>
        </w:tc>
        <w:tc>
          <w:tcPr>
            <w:tcW w:w="2765" w:type="dxa"/>
          </w:tcPr>
          <w:p w14:paraId="22858F68" w14:textId="77777777" w:rsidR="006C6034" w:rsidRPr="00600789" w:rsidRDefault="006C6034" w:rsidP="0061190B">
            <w:pPr>
              <w:spacing w:line="360" w:lineRule="auto"/>
              <w:contextualSpacing/>
              <w:rPr>
                <w:rFonts w:ascii="Arial" w:hAnsi="Arial" w:cs="Arial"/>
                <w:sz w:val="20"/>
                <w:szCs w:val="20"/>
              </w:rPr>
            </w:pPr>
            <w:r w:rsidRPr="00600789">
              <w:rPr>
                <w:rFonts w:ascii="Arial" w:hAnsi="Arial" w:cs="Arial"/>
                <w:sz w:val="20"/>
                <w:szCs w:val="20"/>
              </w:rPr>
              <w:t xml:space="preserve">CCACGTCTCACCATTGGGG </w:t>
            </w:r>
          </w:p>
        </w:tc>
        <w:tc>
          <w:tcPr>
            <w:tcW w:w="2766" w:type="dxa"/>
          </w:tcPr>
          <w:p w14:paraId="78DB3D27" w14:textId="77777777" w:rsidR="006C6034" w:rsidRPr="00600789" w:rsidRDefault="006C6034" w:rsidP="0061190B">
            <w:pPr>
              <w:pStyle w:val="af1"/>
              <w:ind w:firstLineChars="0" w:firstLine="0"/>
              <w:contextualSpacing/>
              <w:rPr>
                <w:rFonts w:ascii="Arial" w:eastAsiaTheme="minorEastAsia" w:hAnsi="Arial" w:cs="Arial"/>
                <w:sz w:val="20"/>
                <w:szCs w:val="20"/>
              </w:rPr>
            </w:pPr>
            <w:r w:rsidRPr="00600789">
              <w:rPr>
                <w:rFonts w:ascii="Arial" w:eastAsiaTheme="minorEastAsia" w:hAnsi="Arial" w:cs="Arial"/>
                <w:sz w:val="20"/>
                <w:szCs w:val="20"/>
              </w:rPr>
              <w:t>Mouse</w:t>
            </w:r>
          </w:p>
        </w:tc>
      </w:tr>
    </w:tbl>
    <w:p w14:paraId="7FFE8D87" w14:textId="77777777" w:rsidR="006C6034" w:rsidRPr="00CB1D87" w:rsidRDefault="006C6034" w:rsidP="006C6034">
      <w:pPr>
        <w:rPr>
          <w:rFonts w:ascii="Arial" w:hAnsi="Arial" w:cs="Arial" w:hint="eastAsia"/>
          <w:sz w:val="20"/>
          <w:szCs w:val="20"/>
          <w:lang w:eastAsia="zh-CN"/>
        </w:rPr>
      </w:pPr>
    </w:p>
    <w:p w14:paraId="65968F0F" w14:textId="77777777" w:rsidR="00660264" w:rsidRDefault="00660264">
      <w:pPr>
        <w:rPr>
          <w:rFonts w:hint="eastAsia"/>
        </w:rPr>
      </w:pPr>
    </w:p>
    <w:sectPr w:rsidR="00660264" w:rsidSect="006C603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TT2876772e+27">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34"/>
    <w:rsid w:val="004A6D72"/>
    <w:rsid w:val="00642CE6"/>
    <w:rsid w:val="00660264"/>
    <w:rsid w:val="006C6034"/>
    <w:rsid w:val="007F6D2A"/>
    <w:rsid w:val="00E37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043D"/>
  <w15:chartTrackingRefBased/>
  <w15:docId w15:val="{E72A497B-3998-4D01-B04D-0097B3139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6034"/>
    <w:pPr>
      <w:spacing w:after="200"/>
    </w:pPr>
    <w:rPr>
      <w:kern w:val="0"/>
      <w:sz w:val="22"/>
      <w:lang w:eastAsia="en-US"/>
    </w:rPr>
  </w:style>
  <w:style w:type="paragraph" w:styleId="1">
    <w:name w:val="heading 1"/>
    <w:basedOn w:val="a"/>
    <w:next w:val="a"/>
    <w:link w:val="10"/>
    <w:uiPriority w:val="9"/>
    <w:qFormat/>
    <w:rsid w:val="006C6034"/>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lang w:eastAsia="zh-CN"/>
    </w:rPr>
  </w:style>
  <w:style w:type="paragraph" w:styleId="2">
    <w:name w:val="heading 2"/>
    <w:basedOn w:val="a"/>
    <w:next w:val="a"/>
    <w:link w:val="20"/>
    <w:uiPriority w:val="9"/>
    <w:semiHidden/>
    <w:unhideWhenUsed/>
    <w:qFormat/>
    <w:rsid w:val="006C6034"/>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lang w:eastAsia="zh-CN"/>
    </w:rPr>
  </w:style>
  <w:style w:type="paragraph" w:styleId="3">
    <w:name w:val="heading 3"/>
    <w:basedOn w:val="a"/>
    <w:next w:val="a"/>
    <w:link w:val="30"/>
    <w:uiPriority w:val="9"/>
    <w:semiHidden/>
    <w:unhideWhenUsed/>
    <w:qFormat/>
    <w:rsid w:val="006C6034"/>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lang w:eastAsia="zh-CN"/>
    </w:rPr>
  </w:style>
  <w:style w:type="paragraph" w:styleId="4">
    <w:name w:val="heading 4"/>
    <w:basedOn w:val="a"/>
    <w:next w:val="a"/>
    <w:link w:val="40"/>
    <w:uiPriority w:val="9"/>
    <w:semiHidden/>
    <w:unhideWhenUsed/>
    <w:qFormat/>
    <w:rsid w:val="006C6034"/>
    <w:pPr>
      <w:keepNext/>
      <w:keepLines/>
      <w:widowControl w:val="0"/>
      <w:spacing w:before="80" w:after="40"/>
      <w:jc w:val="both"/>
      <w:outlineLvl w:val="3"/>
    </w:pPr>
    <w:rPr>
      <w:rFonts w:cstheme="majorBidi"/>
      <w:color w:val="0F4761" w:themeColor="accent1" w:themeShade="BF"/>
      <w:kern w:val="2"/>
      <w:sz w:val="28"/>
      <w:szCs w:val="28"/>
      <w:lang w:eastAsia="zh-CN"/>
    </w:rPr>
  </w:style>
  <w:style w:type="paragraph" w:styleId="5">
    <w:name w:val="heading 5"/>
    <w:basedOn w:val="a"/>
    <w:next w:val="a"/>
    <w:link w:val="50"/>
    <w:uiPriority w:val="9"/>
    <w:semiHidden/>
    <w:unhideWhenUsed/>
    <w:qFormat/>
    <w:rsid w:val="006C6034"/>
    <w:pPr>
      <w:keepNext/>
      <w:keepLines/>
      <w:widowControl w:val="0"/>
      <w:spacing w:before="80" w:after="40"/>
      <w:jc w:val="both"/>
      <w:outlineLvl w:val="4"/>
    </w:pPr>
    <w:rPr>
      <w:rFonts w:cstheme="majorBidi"/>
      <w:color w:val="0F4761" w:themeColor="accent1" w:themeShade="BF"/>
      <w:kern w:val="2"/>
      <w:sz w:val="24"/>
      <w:szCs w:val="24"/>
      <w:lang w:eastAsia="zh-CN"/>
    </w:rPr>
  </w:style>
  <w:style w:type="paragraph" w:styleId="6">
    <w:name w:val="heading 6"/>
    <w:basedOn w:val="a"/>
    <w:next w:val="a"/>
    <w:link w:val="60"/>
    <w:uiPriority w:val="9"/>
    <w:semiHidden/>
    <w:unhideWhenUsed/>
    <w:qFormat/>
    <w:rsid w:val="006C6034"/>
    <w:pPr>
      <w:keepNext/>
      <w:keepLines/>
      <w:widowControl w:val="0"/>
      <w:spacing w:before="40" w:after="0"/>
      <w:jc w:val="both"/>
      <w:outlineLvl w:val="5"/>
    </w:pPr>
    <w:rPr>
      <w:rFonts w:cstheme="majorBidi"/>
      <w:b/>
      <w:bCs/>
      <w:color w:val="0F4761" w:themeColor="accent1" w:themeShade="BF"/>
      <w:kern w:val="2"/>
      <w:sz w:val="21"/>
      <w:lang w:eastAsia="zh-CN"/>
    </w:rPr>
  </w:style>
  <w:style w:type="paragraph" w:styleId="7">
    <w:name w:val="heading 7"/>
    <w:basedOn w:val="a"/>
    <w:next w:val="a"/>
    <w:link w:val="70"/>
    <w:uiPriority w:val="9"/>
    <w:semiHidden/>
    <w:unhideWhenUsed/>
    <w:qFormat/>
    <w:rsid w:val="006C6034"/>
    <w:pPr>
      <w:keepNext/>
      <w:keepLines/>
      <w:widowControl w:val="0"/>
      <w:spacing w:before="40" w:after="0"/>
      <w:jc w:val="both"/>
      <w:outlineLvl w:val="6"/>
    </w:pPr>
    <w:rPr>
      <w:rFonts w:cstheme="majorBidi"/>
      <w:b/>
      <w:bCs/>
      <w:color w:val="595959" w:themeColor="text1" w:themeTint="A6"/>
      <w:kern w:val="2"/>
      <w:sz w:val="21"/>
      <w:lang w:eastAsia="zh-CN"/>
    </w:rPr>
  </w:style>
  <w:style w:type="paragraph" w:styleId="8">
    <w:name w:val="heading 8"/>
    <w:basedOn w:val="a"/>
    <w:next w:val="a"/>
    <w:link w:val="80"/>
    <w:uiPriority w:val="9"/>
    <w:semiHidden/>
    <w:unhideWhenUsed/>
    <w:qFormat/>
    <w:rsid w:val="006C6034"/>
    <w:pPr>
      <w:keepNext/>
      <w:keepLines/>
      <w:widowControl w:val="0"/>
      <w:spacing w:after="0"/>
      <w:jc w:val="both"/>
      <w:outlineLvl w:val="7"/>
    </w:pPr>
    <w:rPr>
      <w:rFonts w:cstheme="majorBidi"/>
      <w:color w:val="595959" w:themeColor="text1" w:themeTint="A6"/>
      <w:kern w:val="2"/>
      <w:sz w:val="21"/>
      <w:lang w:eastAsia="zh-CN"/>
    </w:rPr>
  </w:style>
  <w:style w:type="paragraph" w:styleId="9">
    <w:name w:val="heading 9"/>
    <w:basedOn w:val="a"/>
    <w:next w:val="a"/>
    <w:link w:val="90"/>
    <w:uiPriority w:val="9"/>
    <w:semiHidden/>
    <w:unhideWhenUsed/>
    <w:qFormat/>
    <w:rsid w:val="006C6034"/>
    <w:pPr>
      <w:keepNext/>
      <w:keepLines/>
      <w:widowControl w:val="0"/>
      <w:spacing w:after="0"/>
      <w:jc w:val="both"/>
      <w:outlineLvl w:val="8"/>
    </w:pPr>
    <w:rPr>
      <w:rFonts w:eastAsiaTheme="majorEastAsia" w:cstheme="majorBidi"/>
      <w:color w:val="595959" w:themeColor="text1" w:themeTint="A6"/>
      <w:kern w:val="2"/>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a1"/>
    <w:uiPriority w:val="99"/>
    <w:rsid w:val="004A6D72"/>
    <w:rPr>
      <w:kern w:val="0"/>
      <w:sz w:val="20"/>
      <w:szCs w:val="20"/>
      <w:lang w:eastAsia="en-US"/>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10">
    <w:name w:val="标题 1 字符"/>
    <w:basedOn w:val="a0"/>
    <w:link w:val="1"/>
    <w:uiPriority w:val="9"/>
    <w:rsid w:val="006C603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C603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C603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C6034"/>
    <w:rPr>
      <w:rFonts w:cstheme="majorBidi"/>
      <w:color w:val="0F4761" w:themeColor="accent1" w:themeShade="BF"/>
      <w:sz w:val="28"/>
      <w:szCs w:val="28"/>
    </w:rPr>
  </w:style>
  <w:style w:type="character" w:customStyle="1" w:styleId="50">
    <w:name w:val="标题 5 字符"/>
    <w:basedOn w:val="a0"/>
    <w:link w:val="5"/>
    <w:uiPriority w:val="9"/>
    <w:semiHidden/>
    <w:rsid w:val="006C6034"/>
    <w:rPr>
      <w:rFonts w:cstheme="majorBidi"/>
      <w:color w:val="0F4761" w:themeColor="accent1" w:themeShade="BF"/>
      <w:sz w:val="24"/>
      <w:szCs w:val="24"/>
    </w:rPr>
  </w:style>
  <w:style w:type="character" w:customStyle="1" w:styleId="60">
    <w:name w:val="标题 6 字符"/>
    <w:basedOn w:val="a0"/>
    <w:link w:val="6"/>
    <w:uiPriority w:val="9"/>
    <w:semiHidden/>
    <w:rsid w:val="006C6034"/>
    <w:rPr>
      <w:rFonts w:cstheme="majorBidi"/>
      <w:b/>
      <w:bCs/>
      <w:color w:val="0F4761" w:themeColor="accent1" w:themeShade="BF"/>
    </w:rPr>
  </w:style>
  <w:style w:type="character" w:customStyle="1" w:styleId="70">
    <w:name w:val="标题 7 字符"/>
    <w:basedOn w:val="a0"/>
    <w:link w:val="7"/>
    <w:uiPriority w:val="9"/>
    <w:semiHidden/>
    <w:rsid w:val="006C6034"/>
    <w:rPr>
      <w:rFonts w:cstheme="majorBidi"/>
      <w:b/>
      <w:bCs/>
      <w:color w:val="595959" w:themeColor="text1" w:themeTint="A6"/>
    </w:rPr>
  </w:style>
  <w:style w:type="character" w:customStyle="1" w:styleId="80">
    <w:name w:val="标题 8 字符"/>
    <w:basedOn w:val="a0"/>
    <w:link w:val="8"/>
    <w:uiPriority w:val="9"/>
    <w:semiHidden/>
    <w:rsid w:val="006C6034"/>
    <w:rPr>
      <w:rFonts w:cstheme="majorBidi"/>
      <w:color w:val="595959" w:themeColor="text1" w:themeTint="A6"/>
    </w:rPr>
  </w:style>
  <w:style w:type="character" w:customStyle="1" w:styleId="90">
    <w:name w:val="标题 9 字符"/>
    <w:basedOn w:val="a0"/>
    <w:link w:val="9"/>
    <w:uiPriority w:val="9"/>
    <w:semiHidden/>
    <w:rsid w:val="006C6034"/>
    <w:rPr>
      <w:rFonts w:eastAsiaTheme="majorEastAsia" w:cstheme="majorBidi"/>
      <w:color w:val="595959" w:themeColor="text1" w:themeTint="A6"/>
    </w:rPr>
  </w:style>
  <w:style w:type="paragraph" w:styleId="a4">
    <w:name w:val="Title"/>
    <w:basedOn w:val="a"/>
    <w:next w:val="a"/>
    <w:link w:val="a5"/>
    <w:uiPriority w:val="10"/>
    <w:qFormat/>
    <w:rsid w:val="006C6034"/>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5">
    <w:name w:val="标题 字符"/>
    <w:basedOn w:val="a0"/>
    <w:link w:val="a4"/>
    <w:uiPriority w:val="10"/>
    <w:rsid w:val="006C603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6C6034"/>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7">
    <w:name w:val="副标题 字符"/>
    <w:basedOn w:val="a0"/>
    <w:link w:val="a6"/>
    <w:uiPriority w:val="11"/>
    <w:rsid w:val="006C6034"/>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6C6034"/>
    <w:pPr>
      <w:widowControl w:val="0"/>
      <w:spacing w:before="160" w:after="160"/>
      <w:jc w:val="center"/>
    </w:pPr>
    <w:rPr>
      <w:i/>
      <w:iCs/>
      <w:color w:val="404040" w:themeColor="text1" w:themeTint="BF"/>
      <w:kern w:val="2"/>
      <w:sz w:val="21"/>
      <w:lang w:eastAsia="zh-CN"/>
    </w:rPr>
  </w:style>
  <w:style w:type="character" w:customStyle="1" w:styleId="a9">
    <w:name w:val="引用 字符"/>
    <w:basedOn w:val="a0"/>
    <w:link w:val="a8"/>
    <w:uiPriority w:val="29"/>
    <w:rsid w:val="006C6034"/>
    <w:rPr>
      <w:i/>
      <w:iCs/>
      <w:color w:val="404040" w:themeColor="text1" w:themeTint="BF"/>
    </w:rPr>
  </w:style>
  <w:style w:type="paragraph" w:styleId="aa">
    <w:name w:val="List Paragraph"/>
    <w:basedOn w:val="a"/>
    <w:uiPriority w:val="34"/>
    <w:qFormat/>
    <w:rsid w:val="006C6034"/>
    <w:pPr>
      <w:widowControl w:val="0"/>
      <w:spacing w:after="0"/>
      <w:ind w:left="720"/>
      <w:contextualSpacing/>
      <w:jc w:val="both"/>
    </w:pPr>
    <w:rPr>
      <w:kern w:val="2"/>
      <w:sz w:val="21"/>
      <w:lang w:eastAsia="zh-CN"/>
    </w:rPr>
  </w:style>
  <w:style w:type="character" w:styleId="ab">
    <w:name w:val="Intense Emphasis"/>
    <w:basedOn w:val="a0"/>
    <w:uiPriority w:val="21"/>
    <w:qFormat/>
    <w:rsid w:val="006C6034"/>
    <w:rPr>
      <w:i/>
      <w:iCs/>
      <w:color w:val="0F4761" w:themeColor="accent1" w:themeShade="BF"/>
    </w:rPr>
  </w:style>
  <w:style w:type="paragraph" w:styleId="ac">
    <w:name w:val="Intense Quote"/>
    <w:basedOn w:val="a"/>
    <w:next w:val="a"/>
    <w:link w:val="ad"/>
    <w:uiPriority w:val="30"/>
    <w:qFormat/>
    <w:rsid w:val="006C6034"/>
    <w:pPr>
      <w:widowControl w:val="0"/>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sz w:val="21"/>
      <w:lang w:eastAsia="zh-CN"/>
    </w:rPr>
  </w:style>
  <w:style w:type="character" w:customStyle="1" w:styleId="ad">
    <w:name w:val="明显引用 字符"/>
    <w:basedOn w:val="a0"/>
    <w:link w:val="ac"/>
    <w:uiPriority w:val="30"/>
    <w:rsid w:val="006C6034"/>
    <w:rPr>
      <w:i/>
      <w:iCs/>
      <w:color w:val="0F4761" w:themeColor="accent1" w:themeShade="BF"/>
    </w:rPr>
  </w:style>
  <w:style w:type="character" w:styleId="ae">
    <w:name w:val="Intense Reference"/>
    <w:basedOn w:val="a0"/>
    <w:uiPriority w:val="32"/>
    <w:qFormat/>
    <w:rsid w:val="006C6034"/>
    <w:rPr>
      <w:b/>
      <w:bCs/>
      <w:smallCaps/>
      <w:color w:val="0F4761" w:themeColor="accent1" w:themeShade="BF"/>
      <w:spacing w:val="5"/>
    </w:rPr>
  </w:style>
  <w:style w:type="paragraph" w:styleId="af">
    <w:name w:val="Normal (Web)"/>
    <w:basedOn w:val="a"/>
    <w:link w:val="af0"/>
    <w:uiPriority w:val="99"/>
    <w:qFormat/>
    <w:rsid w:val="006C6034"/>
    <w:pPr>
      <w:spacing w:after="0"/>
    </w:pPr>
    <w:rPr>
      <w:rFonts w:ascii="Times New Roman" w:eastAsia="Times New Roman" w:hAnsi="Times New Roman" w:cs="Times New Roman"/>
      <w:sz w:val="24"/>
      <w:szCs w:val="24"/>
    </w:rPr>
  </w:style>
  <w:style w:type="paragraph" w:customStyle="1" w:styleId="Paragraph">
    <w:name w:val="Paragraph"/>
    <w:basedOn w:val="a"/>
    <w:qFormat/>
    <w:rsid w:val="006C6034"/>
    <w:pPr>
      <w:spacing w:before="120" w:after="0"/>
      <w:ind w:firstLine="720"/>
    </w:pPr>
    <w:rPr>
      <w:rFonts w:ascii="Times New Roman" w:eastAsia="Times New Roman" w:hAnsi="Times New Roman" w:cs="Times New Roman"/>
      <w:sz w:val="24"/>
      <w:szCs w:val="24"/>
    </w:rPr>
  </w:style>
  <w:style w:type="paragraph" w:customStyle="1" w:styleId="af1">
    <w:name w:val="正文！"/>
    <w:basedOn w:val="a"/>
    <w:link w:val="af2"/>
    <w:qFormat/>
    <w:rsid w:val="006C6034"/>
    <w:pPr>
      <w:widowControl w:val="0"/>
      <w:snapToGrid w:val="0"/>
      <w:spacing w:after="0" w:line="360" w:lineRule="auto"/>
      <w:ind w:firstLineChars="200" w:firstLine="200"/>
      <w:jc w:val="both"/>
    </w:pPr>
    <w:rPr>
      <w:rFonts w:ascii="Times New Roman" w:eastAsia="宋体" w:hAnsi="Times New Roman" w:cs="Times New Roman"/>
      <w:kern w:val="2"/>
      <w:sz w:val="24"/>
      <w:szCs w:val="24"/>
      <w:lang w:eastAsia="zh-CN"/>
    </w:rPr>
  </w:style>
  <w:style w:type="character" w:customStyle="1" w:styleId="af2">
    <w:name w:val="正文！ 字符"/>
    <w:basedOn w:val="a0"/>
    <w:link w:val="af1"/>
    <w:qFormat/>
    <w:rsid w:val="006C6034"/>
    <w:rPr>
      <w:rFonts w:ascii="Times New Roman" w:eastAsia="宋体" w:hAnsi="Times New Roman" w:cs="Times New Roman"/>
      <w:sz w:val="24"/>
      <w:szCs w:val="24"/>
    </w:rPr>
  </w:style>
  <w:style w:type="character" w:customStyle="1" w:styleId="af0">
    <w:name w:val="普通(网站) 字符"/>
    <w:basedOn w:val="a0"/>
    <w:link w:val="af"/>
    <w:uiPriority w:val="99"/>
    <w:qFormat/>
    <w:rsid w:val="006C6034"/>
    <w:rPr>
      <w:rFonts w:ascii="Times New Roman" w:eastAsia="Times New Roman" w:hAnsi="Times New Roman" w:cs="Times New Roman"/>
      <w:kern w:val="0"/>
      <w:sz w:val="24"/>
      <w:szCs w:val="24"/>
      <w:lang w:eastAsia="en-US"/>
    </w:rPr>
  </w:style>
  <w:style w:type="character" w:styleId="af3">
    <w:name w:val="Strong"/>
    <w:uiPriority w:val="22"/>
    <w:qFormat/>
    <w:rsid w:val="006C6034"/>
    <w:rPr>
      <w:b/>
      <w:bCs/>
    </w:rPr>
  </w:style>
  <w:style w:type="table" w:styleId="af4">
    <w:name w:val="Table Grid"/>
    <w:basedOn w:val="a1"/>
    <w:uiPriority w:val="39"/>
    <w:qFormat/>
    <w:rsid w:val="006C603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qFormat/>
    <w:rsid w:val="006C6034"/>
    <w:rPr>
      <w:rFonts w:ascii="AdvTT2876772e+27" w:hAnsi="AdvTT2876772e+27"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2407</Words>
  <Characters>13722</Characters>
  <Application>Microsoft Office Word</Application>
  <DocSecurity>0</DocSecurity>
  <Lines>114</Lines>
  <Paragraphs>32</Paragraphs>
  <ScaleCrop>false</ScaleCrop>
  <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 黄</dc:creator>
  <cp:keywords/>
  <dc:description/>
  <cp:lastModifiedBy>xr 黄</cp:lastModifiedBy>
  <cp:revision>1</cp:revision>
  <dcterms:created xsi:type="dcterms:W3CDTF">2025-03-31T03:12:00Z</dcterms:created>
  <dcterms:modified xsi:type="dcterms:W3CDTF">2025-03-31T03:12:00Z</dcterms:modified>
</cp:coreProperties>
</file>