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04A95" w14:textId="77777777" w:rsidR="00EB2688" w:rsidRPr="00C456D5" w:rsidRDefault="00EB2688" w:rsidP="00EB2688">
      <w:pPr>
        <w:rPr>
          <w:rFonts w:ascii="Arial" w:hAnsi="Arial" w:cs="Arial"/>
          <w:b/>
          <w:sz w:val="24"/>
          <w:szCs w:val="24"/>
        </w:rPr>
      </w:pPr>
      <w:r w:rsidRPr="00C456D5">
        <w:rPr>
          <w:rFonts w:ascii="Arial" w:hAnsi="Arial" w:cs="Arial" w:hint="eastAsia"/>
          <w:b/>
          <w:sz w:val="24"/>
          <w:szCs w:val="24"/>
        </w:rPr>
        <w:t>Su</w:t>
      </w:r>
      <w:r w:rsidRPr="00C456D5">
        <w:rPr>
          <w:rFonts w:ascii="Arial" w:hAnsi="Arial" w:cs="Arial"/>
          <w:b/>
          <w:sz w:val="24"/>
          <w:szCs w:val="24"/>
        </w:rPr>
        <w:t>pplementary</w:t>
      </w:r>
    </w:p>
    <w:p w14:paraId="034A0D80" w14:textId="77777777" w:rsidR="00EB2688" w:rsidRDefault="00EB2688" w:rsidP="00EB2688">
      <w:pPr>
        <w:rPr>
          <w:rFonts w:ascii="Arial" w:hAnsi="Arial" w:cs="Arial"/>
          <w:sz w:val="22"/>
        </w:rPr>
      </w:pPr>
      <w:r>
        <w:rPr>
          <w:noProof/>
        </w:rPr>
        <w:drawing>
          <wp:inline distT="0" distB="0" distL="0" distR="0" wp14:anchorId="1A9EABC1" wp14:editId="542FC4E2">
            <wp:extent cx="5274310" cy="6585924"/>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6585924"/>
                    </a:xfrm>
                    <a:prstGeom prst="rect">
                      <a:avLst/>
                    </a:prstGeom>
                    <a:noFill/>
                    <a:ln>
                      <a:noFill/>
                    </a:ln>
                  </pic:spPr>
                </pic:pic>
              </a:graphicData>
            </a:graphic>
          </wp:inline>
        </w:drawing>
      </w:r>
    </w:p>
    <w:p w14:paraId="4AF49308" w14:textId="77777777" w:rsidR="00EB2688" w:rsidRDefault="00EB2688" w:rsidP="00EB2688">
      <w:pPr>
        <w:rPr>
          <w:rStyle w:val="A11"/>
          <w:rFonts w:ascii="Arial" w:eastAsia="JansonText LT" w:hAnsi="Arial" w:cs="Arial"/>
          <w:sz w:val="20"/>
          <w:szCs w:val="20"/>
        </w:rPr>
      </w:pPr>
      <w:r w:rsidRPr="007C772E">
        <w:rPr>
          <w:rStyle w:val="A11"/>
          <w:rFonts w:ascii="Arial" w:hAnsi="Arial" w:cs="Arial"/>
          <w:b/>
          <w:bCs/>
          <w:sz w:val="20"/>
          <w:szCs w:val="20"/>
        </w:rPr>
        <w:t>Figure S1</w:t>
      </w:r>
      <w:r>
        <w:rPr>
          <w:rStyle w:val="A11"/>
          <w:rFonts w:ascii="Arial" w:hAnsi="Arial" w:cs="Arial"/>
          <w:b/>
          <w:bCs/>
          <w:sz w:val="20"/>
          <w:szCs w:val="20"/>
        </w:rPr>
        <w:t>:</w:t>
      </w:r>
      <w:r w:rsidRPr="007C772E">
        <w:rPr>
          <w:rStyle w:val="A11"/>
          <w:rFonts w:ascii="Arial" w:hAnsi="Arial" w:cs="Arial"/>
          <w:b/>
          <w:bCs/>
          <w:sz w:val="20"/>
          <w:szCs w:val="20"/>
        </w:rPr>
        <w:t xml:space="preserve"> </w:t>
      </w:r>
      <w:r>
        <w:rPr>
          <w:rStyle w:val="A11"/>
          <w:rFonts w:ascii="Arial" w:eastAsia="JansonText LT" w:hAnsi="Arial" w:cs="Arial"/>
          <w:sz w:val="20"/>
          <w:szCs w:val="20"/>
        </w:rPr>
        <w:t>The</w:t>
      </w:r>
      <w:r w:rsidRPr="007C772E">
        <w:rPr>
          <w:rStyle w:val="A11"/>
          <w:rFonts w:ascii="Arial" w:eastAsia="JansonText LT" w:hAnsi="Arial" w:cs="Arial"/>
          <w:sz w:val="20"/>
          <w:szCs w:val="20"/>
        </w:rPr>
        <w:t xml:space="preserve"> summary of the LUAD patients’ somatic mutation data, (A) displayed number of variants in each sample as a stacked bar plot and variant types as a boxplot summarized; (B) classified SNPs into transitions and transversions, (a) showed the overall distribution of the six different transformations, (b) classified the SNPs as transitions (Ti) and transversions (Tv), showing their proportion, (c) stacked bar graph of the percent conversion in each sample</w:t>
      </w:r>
      <w:r>
        <w:rPr>
          <w:rStyle w:val="A11"/>
          <w:rFonts w:ascii="Arial" w:eastAsia="JansonText LT" w:hAnsi="Arial" w:cs="Arial"/>
          <w:sz w:val="20"/>
          <w:szCs w:val="20"/>
        </w:rPr>
        <w:t>.</w:t>
      </w:r>
    </w:p>
    <w:p w14:paraId="23B98835" w14:textId="77777777" w:rsidR="00EB2688" w:rsidRDefault="00EB2688" w:rsidP="00EB2688">
      <w:pPr>
        <w:rPr>
          <w:rStyle w:val="A11"/>
          <w:rFonts w:ascii="Arial" w:eastAsia="JansonText LT" w:hAnsi="Arial" w:cs="Arial"/>
          <w:sz w:val="20"/>
          <w:szCs w:val="20"/>
        </w:rPr>
      </w:pPr>
    </w:p>
    <w:p w14:paraId="1FAB0BC2" w14:textId="77777777" w:rsidR="00EB2688" w:rsidRDefault="00EB2688" w:rsidP="00EB2688">
      <w:pPr>
        <w:rPr>
          <w:rStyle w:val="A11"/>
          <w:rFonts w:ascii="Arial" w:eastAsia="JansonText LT" w:hAnsi="Arial" w:cs="Arial"/>
          <w:sz w:val="20"/>
          <w:szCs w:val="20"/>
        </w:rPr>
      </w:pPr>
    </w:p>
    <w:p w14:paraId="7FEED548" w14:textId="77777777" w:rsidR="00EB2688" w:rsidRDefault="00EB2688" w:rsidP="00EB2688">
      <w:pPr>
        <w:rPr>
          <w:rStyle w:val="A11"/>
          <w:rFonts w:ascii="Arial" w:eastAsia="JansonText LT" w:hAnsi="Arial" w:cs="Arial"/>
          <w:sz w:val="20"/>
          <w:szCs w:val="20"/>
        </w:rPr>
      </w:pPr>
    </w:p>
    <w:p w14:paraId="08793A20" w14:textId="77777777" w:rsidR="00EB2688" w:rsidRDefault="00EB2688" w:rsidP="00EB2688">
      <w:pPr>
        <w:rPr>
          <w:rStyle w:val="A11"/>
          <w:rFonts w:ascii="Arial" w:eastAsia="JansonText LT" w:hAnsi="Arial" w:cs="Arial"/>
          <w:sz w:val="20"/>
          <w:szCs w:val="20"/>
        </w:rPr>
      </w:pPr>
      <w:r w:rsidRPr="00106F63">
        <w:rPr>
          <w:rStyle w:val="A11"/>
          <w:rFonts w:ascii="Arial" w:eastAsia="JansonText LT" w:hAnsi="Arial" w:cs="Arial"/>
          <w:noProof/>
          <w:sz w:val="20"/>
          <w:szCs w:val="20"/>
        </w:rPr>
        <w:lastRenderedPageBreak/>
        <w:drawing>
          <wp:inline distT="0" distB="0" distL="0" distR="0" wp14:anchorId="47A0EDAA" wp14:editId="03CA6B41">
            <wp:extent cx="5274000" cy="5274000"/>
            <wp:effectExtent l="0" t="0" r="3175" b="3175"/>
            <wp:docPr id="34" name="图片 34" descr="C:\Users\DJ\Desktop\Picture\Figure S\F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Desktop\Picture\Figure S\F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000" cy="5274000"/>
                    </a:xfrm>
                    <a:prstGeom prst="rect">
                      <a:avLst/>
                    </a:prstGeom>
                    <a:noFill/>
                    <a:ln>
                      <a:noFill/>
                    </a:ln>
                  </pic:spPr>
                </pic:pic>
              </a:graphicData>
            </a:graphic>
          </wp:inline>
        </w:drawing>
      </w:r>
    </w:p>
    <w:p w14:paraId="2DB7809E" w14:textId="77777777" w:rsidR="00EB2688" w:rsidRPr="00106F63" w:rsidRDefault="00EB2688" w:rsidP="00EB2688">
      <w:pPr>
        <w:rPr>
          <w:rStyle w:val="A11"/>
          <w:rFonts w:ascii="Arial" w:eastAsia="JansonText LT" w:hAnsi="Arial" w:cs="Arial"/>
          <w:sz w:val="20"/>
          <w:szCs w:val="20"/>
        </w:rPr>
      </w:pPr>
      <w:r w:rsidRPr="007C772E">
        <w:rPr>
          <w:rFonts w:ascii="Arial" w:eastAsia="Janson Text LT" w:hAnsi="Arial" w:cs="Arial"/>
          <w:b/>
          <w:bCs/>
          <w:color w:val="221E1F"/>
          <w:kern w:val="0"/>
          <w:sz w:val="20"/>
          <w:szCs w:val="20"/>
        </w:rPr>
        <w:t>Figure S2</w:t>
      </w:r>
      <w:r>
        <w:rPr>
          <w:rFonts w:ascii="Arial" w:eastAsia="Janson Text LT" w:hAnsi="Arial" w:cs="Arial"/>
          <w:b/>
          <w:bCs/>
          <w:color w:val="221E1F"/>
          <w:kern w:val="0"/>
          <w:sz w:val="20"/>
          <w:szCs w:val="20"/>
        </w:rPr>
        <w:t>:</w:t>
      </w:r>
      <w:r w:rsidRPr="00106F63">
        <w:rPr>
          <w:rFonts w:ascii="Arial" w:eastAsia="Janson Text LT" w:hAnsi="Arial" w:cs="Arial"/>
          <w:bCs/>
          <w:color w:val="221E1F"/>
          <w:kern w:val="0"/>
          <w:sz w:val="20"/>
          <w:szCs w:val="20"/>
        </w:rPr>
        <w:t>(A) Proportion of various TP53 mutations in MU</w:t>
      </w:r>
      <w:r>
        <w:rPr>
          <w:rFonts w:ascii="Arial" w:eastAsia="Janson Text LT" w:hAnsi="Arial" w:cs="Arial"/>
          <w:bCs/>
          <w:color w:val="221E1F"/>
          <w:kern w:val="0"/>
          <w:sz w:val="20"/>
          <w:szCs w:val="20"/>
        </w:rPr>
        <w:t xml:space="preserve">, (B) </w:t>
      </w:r>
      <w:r w:rsidRPr="00106F63">
        <w:rPr>
          <w:rFonts w:ascii="Arial" w:eastAsia="Janson Text LT" w:hAnsi="Arial" w:cs="Arial"/>
          <w:bCs/>
          <w:color w:val="221E1F"/>
          <w:kern w:val="0"/>
          <w:sz w:val="20"/>
          <w:szCs w:val="20"/>
        </w:rPr>
        <w:t>Map of P53 protein structure and mutation sites</w:t>
      </w:r>
      <w:r>
        <w:rPr>
          <w:rFonts w:ascii="Arial" w:eastAsia="Janson Text LT" w:hAnsi="Arial" w:cs="Arial"/>
          <w:bCs/>
          <w:color w:val="221E1F"/>
          <w:kern w:val="0"/>
          <w:sz w:val="20"/>
          <w:szCs w:val="20"/>
        </w:rPr>
        <w:t>.</w:t>
      </w:r>
    </w:p>
    <w:p w14:paraId="73CE0091" w14:textId="77777777" w:rsidR="00EB2688" w:rsidRDefault="00EB2688" w:rsidP="00EB2688">
      <w:pPr>
        <w:rPr>
          <w:rFonts w:ascii="Janson Text LT" w:eastAsia="Janson Text LT" w:cs="Janson Text LT"/>
          <w:b/>
          <w:bCs/>
          <w:noProof/>
          <w:color w:val="221E1F"/>
          <w:kern w:val="0"/>
          <w:sz w:val="17"/>
          <w:szCs w:val="17"/>
        </w:rPr>
      </w:pPr>
      <w:r>
        <w:rPr>
          <w:rFonts w:ascii="Janson Text LT" w:eastAsia="Janson Text LT" w:cs="Janson Text LT"/>
          <w:b/>
          <w:bCs/>
          <w:noProof/>
          <w:color w:val="221E1F"/>
          <w:kern w:val="0"/>
          <w:sz w:val="17"/>
          <w:szCs w:val="17"/>
        </w:rPr>
        <w:lastRenderedPageBreak/>
        <w:drawing>
          <wp:inline distT="0" distB="0" distL="0" distR="0" wp14:anchorId="07813D96" wp14:editId="042453FA">
            <wp:extent cx="5274000" cy="4615200"/>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幻灯片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000" cy="4615200"/>
                    </a:xfrm>
                    <a:prstGeom prst="rect">
                      <a:avLst/>
                    </a:prstGeom>
                  </pic:spPr>
                </pic:pic>
              </a:graphicData>
            </a:graphic>
          </wp:inline>
        </w:drawing>
      </w:r>
    </w:p>
    <w:p w14:paraId="40F8AC58" w14:textId="77777777" w:rsidR="00EB2688" w:rsidRPr="007C772E" w:rsidRDefault="00EB2688" w:rsidP="00EB2688">
      <w:pPr>
        <w:rPr>
          <w:rFonts w:ascii="Arial" w:eastAsia="JansonText LT" w:hAnsi="Arial" w:cs="Arial"/>
          <w:color w:val="221E1F"/>
          <w:kern w:val="0"/>
          <w:sz w:val="20"/>
          <w:szCs w:val="20"/>
        </w:rPr>
      </w:pPr>
      <w:r w:rsidRPr="007C772E">
        <w:rPr>
          <w:rFonts w:ascii="Arial" w:eastAsia="Janson Text LT" w:hAnsi="Arial" w:cs="Arial"/>
          <w:b/>
          <w:bCs/>
          <w:color w:val="221E1F"/>
          <w:kern w:val="0"/>
          <w:sz w:val="20"/>
          <w:szCs w:val="20"/>
        </w:rPr>
        <w:t>Figure S</w:t>
      </w:r>
      <w:r>
        <w:rPr>
          <w:rFonts w:ascii="Arial" w:eastAsia="Janson Text LT" w:hAnsi="Arial" w:cs="Arial"/>
          <w:b/>
          <w:bCs/>
          <w:color w:val="221E1F"/>
          <w:kern w:val="0"/>
          <w:sz w:val="20"/>
          <w:szCs w:val="20"/>
        </w:rPr>
        <w:t>3:</w:t>
      </w:r>
      <w:r w:rsidRPr="007C772E">
        <w:rPr>
          <w:rFonts w:ascii="Arial" w:eastAsia="Janson Text LT" w:hAnsi="Arial" w:cs="Arial"/>
          <w:b/>
          <w:bCs/>
          <w:color w:val="221E1F"/>
          <w:kern w:val="0"/>
          <w:sz w:val="20"/>
          <w:szCs w:val="20"/>
        </w:rPr>
        <w:t xml:space="preserve"> </w:t>
      </w:r>
      <w:r w:rsidRPr="007C772E">
        <w:rPr>
          <w:rFonts w:ascii="Arial" w:eastAsia="JansonText LT" w:hAnsi="Arial" w:cs="Arial"/>
          <w:color w:val="221E1F"/>
          <w:kern w:val="0"/>
          <w:sz w:val="20"/>
          <w:szCs w:val="20"/>
        </w:rPr>
        <w:t>Exclusive/co-occurrence event analysis on top 25 differently mutated genes.</w:t>
      </w:r>
    </w:p>
    <w:p w14:paraId="1EF87494" w14:textId="77777777" w:rsidR="00EB2688" w:rsidRDefault="00EB2688" w:rsidP="00EB2688"/>
    <w:p w14:paraId="3C9D059E" w14:textId="77777777" w:rsidR="00EB2688" w:rsidRPr="00A563E6" w:rsidRDefault="00EB2688" w:rsidP="00EB2688">
      <w:r>
        <w:rPr>
          <w:noProof/>
        </w:rPr>
        <w:lastRenderedPageBreak/>
        <w:drawing>
          <wp:inline distT="0" distB="0" distL="0" distR="0" wp14:anchorId="00B63EF1" wp14:editId="6A9961F7">
            <wp:extent cx="5274000" cy="4899600"/>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000" cy="4899600"/>
                    </a:xfrm>
                    <a:prstGeom prst="rect">
                      <a:avLst/>
                    </a:prstGeom>
                    <a:noFill/>
                    <a:ln>
                      <a:noFill/>
                    </a:ln>
                  </pic:spPr>
                </pic:pic>
              </a:graphicData>
            </a:graphic>
          </wp:inline>
        </w:drawing>
      </w:r>
      <w:r w:rsidRPr="00642A3D">
        <w:rPr>
          <w:rFonts w:ascii="Arial" w:eastAsia="Janson Text LT" w:hAnsi="Arial" w:cs="Arial"/>
          <w:b/>
          <w:bCs/>
          <w:color w:val="221E1F"/>
          <w:kern w:val="0"/>
          <w:sz w:val="20"/>
          <w:szCs w:val="20"/>
        </w:rPr>
        <w:t>Figure S</w:t>
      </w:r>
      <w:r>
        <w:rPr>
          <w:rFonts w:ascii="Arial" w:eastAsia="Janson Text LT" w:hAnsi="Arial" w:cs="Arial"/>
          <w:b/>
          <w:bCs/>
          <w:color w:val="221E1F"/>
          <w:kern w:val="0"/>
          <w:sz w:val="20"/>
          <w:szCs w:val="20"/>
        </w:rPr>
        <w:t>4:</w:t>
      </w:r>
      <w:r w:rsidRPr="00642A3D">
        <w:rPr>
          <w:rFonts w:ascii="Arial" w:eastAsia="Janson Text LT" w:hAnsi="Arial" w:cs="Arial"/>
          <w:b/>
          <w:bCs/>
          <w:color w:val="221E1F"/>
          <w:kern w:val="0"/>
          <w:sz w:val="20"/>
          <w:szCs w:val="20"/>
        </w:rPr>
        <w:t xml:space="preserve"> </w:t>
      </w:r>
      <w:r>
        <w:rPr>
          <w:rFonts w:ascii="Arial" w:hAnsi="Arial" w:cs="Arial"/>
          <w:sz w:val="20"/>
          <w:szCs w:val="20"/>
        </w:rPr>
        <w:t>T</w:t>
      </w:r>
      <w:r w:rsidRPr="00642A3D">
        <w:rPr>
          <w:rFonts w:ascii="Arial" w:hAnsi="Arial" w:cs="Arial"/>
          <w:sz w:val="20"/>
          <w:szCs w:val="20"/>
        </w:rPr>
        <w:t>ranscription factor regulatory network of aberrantly expressed genes in the TCGA database, green dots represent regulatory factors, red dots represent up-regulated mRNA, blue dots represent down-regulated</w:t>
      </w:r>
      <w:r>
        <w:rPr>
          <w:rFonts w:ascii="Arial" w:hAnsi="Arial" w:cs="Arial"/>
          <w:sz w:val="20"/>
          <w:szCs w:val="20"/>
        </w:rPr>
        <w:t xml:space="preserve"> mRNA.</w:t>
      </w:r>
    </w:p>
    <w:p w14:paraId="6EED4C8C" w14:textId="77777777" w:rsidR="00EB2688" w:rsidRDefault="00EB2688" w:rsidP="00EB2688"/>
    <w:p w14:paraId="209E8202" w14:textId="77777777" w:rsidR="00EB2688" w:rsidRDefault="00EB2688" w:rsidP="00EB2688"/>
    <w:p w14:paraId="7BEE56F9" w14:textId="77777777" w:rsidR="00EB2688" w:rsidRDefault="00EB2688" w:rsidP="00EB2688"/>
    <w:p w14:paraId="018B7CE8" w14:textId="77777777" w:rsidR="00EB2688" w:rsidRDefault="00EB2688" w:rsidP="00EB2688"/>
    <w:p w14:paraId="5F4379DD" w14:textId="77777777" w:rsidR="00EB2688" w:rsidRDefault="00EB2688" w:rsidP="00EB2688">
      <w:r>
        <w:rPr>
          <w:noProof/>
        </w:rPr>
        <w:lastRenderedPageBreak/>
        <w:drawing>
          <wp:inline distT="0" distB="0" distL="0" distR="0" wp14:anchorId="19502656" wp14:editId="32DB7BDF">
            <wp:extent cx="5311140" cy="7501890"/>
            <wp:effectExtent l="0" t="0" r="381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5654" r="-192"/>
                    <a:stretch/>
                  </pic:blipFill>
                  <pic:spPr bwMode="auto">
                    <a:xfrm>
                      <a:off x="0" y="0"/>
                      <a:ext cx="5311140" cy="7501890"/>
                    </a:xfrm>
                    <a:prstGeom prst="rect">
                      <a:avLst/>
                    </a:prstGeom>
                    <a:noFill/>
                    <a:ln>
                      <a:noFill/>
                    </a:ln>
                    <a:extLst>
                      <a:ext uri="{53640926-AAD7-44D8-BBD7-CCE9431645EC}">
                        <a14:shadowObscured xmlns:a14="http://schemas.microsoft.com/office/drawing/2010/main"/>
                      </a:ext>
                    </a:extLst>
                  </pic:spPr>
                </pic:pic>
              </a:graphicData>
            </a:graphic>
          </wp:inline>
        </w:drawing>
      </w:r>
    </w:p>
    <w:p w14:paraId="3AA70C39" w14:textId="77777777" w:rsidR="00EB2688" w:rsidRPr="00642A3D" w:rsidRDefault="00EB2688" w:rsidP="00EB2688">
      <w:pPr>
        <w:spacing w:line="220" w:lineRule="atLeast"/>
        <w:rPr>
          <w:rFonts w:ascii="Arial" w:hAnsi="Arial" w:cs="Arial"/>
          <w:sz w:val="20"/>
          <w:szCs w:val="20"/>
        </w:rPr>
      </w:pPr>
      <w:r w:rsidRPr="00642A3D">
        <w:rPr>
          <w:rFonts w:ascii="Arial" w:eastAsia="Janson Text LT" w:hAnsi="Arial" w:cs="Arial"/>
          <w:b/>
          <w:bCs/>
          <w:color w:val="221E1F"/>
          <w:kern w:val="0"/>
          <w:sz w:val="20"/>
          <w:szCs w:val="20"/>
        </w:rPr>
        <w:t>Figure S</w:t>
      </w:r>
      <w:r>
        <w:rPr>
          <w:rFonts w:ascii="Arial" w:eastAsia="Janson Text LT" w:hAnsi="Arial" w:cs="Arial"/>
          <w:b/>
          <w:bCs/>
          <w:color w:val="221E1F"/>
          <w:kern w:val="0"/>
          <w:sz w:val="20"/>
          <w:szCs w:val="20"/>
        </w:rPr>
        <w:t>5:</w:t>
      </w:r>
      <w:r w:rsidRPr="00642A3D">
        <w:rPr>
          <w:rFonts w:ascii="Arial" w:hAnsi="Arial" w:cs="Arial"/>
          <w:sz w:val="20"/>
          <w:szCs w:val="20"/>
        </w:rPr>
        <w:t xml:space="preserve"> </w:t>
      </w:r>
      <w:r w:rsidRPr="00642A3D">
        <w:rPr>
          <w:rFonts w:ascii="Arial" w:eastAsia="宋体" w:hAnsi="Arial" w:cs="Arial"/>
          <w:color w:val="000000" w:themeColor="text1"/>
          <w:sz w:val="20"/>
          <w:szCs w:val="20"/>
        </w:rPr>
        <w:t xml:space="preserve">Volcano map of differential gene expression from TCGA database between the groups with </w:t>
      </w:r>
      <w:r>
        <w:rPr>
          <w:rFonts w:ascii="Arial" w:eastAsia="宋体" w:hAnsi="Arial" w:cs="Arial"/>
          <w:color w:val="000000" w:themeColor="text1"/>
          <w:sz w:val="20"/>
          <w:szCs w:val="20"/>
        </w:rPr>
        <w:t xml:space="preserve">or without </w:t>
      </w:r>
      <w:r w:rsidRPr="00642A3D">
        <w:rPr>
          <w:rFonts w:ascii="Arial" w:eastAsia="宋体" w:hAnsi="Arial" w:cs="Arial"/>
          <w:color w:val="000000" w:themeColor="text1"/>
          <w:sz w:val="20"/>
          <w:szCs w:val="20"/>
        </w:rPr>
        <w:t>TP53 mutation. (Red represents high expression in the group with TP53 mutation, blue represents high expression in the group without TP53 mutation) (A) differential miRNA expression (B) differential lncRNA expression.</w:t>
      </w:r>
    </w:p>
    <w:p w14:paraId="358CAC17" w14:textId="77777777" w:rsidR="00EB2688" w:rsidRDefault="00EB2688" w:rsidP="00EB2688">
      <w:r>
        <w:rPr>
          <w:noProof/>
        </w:rPr>
        <w:lastRenderedPageBreak/>
        <w:drawing>
          <wp:inline distT="0" distB="0" distL="0" distR="0" wp14:anchorId="292BF08E" wp14:editId="15B8498F">
            <wp:extent cx="5040000" cy="3153600"/>
            <wp:effectExtent l="0" t="0" r="8255"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000" cy="3153600"/>
                    </a:xfrm>
                    <a:prstGeom prst="rect">
                      <a:avLst/>
                    </a:prstGeom>
                    <a:noFill/>
                    <a:ln>
                      <a:noFill/>
                    </a:ln>
                  </pic:spPr>
                </pic:pic>
              </a:graphicData>
            </a:graphic>
          </wp:inline>
        </w:drawing>
      </w:r>
    </w:p>
    <w:p w14:paraId="70B2CFD6" w14:textId="77777777" w:rsidR="00EB2688" w:rsidRPr="00CA6D2E" w:rsidRDefault="00EB2688" w:rsidP="00EB2688">
      <w:pPr>
        <w:autoSpaceDE w:val="0"/>
        <w:autoSpaceDN w:val="0"/>
        <w:adjustRightInd w:val="0"/>
        <w:jc w:val="left"/>
        <w:rPr>
          <w:rFonts w:ascii="Times New Roman" w:eastAsia="宋体" w:hAnsi="Times New Roman"/>
          <w:color w:val="000000" w:themeColor="text1"/>
          <w:sz w:val="24"/>
          <w:szCs w:val="24"/>
        </w:rPr>
      </w:pPr>
    </w:p>
    <w:p w14:paraId="16DC2AA6" w14:textId="77777777" w:rsidR="00EB2688" w:rsidRPr="00642A3D" w:rsidRDefault="00EB2688" w:rsidP="00EB2688">
      <w:pPr>
        <w:autoSpaceDE w:val="0"/>
        <w:autoSpaceDN w:val="0"/>
        <w:adjustRightInd w:val="0"/>
        <w:jc w:val="left"/>
        <w:rPr>
          <w:rFonts w:ascii="Arial" w:hAnsi="Arial" w:cs="Arial"/>
          <w:kern w:val="0"/>
          <w:sz w:val="20"/>
          <w:szCs w:val="20"/>
        </w:rPr>
      </w:pPr>
      <w:r w:rsidRPr="00642A3D">
        <w:rPr>
          <w:rFonts w:ascii="Arial" w:eastAsia="Janson Text LT" w:hAnsi="Arial" w:cs="Arial"/>
          <w:b/>
          <w:bCs/>
          <w:color w:val="221E1F"/>
          <w:kern w:val="0"/>
          <w:sz w:val="20"/>
          <w:szCs w:val="20"/>
        </w:rPr>
        <w:t xml:space="preserve">Figure </w:t>
      </w:r>
      <w:r>
        <w:rPr>
          <w:rFonts w:ascii="Arial" w:eastAsia="Janson Text LT" w:hAnsi="Arial" w:cs="Arial"/>
          <w:b/>
          <w:bCs/>
          <w:color w:val="221E1F"/>
          <w:kern w:val="0"/>
          <w:sz w:val="20"/>
          <w:szCs w:val="20"/>
        </w:rPr>
        <w:t>S6:</w:t>
      </w:r>
      <w:r w:rsidRPr="00642A3D">
        <w:rPr>
          <w:rFonts w:ascii="Arial" w:eastAsia="Janson Text LT" w:hAnsi="Arial" w:cs="Arial"/>
          <w:b/>
          <w:bCs/>
          <w:color w:val="221E1F"/>
          <w:kern w:val="0"/>
          <w:sz w:val="20"/>
          <w:szCs w:val="20"/>
        </w:rPr>
        <w:t xml:space="preserve"> </w:t>
      </w:r>
      <w:r>
        <w:rPr>
          <w:rFonts w:ascii="Arial" w:eastAsia="宋体" w:hAnsi="Arial" w:cs="Arial"/>
          <w:color w:val="000000" w:themeColor="text1"/>
          <w:sz w:val="20"/>
          <w:szCs w:val="20"/>
        </w:rPr>
        <w:t>C</w:t>
      </w:r>
      <w:r w:rsidRPr="00642A3D">
        <w:rPr>
          <w:rFonts w:ascii="Arial" w:eastAsia="宋体" w:hAnsi="Arial" w:cs="Arial"/>
          <w:color w:val="000000" w:themeColor="text1"/>
          <w:sz w:val="20"/>
          <w:szCs w:val="20"/>
        </w:rPr>
        <w:t>eRNA network of diﬀerential lncRNA-diﬀerential miRNA-diﬀerentially expressed gene pairs.</w:t>
      </w:r>
    </w:p>
    <w:p w14:paraId="175CD6FB" w14:textId="77777777" w:rsidR="00EB2688" w:rsidRPr="00181624" w:rsidRDefault="00EB2688" w:rsidP="00EB2688"/>
    <w:p w14:paraId="5FB02942" w14:textId="77777777" w:rsidR="00EB2688" w:rsidRDefault="00EB2688" w:rsidP="00EB2688">
      <w:r>
        <w:rPr>
          <w:noProof/>
        </w:rPr>
        <w:drawing>
          <wp:inline distT="0" distB="0" distL="0" distR="0" wp14:anchorId="59EAC1D9" wp14:editId="1E1B85F0">
            <wp:extent cx="5274000" cy="3438000"/>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000" cy="3438000"/>
                    </a:xfrm>
                    <a:prstGeom prst="rect">
                      <a:avLst/>
                    </a:prstGeom>
                    <a:noFill/>
                    <a:ln>
                      <a:noFill/>
                    </a:ln>
                  </pic:spPr>
                </pic:pic>
              </a:graphicData>
            </a:graphic>
          </wp:inline>
        </w:drawing>
      </w:r>
    </w:p>
    <w:p w14:paraId="042BAD29" w14:textId="77777777" w:rsidR="00EB2688" w:rsidRPr="008E47E5" w:rsidRDefault="00EB2688" w:rsidP="00EB2688">
      <w:pPr>
        <w:rPr>
          <w:rFonts w:ascii="Arial" w:eastAsia="宋体" w:hAnsi="Arial" w:cs="Arial"/>
          <w:color w:val="000000" w:themeColor="text1"/>
          <w:sz w:val="20"/>
          <w:szCs w:val="20"/>
        </w:rPr>
      </w:pPr>
      <w:bookmarkStart w:id="0" w:name="_Hlk71382473"/>
      <w:r w:rsidRPr="00642A3D">
        <w:rPr>
          <w:rFonts w:ascii="Arial" w:eastAsia="Janson Text LT" w:hAnsi="Arial" w:cs="Arial"/>
          <w:b/>
          <w:bCs/>
          <w:color w:val="221E1F"/>
          <w:kern w:val="0"/>
          <w:sz w:val="20"/>
          <w:szCs w:val="20"/>
        </w:rPr>
        <w:t>Figure S</w:t>
      </w:r>
      <w:bookmarkEnd w:id="0"/>
      <w:r>
        <w:rPr>
          <w:rFonts w:ascii="Arial" w:eastAsia="Janson Text LT" w:hAnsi="Arial" w:cs="Arial"/>
          <w:b/>
          <w:bCs/>
          <w:color w:val="221E1F"/>
          <w:kern w:val="0"/>
          <w:sz w:val="20"/>
          <w:szCs w:val="20"/>
        </w:rPr>
        <w:t>7:</w:t>
      </w:r>
      <w:r w:rsidRPr="00642A3D">
        <w:rPr>
          <w:rFonts w:ascii="Arial" w:hAnsi="Arial" w:cs="Arial"/>
          <w:sz w:val="20"/>
          <w:szCs w:val="20"/>
        </w:rPr>
        <w:t xml:space="preserve"> </w:t>
      </w:r>
      <w:r w:rsidRPr="00642A3D">
        <w:rPr>
          <w:rFonts w:ascii="Arial" w:eastAsia="宋体" w:hAnsi="Arial" w:cs="Arial"/>
          <w:color w:val="000000" w:themeColor="text1"/>
          <w:sz w:val="20"/>
          <w:szCs w:val="20"/>
        </w:rPr>
        <w:t>Volcano map of differential immune gene expression from TCGA database between the groups with</w:t>
      </w:r>
      <w:r>
        <w:rPr>
          <w:rFonts w:ascii="Arial" w:eastAsia="宋体" w:hAnsi="Arial" w:cs="Arial"/>
          <w:color w:val="000000" w:themeColor="text1"/>
          <w:sz w:val="20"/>
          <w:szCs w:val="20"/>
        </w:rPr>
        <w:t xml:space="preserve"> or without</w:t>
      </w:r>
      <w:r w:rsidRPr="00642A3D">
        <w:rPr>
          <w:rFonts w:ascii="Arial" w:eastAsia="宋体" w:hAnsi="Arial" w:cs="Arial"/>
          <w:color w:val="000000" w:themeColor="text1"/>
          <w:sz w:val="20"/>
          <w:szCs w:val="20"/>
        </w:rPr>
        <w:t xml:space="preserve"> TP53 mutation. (Red represents high expression in the group with TP53 mutation, blue represents high expression in the group without TP53 mutation)</w:t>
      </w:r>
      <w:r>
        <w:rPr>
          <w:rFonts w:ascii="Arial" w:eastAsia="宋体" w:hAnsi="Arial" w:cs="Arial"/>
          <w:color w:val="000000" w:themeColor="text1"/>
          <w:sz w:val="20"/>
          <w:szCs w:val="20"/>
        </w:rPr>
        <w:t>.</w:t>
      </w:r>
    </w:p>
    <w:p w14:paraId="2E8BBA5B" w14:textId="77777777" w:rsidR="007859F8" w:rsidRPr="00EB2688" w:rsidRDefault="007859F8">
      <w:bookmarkStart w:id="1" w:name="_GoBack"/>
      <w:bookmarkEnd w:id="1"/>
    </w:p>
    <w:sectPr w:rsidR="007859F8" w:rsidRPr="00EB26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17BAD" w14:textId="77777777" w:rsidR="00401F74" w:rsidRDefault="00401F74" w:rsidP="00EB2688">
      <w:r>
        <w:separator/>
      </w:r>
    </w:p>
  </w:endnote>
  <w:endnote w:type="continuationSeparator" w:id="0">
    <w:p w14:paraId="783811F6" w14:textId="77777777" w:rsidR="00401F74" w:rsidRDefault="00401F74" w:rsidP="00EB2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Janson Text LT">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JansonText LT">
    <w:altName w:val="宋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EF0FB" w14:textId="77777777" w:rsidR="00401F74" w:rsidRDefault="00401F74" w:rsidP="00EB2688">
      <w:r>
        <w:separator/>
      </w:r>
    </w:p>
  </w:footnote>
  <w:footnote w:type="continuationSeparator" w:id="0">
    <w:p w14:paraId="40FC44CB" w14:textId="77777777" w:rsidR="00401F74" w:rsidRDefault="00401F74" w:rsidP="00EB26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F8"/>
    <w:rsid w:val="00401F74"/>
    <w:rsid w:val="007859F8"/>
    <w:rsid w:val="00EB2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7B4D66-CD63-4053-8595-65C840B0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26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268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B2688"/>
    <w:rPr>
      <w:sz w:val="18"/>
      <w:szCs w:val="18"/>
    </w:rPr>
  </w:style>
  <w:style w:type="paragraph" w:styleId="a5">
    <w:name w:val="footer"/>
    <w:basedOn w:val="a"/>
    <w:link w:val="a6"/>
    <w:uiPriority w:val="99"/>
    <w:unhideWhenUsed/>
    <w:rsid w:val="00EB2688"/>
    <w:pPr>
      <w:tabs>
        <w:tab w:val="center" w:pos="4153"/>
        <w:tab w:val="right" w:pos="8306"/>
      </w:tabs>
      <w:snapToGrid w:val="0"/>
      <w:jc w:val="left"/>
    </w:pPr>
    <w:rPr>
      <w:sz w:val="18"/>
      <w:szCs w:val="18"/>
    </w:rPr>
  </w:style>
  <w:style w:type="character" w:customStyle="1" w:styleId="a6">
    <w:name w:val="页脚 字符"/>
    <w:basedOn w:val="a0"/>
    <w:link w:val="a5"/>
    <w:uiPriority w:val="99"/>
    <w:rsid w:val="00EB2688"/>
    <w:rPr>
      <w:sz w:val="18"/>
      <w:szCs w:val="18"/>
    </w:rPr>
  </w:style>
  <w:style w:type="character" w:customStyle="1" w:styleId="A11">
    <w:name w:val="A1+1"/>
    <w:uiPriority w:val="99"/>
    <w:rsid w:val="00EB2688"/>
    <w:rPr>
      <w:rFonts w:cs="Janson Text LT"/>
      <w:color w:val="211D1E"/>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Words>
  <Characters>1380</Characters>
  <Application>Microsoft Office Word</Application>
  <DocSecurity>0</DocSecurity>
  <Lines>11</Lines>
  <Paragraphs>3</Paragraphs>
  <ScaleCrop>false</ScaleCrop>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2</cp:revision>
  <dcterms:created xsi:type="dcterms:W3CDTF">2021-06-18T10:57:00Z</dcterms:created>
  <dcterms:modified xsi:type="dcterms:W3CDTF">2021-06-18T10:57:00Z</dcterms:modified>
</cp:coreProperties>
</file>