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BBCB9" w14:textId="024EECF8" w:rsidR="00A60BEF" w:rsidRPr="00487F57" w:rsidRDefault="775F5241" w:rsidP="00A60BEF">
      <w:pPr>
        <w:snapToGrid w:val="0"/>
        <w:spacing w:after="0" w:line="480" w:lineRule="auto"/>
        <w:rPr>
          <w:rFonts w:ascii="Times New Roman" w:hAnsi="Times New Roman" w:cs="Times New Roman"/>
        </w:rPr>
      </w:pPr>
      <w:r w:rsidRPr="775F5241">
        <w:rPr>
          <w:rFonts w:ascii="Times New Roman" w:hAnsi="Times New Roman" w:cs="Times New Roman"/>
        </w:rPr>
        <w:t>Additional File 3: Summary overview of secondary outcome measures for future definitive trial</w:t>
      </w:r>
    </w:p>
    <w:tbl>
      <w:tblPr>
        <w:tblStyle w:val="TableGrid"/>
        <w:tblW w:w="0" w:type="auto"/>
        <w:tblLook w:val="04A0" w:firstRow="1" w:lastRow="0" w:firstColumn="1" w:lastColumn="0" w:noHBand="0" w:noVBand="1"/>
      </w:tblPr>
      <w:tblGrid>
        <w:gridCol w:w="9350"/>
      </w:tblGrid>
      <w:tr w:rsidR="00A60BEF" w:rsidRPr="00487F57" w14:paraId="692EDB38" w14:textId="77777777" w:rsidTr="008B49E5">
        <w:tc>
          <w:tcPr>
            <w:tcW w:w="9350" w:type="dxa"/>
          </w:tcPr>
          <w:p w14:paraId="4D23B157" w14:textId="77777777" w:rsidR="00A60BEF" w:rsidRPr="00487F57" w:rsidRDefault="00A60BEF" w:rsidP="008B49E5">
            <w:pPr>
              <w:snapToGrid w:val="0"/>
              <w:rPr>
                <w:rFonts w:ascii="Times New Roman" w:hAnsi="Times New Roman" w:cs="Times New Roman"/>
                <w:b/>
                <w:bCs/>
              </w:rPr>
            </w:pPr>
            <w:r w:rsidRPr="00487F57">
              <w:rPr>
                <w:rFonts w:ascii="Times New Roman" w:hAnsi="Times New Roman" w:cs="Times New Roman"/>
                <w:b/>
                <w:bCs/>
              </w:rPr>
              <w:t>People with dementia: Data collected at baseline, post-discharge Week 6 and post-discharge Week 12</w:t>
            </w:r>
          </w:p>
          <w:p w14:paraId="6D572FEB" w14:textId="548F5AB3" w:rsidR="00A60BEF" w:rsidRPr="00487F57" w:rsidRDefault="00A60BEF" w:rsidP="008B49E5">
            <w:pPr>
              <w:snapToGrid w:val="0"/>
              <w:ind w:left="342"/>
              <w:rPr>
                <w:rFonts w:ascii="Times New Roman" w:hAnsi="Times New Roman" w:cs="Times New Roman"/>
              </w:rPr>
            </w:pPr>
            <w:r w:rsidRPr="00487F57">
              <w:rPr>
                <w:rFonts w:ascii="Times New Roman" w:hAnsi="Times New Roman" w:cs="Times New Roman"/>
                <w:b/>
                <w:bCs/>
              </w:rPr>
              <w:t>Quality of Life in Alzheimer’s Disease (QoL-AD)</w:t>
            </w:r>
            <w:r>
              <w:rPr>
                <w:rFonts w:ascii="Times New Roman" w:hAnsi="Times New Roman" w:cs="Times New Roman"/>
                <w:b/>
                <w:bCs/>
              </w:rPr>
              <w:t xml:space="preserve"> [41, 42]</w:t>
            </w:r>
            <w:r w:rsidRPr="00487F57">
              <w:rPr>
                <w:rFonts w:ascii="Times New Roman" w:hAnsi="Times New Roman" w:cs="Times New Roman"/>
                <w:b/>
                <w:bCs/>
              </w:rPr>
              <w:t>:</w:t>
            </w:r>
            <w:r w:rsidRPr="00487F57">
              <w:rPr>
                <w:rFonts w:ascii="Times New Roman" w:hAnsi="Times New Roman" w:cs="Times New Roman"/>
              </w:rPr>
              <w:t xml:space="preserve"> The Quality of Life in Alzheimer’s Disease (QoL-AD), developed by Logsdon et al. consists of 13 items assessing various aspects of well-being, including physical health, energy, mood, living situation, memory, family relationships, marriage, friendships, self-perception, ability to complete household tasks, engagement in enjoyable activities, financial situation, and overall life satisfaction. Responses are rated on a four-point scale: 1 (poor), 2 (fair), 3 (good), and 4 (excellent), with total scores ranging from 13 to 52, where higher scores reflect better quality of life. The scale demonstrates strong internal consistency, with a Cronbach’s alpha of 0.74 for the patient version and 0.86 for the caregiver version. </w:t>
            </w:r>
          </w:p>
          <w:p w14:paraId="44D637FE" w14:textId="77777777" w:rsidR="00A60BEF" w:rsidRPr="00487F57" w:rsidRDefault="00A60BEF" w:rsidP="008B49E5">
            <w:pPr>
              <w:snapToGrid w:val="0"/>
              <w:ind w:left="342"/>
              <w:rPr>
                <w:rFonts w:ascii="Times New Roman" w:hAnsi="Times New Roman" w:cs="Times New Roman"/>
              </w:rPr>
            </w:pPr>
            <w:r w:rsidRPr="00487F57">
              <w:rPr>
                <w:rFonts w:ascii="Times New Roman" w:hAnsi="Times New Roman" w:cs="Times New Roman"/>
                <w:b/>
                <w:bCs/>
              </w:rPr>
              <w:t>30- and 90- day hospital and emergency department (ED) readmissions reported by the caregiver:</w:t>
            </w:r>
            <w:r w:rsidRPr="00487F57">
              <w:rPr>
                <w:rFonts w:ascii="Times New Roman" w:hAnsi="Times New Roman" w:cs="Times New Roman"/>
              </w:rPr>
              <w:t xml:space="preserve"> This will be reported by the caregiver participant.  Caregivers will be asked how many times the person with dementia was admitted to a hospital or emergency department since the initial discharge from the hospital at 6 post-discharge Week 6 and how many times the person with dementia was admitted to a hospital or emergency department since the last interview (post-discharge Week 6) at post-discharge Week 12. </w:t>
            </w:r>
          </w:p>
        </w:tc>
      </w:tr>
      <w:tr w:rsidR="00A60BEF" w:rsidRPr="00487F57" w14:paraId="72E7C202" w14:textId="77777777" w:rsidTr="008B49E5">
        <w:tc>
          <w:tcPr>
            <w:tcW w:w="9350" w:type="dxa"/>
          </w:tcPr>
          <w:p w14:paraId="459CEC47" w14:textId="77777777" w:rsidR="00A60BEF" w:rsidRPr="00487F57" w:rsidRDefault="00A60BEF" w:rsidP="008B49E5">
            <w:pPr>
              <w:snapToGrid w:val="0"/>
              <w:rPr>
                <w:rFonts w:ascii="Times New Roman" w:hAnsi="Times New Roman" w:cs="Times New Roman"/>
                <w:b/>
                <w:bCs/>
              </w:rPr>
            </w:pPr>
            <w:r w:rsidRPr="00487F57">
              <w:rPr>
                <w:rFonts w:ascii="Times New Roman" w:hAnsi="Times New Roman" w:cs="Times New Roman"/>
                <w:b/>
                <w:bCs/>
              </w:rPr>
              <w:t>Caregivers: Data collected at baseline, post-discharge Week 6 and post-discharge Week 12</w:t>
            </w:r>
          </w:p>
          <w:p w14:paraId="30214014" w14:textId="5634DB5A" w:rsidR="00A60BEF" w:rsidRPr="00487F57" w:rsidRDefault="00A60BEF" w:rsidP="008B49E5">
            <w:pPr>
              <w:snapToGrid w:val="0"/>
              <w:ind w:left="342"/>
              <w:rPr>
                <w:rFonts w:ascii="Times New Roman" w:hAnsi="Times New Roman" w:cs="Times New Roman"/>
              </w:rPr>
            </w:pPr>
            <w:proofErr w:type="spellStart"/>
            <w:r w:rsidRPr="00487F57">
              <w:rPr>
                <w:rFonts w:ascii="Times New Roman" w:hAnsi="Times New Roman" w:cs="Times New Roman"/>
                <w:b/>
                <w:bCs/>
              </w:rPr>
              <w:t>Zarit</w:t>
            </w:r>
            <w:proofErr w:type="spellEnd"/>
            <w:r w:rsidRPr="00487F57">
              <w:rPr>
                <w:rFonts w:ascii="Times New Roman" w:hAnsi="Times New Roman" w:cs="Times New Roman"/>
                <w:b/>
                <w:bCs/>
              </w:rPr>
              <w:t xml:space="preserve"> Burden Interview-4 (4 item)</w:t>
            </w:r>
            <w:r>
              <w:rPr>
                <w:rFonts w:ascii="Times New Roman" w:hAnsi="Times New Roman" w:cs="Times New Roman"/>
                <w:b/>
                <w:bCs/>
              </w:rPr>
              <w:t xml:space="preserve"> [43]</w:t>
            </w:r>
            <w:r w:rsidRPr="00487F57">
              <w:rPr>
                <w:rFonts w:ascii="Times New Roman" w:hAnsi="Times New Roman" w:cs="Times New Roman"/>
                <w:b/>
                <w:bCs/>
              </w:rPr>
              <w:t>:</w:t>
            </w:r>
            <w:r w:rsidRPr="00487F57">
              <w:rPr>
                <w:rFonts w:ascii="Times New Roman" w:hAnsi="Times New Roman" w:cs="Times New Roman"/>
              </w:rPr>
              <w:t xml:space="preserve"> The </w:t>
            </w:r>
            <w:proofErr w:type="spellStart"/>
            <w:r w:rsidRPr="00487F57">
              <w:rPr>
                <w:rFonts w:ascii="Times New Roman" w:hAnsi="Times New Roman" w:cs="Times New Roman"/>
              </w:rPr>
              <w:t>Zarit</w:t>
            </w:r>
            <w:proofErr w:type="spellEnd"/>
            <w:r w:rsidRPr="00487F57">
              <w:rPr>
                <w:rFonts w:ascii="Times New Roman" w:hAnsi="Times New Roman" w:cs="Times New Roman"/>
              </w:rPr>
              <w:t xml:space="preserve"> Burden Interview–4 (ZBI-4) is a brief, four-item screening tool designed to assess caregiver burden among those providing care for individuals with cognitive impairment. Developed as a condensed version of the full 22-item </w:t>
            </w:r>
            <w:proofErr w:type="spellStart"/>
            <w:r w:rsidRPr="00487F57">
              <w:rPr>
                <w:rFonts w:ascii="Times New Roman" w:hAnsi="Times New Roman" w:cs="Times New Roman"/>
              </w:rPr>
              <w:t>Zarit</w:t>
            </w:r>
            <w:proofErr w:type="spellEnd"/>
            <w:r w:rsidRPr="00487F57">
              <w:rPr>
                <w:rFonts w:ascii="Times New Roman" w:hAnsi="Times New Roman" w:cs="Times New Roman"/>
              </w:rPr>
              <w:t xml:space="preserve"> Burden Interview, the ZBI-4 was designed for efficient administration while maintaining strong psychometric properties. The four selected items assess key aspects of caregiver stress, including time constraints, personal strain, emotional burden, and uncertainty about caregiving decisions. Responses are rated on a five-point scale, ranging from 0 (never) to 4 (nearly always), with higher scores indicating greater caregiver burden. The ZBI-4 demonstrates high correlation with the full version (r = 0.83–0.93), suggesting strong criterion validity, and has an internal consistency reliability of α = 0.78 </w:t>
            </w:r>
          </w:p>
          <w:p w14:paraId="06A40268" w14:textId="429F6F88" w:rsidR="00A60BEF" w:rsidRPr="00487F57" w:rsidRDefault="00A60BEF" w:rsidP="008B49E5">
            <w:pPr>
              <w:snapToGrid w:val="0"/>
              <w:ind w:left="342"/>
              <w:rPr>
                <w:rFonts w:ascii="Times New Roman" w:hAnsi="Times New Roman" w:cs="Times New Roman"/>
              </w:rPr>
            </w:pPr>
            <w:r w:rsidRPr="00487F57">
              <w:rPr>
                <w:rFonts w:ascii="Times New Roman" w:hAnsi="Times New Roman" w:cs="Times New Roman"/>
                <w:b/>
                <w:bCs/>
              </w:rPr>
              <w:t>Caregiver Outcomes of Psychotherapy Evaluation (COPE)</w:t>
            </w:r>
            <w:r>
              <w:rPr>
                <w:rFonts w:ascii="Times New Roman" w:hAnsi="Times New Roman" w:cs="Times New Roman"/>
                <w:b/>
                <w:bCs/>
              </w:rPr>
              <w:t xml:space="preserve"> [44]</w:t>
            </w:r>
            <w:r w:rsidRPr="00487F57">
              <w:rPr>
                <w:rFonts w:ascii="Times New Roman" w:hAnsi="Times New Roman" w:cs="Times New Roman"/>
                <w:b/>
                <w:bCs/>
              </w:rPr>
              <w:t>:</w:t>
            </w:r>
            <w:r w:rsidRPr="00487F57">
              <w:rPr>
                <w:rFonts w:ascii="Times New Roman" w:hAnsi="Times New Roman" w:cs="Times New Roman"/>
              </w:rPr>
              <w:t xml:space="preserve"> The Caregiver Outcomes of Psychotherapy Evaluation (COPE) is an eight-item assessment tool designed to evaluate the psychosocial well-being and sense of efficacy of caregivers providing care for individuals with Alzheimer’s disease and related dementias (ADRD). Developed as a pre- and post-intervention measure for social work psychotherapy, COPE assesses key caregiving domains, including dementia knowledge, confidence in caregiving skills, communication strategies, emotional well-being, social support, future planning, life </w:t>
            </w:r>
            <w:r w:rsidRPr="00487F57">
              <w:rPr>
                <w:rFonts w:ascii="Times New Roman" w:hAnsi="Times New Roman" w:cs="Times New Roman"/>
              </w:rPr>
              <w:lastRenderedPageBreak/>
              <w:t xml:space="preserve">enjoyment, and confidence in facing caregiving challenges. Responses are rated on a five-point Likert scale (1 = strongly agree, 5 = strongly disagree), with total scores ranging from 8 to 40, where lower scores indicate better caregiver well-being. The COPE has demonstrated adequate internal consistency (Cronbach’s alpha = 0.73) and convergent validity with measures of caregiver burden (r = 0.37, p &lt; .05)​ </w:t>
            </w:r>
          </w:p>
          <w:p w14:paraId="5CFCF9AA" w14:textId="4FC7A83A" w:rsidR="00A60BEF" w:rsidRPr="00487F57" w:rsidRDefault="00A60BEF" w:rsidP="008B49E5">
            <w:pPr>
              <w:snapToGrid w:val="0"/>
              <w:ind w:left="342"/>
              <w:rPr>
                <w:rFonts w:ascii="Times New Roman" w:hAnsi="Times New Roman" w:cs="Times New Roman"/>
              </w:rPr>
            </w:pPr>
            <w:r w:rsidRPr="00487F57">
              <w:rPr>
                <w:rFonts w:ascii="Times New Roman" w:hAnsi="Times New Roman" w:cs="Times New Roman"/>
                <w:b/>
                <w:bCs/>
              </w:rPr>
              <w:t>Family Caregiver Activation in Transitions (FCAT)</w:t>
            </w:r>
            <w:r>
              <w:rPr>
                <w:rFonts w:ascii="Times New Roman" w:hAnsi="Times New Roman" w:cs="Times New Roman"/>
                <w:b/>
                <w:bCs/>
              </w:rPr>
              <w:t xml:space="preserve"> [45]</w:t>
            </w:r>
            <w:r w:rsidRPr="00487F57">
              <w:rPr>
                <w:rFonts w:ascii="Times New Roman" w:hAnsi="Times New Roman" w:cs="Times New Roman"/>
                <w:b/>
                <w:bCs/>
              </w:rPr>
              <w:t>:</w:t>
            </w:r>
            <w:r w:rsidRPr="00487F57">
              <w:rPr>
                <w:rFonts w:ascii="Times New Roman" w:hAnsi="Times New Roman" w:cs="Times New Roman"/>
              </w:rPr>
              <w:t xml:space="preserve"> The Family Caregiver Activation in Transitions (FCAT) is a 10-item tool designed to assess the self-efficacy of family caregivers during care transitions. Developed as part of the Care Transitions Intervention, the FCAT identifies caregiver preparedness and confidence in managing post-discharge care tasks, such as medication management, follow-up care coordination, and understanding care plans. Responses are rated on a scale indicating levels of agreement with caregiving challenges, allowing healthcare providers to tailor discharge planning and support services accordingly. The FCAT was validated through a three-phase study, including cognitive testing, pilot testing, and psychometric evaluation in a national sample. It demonstrates high reliability (person-separation reliability = 0.84</w:t>
            </w:r>
            <w:proofErr w:type="gramStart"/>
            <w:r w:rsidRPr="00487F57">
              <w:rPr>
                <w:rFonts w:ascii="Times New Roman" w:hAnsi="Times New Roman" w:cs="Times New Roman"/>
              </w:rPr>
              <w:t>)</w:t>
            </w:r>
            <w:proofErr w:type="gramEnd"/>
            <w:r w:rsidRPr="00487F57">
              <w:rPr>
                <w:rFonts w:ascii="Times New Roman" w:hAnsi="Times New Roman" w:cs="Times New Roman"/>
              </w:rPr>
              <w:t xml:space="preserve"> and strong item validity based on Rasch model analyses​.</w:t>
            </w:r>
          </w:p>
          <w:p w14:paraId="7002DD33" w14:textId="797AFD6D" w:rsidR="00A60BEF" w:rsidRPr="00487F57" w:rsidRDefault="00A60BEF" w:rsidP="008B49E5">
            <w:pPr>
              <w:snapToGrid w:val="0"/>
              <w:ind w:left="342"/>
              <w:rPr>
                <w:rFonts w:ascii="Times New Roman" w:hAnsi="Times New Roman" w:cs="Times New Roman"/>
              </w:rPr>
            </w:pPr>
            <w:r w:rsidRPr="00487F57">
              <w:rPr>
                <w:rFonts w:ascii="Times New Roman" w:hAnsi="Times New Roman" w:cs="Times New Roman"/>
                <w:b/>
                <w:bCs/>
              </w:rPr>
              <w:t>Post-discharge compliance:</w:t>
            </w:r>
            <w:r w:rsidRPr="00487F57">
              <w:rPr>
                <w:rFonts w:ascii="Times New Roman" w:hAnsi="Times New Roman" w:cs="Times New Roman"/>
              </w:rPr>
              <w:t xml:space="preserve"> We adapted items from Albrecht et </w:t>
            </w:r>
            <w:proofErr w:type="spellStart"/>
            <w:r w:rsidRPr="00487F57">
              <w:rPr>
                <w:rFonts w:ascii="Times New Roman" w:hAnsi="Times New Roman" w:cs="Times New Roman"/>
              </w:rPr>
              <w:t>al’s</w:t>
            </w:r>
            <w:proofErr w:type="spellEnd"/>
            <w:r w:rsidRPr="00487F57">
              <w:rPr>
                <w:rFonts w:ascii="Times New Roman" w:hAnsi="Times New Roman" w:cs="Times New Roman"/>
              </w:rPr>
              <w:t xml:space="preserve"> discharge instruction comprehension measure about medications, follow-up appointments, diet, and exercise to evaluate adherence to hospital discharge instructions among persons living with dementia (PLWD) and their caregivers</w:t>
            </w:r>
            <w:r>
              <w:rPr>
                <w:rFonts w:ascii="Times New Roman" w:hAnsi="Times New Roman" w:cs="Times New Roman"/>
              </w:rPr>
              <w:t xml:space="preserve"> [46]</w:t>
            </w:r>
            <w:r w:rsidRPr="00487F57">
              <w:rPr>
                <w:rFonts w:ascii="Times New Roman" w:hAnsi="Times New Roman" w:cs="Times New Roman"/>
              </w:rPr>
              <w:t>. Specifically, we will assess compliance with medication adherence, follow-up appointment attendance, dietary compliance, and exercise participation by comparing self-reported adherence with documented discharge instructions across these four domains. In this study, follow-up compliance questions will only be asked of participants who report receiving instructions in a specific domain. For example, if a participant indicates they did not receive dietary guidance, they will not be assessed for diet compliance. Compliance measures will be based on caregiver’s report.</w:t>
            </w:r>
          </w:p>
          <w:p w14:paraId="38ECE3B1" w14:textId="77777777" w:rsidR="00A60BEF" w:rsidRPr="00487F57" w:rsidRDefault="00A60BEF" w:rsidP="008B49E5">
            <w:pPr>
              <w:snapToGrid w:val="0"/>
              <w:rPr>
                <w:rFonts w:ascii="Times New Roman" w:hAnsi="Times New Roman" w:cs="Times New Roman"/>
              </w:rPr>
            </w:pPr>
          </w:p>
        </w:tc>
      </w:tr>
    </w:tbl>
    <w:p w14:paraId="6B653FF3" w14:textId="77777777" w:rsidR="00863F8D" w:rsidRDefault="00863F8D"/>
    <w:sectPr w:rsidR="00863F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BEF"/>
    <w:rsid w:val="00863F8D"/>
    <w:rsid w:val="00871E75"/>
    <w:rsid w:val="00882C2C"/>
    <w:rsid w:val="00A60BEF"/>
    <w:rsid w:val="00DC4930"/>
    <w:rsid w:val="00F0228F"/>
    <w:rsid w:val="00FD3D28"/>
    <w:rsid w:val="775F524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6B441"/>
  <w15:chartTrackingRefBased/>
  <w15:docId w15:val="{6C59FD73-19E9-514B-8805-E580BD881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0BEF"/>
    <w:pPr>
      <w:spacing w:after="160" w:line="278" w:lineRule="auto"/>
    </w:pPr>
    <w:rPr>
      <w:rFonts w:eastAsiaTheme="minorEastAsia"/>
      <w:kern w:val="2"/>
      <w:lang w:eastAsia="ko-KR"/>
      <w14:ligatures w14:val="standardContextual"/>
    </w:rPr>
  </w:style>
  <w:style w:type="paragraph" w:styleId="Heading1">
    <w:name w:val="heading 1"/>
    <w:basedOn w:val="Normal"/>
    <w:next w:val="Normal"/>
    <w:link w:val="Heading1Char"/>
    <w:uiPriority w:val="9"/>
    <w:qFormat/>
    <w:rsid w:val="00A60BEF"/>
    <w:pPr>
      <w:keepNext/>
      <w:keepLines/>
      <w:spacing w:before="360" w:after="80" w:line="240" w:lineRule="auto"/>
      <w:outlineLvl w:val="0"/>
    </w:pPr>
    <w:rPr>
      <w:rFonts w:asciiTheme="majorHAnsi" w:eastAsiaTheme="majorEastAsia" w:hAnsiTheme="majorHAnsi" w:cstheme="majorBidi"/>
      <w:color w:val="0F4761" w:themeColor="accent1" w:themeShade="BF"/>
      <w:kern w:val="0"/>
      <w:sz w:val="40"/>
      <w:szCs w:val="40"/>
      <w:lang w:eastAsia="en-US"/>
      <w14:ligatures w14:val="none"/>
    </w:rPr>
  </w:style>
  <w:style w:type="paragraph" w:styleId="Heading2">
    <w:name w:val="heading 2"/>
    <w:basedOn w:val="Normal"/>
    <w:next w:val="Normal"/>
    <w:link w:val="Heading2Char"/>
    <w:uiPriority w:val="9"/>
    <w:semiHidden/>
    <w:unhideWhenUsed/>
    <w:qFormat/>
    <w:rsid w:val="00A60BEF"/>
    <w:pPr>
      <w:keepNext/>
      <w:keepLines/>
      <w:spacing w:before="160" w:after="80" w:line="240" w:lineRule="auto"/>
      <w:outlineLvl w:val="1"/>
    </w:pPr>
    <w:rPr>
      <w:rFonts w:asciiTheme="majorHAnsi" w:eastAsiaTheme="majorEastAsia" w:hAnsiTheme="majorHAnsi" w:cstheme="majorBidi"/>
      <w:color w:val="0F4761" w:themeColor="accent1" w:themeShade="BF"/>
      <w:kern w:val="0"/>
      <w:sz w:val="32"/>
      <w:szCs w:val="32"/>
      <w:lang w:eastAsia="en-US"/>
      <w14:ligatures w14:val="none"/>
    </w:rPr>
  </w:style>
  <w:style w:type="paragraph" w:styleId="Heading3">
    <w:name w:val="heading 3"/>
    <w:basedOn w:val="Normal"/>
    <w:next w:val="Normal"/>
    <w:link w:val="Heading3Char"/>
    <w:uiPriority w:val="9"/>
    <w:semiHidden/>
    <w:unhideWhenUsed/>
    <w:qFormat/>
    <w:rsid w:val="00A60BEF"/>
    <w:pPr>
      <w:keepNext/>
      <w:keepLines/>
      <w:spacing w:before="160" w:after="80" w:line="240" w:lineRule="auto"/>
      <w:outlineLvl w:val="2"/>
    </w:pPr>
    <w:rPr>
      <w:rFonts w:eastAsiaTheme="majorEastAsia" w:cstheme="majorBidi"/>
      <w:color w:val="0F4761" w:themeColor="accent1" w:themeShade="BF"/>
      <w:kern w:val="0"/>
      <w:sz w:val="28"/>
      <w:szCs w:val="28"/>
      <w:lang w:eastAsia="en-US"/>
      <w14:ligatures w14:val="none"/>
    </w:rPr>
  </w:style>
  <w:style w:type="paragraph" w:styleId="Heading4">
    <w:name w:val="heading 4"/>
    <w:basedOn w:val="Normal"/>
    <w:next w:val="Normal"/>
    <w:link w:val="Heading4Char"/>
    <w:uiPriority w:val="9"/>
    <w:semiHidden/>
    <w:unhideWhenUsed/>
    <w:qFormat/>
    <w:rsid w:val="00A60BEF"/>
    <w:pPr>
      <w:keepNext/>
      <w:keepLines/>
      <w:spacing w:before="80" w:after="40" w:line="240" w:lineRule="auto"/>
      <w:outlineLvl w:val="3"/>
    </w:pPr>
    <w:rPr>
      <w:rFonts w:eastAsiaTheme="majorEastAsia" w:cstheme="majorBidi"/>
      <w:i/>
      <w:iCs/>
      <w:color w:val="0F4761" w:themeColor="accent1" w:themeShade="BF"/>
      <w:kern w:val="0"/>
      <w:lang w:eastAsia="en-US"/>
      <w14:ligatures w14:val="none"/>
    </w:rPr>
  </w:style>
  <w:style w:type="paragraph" w:styleId="Heading5">
    <w:name w:val="heading 5"/>
    <w:basedOn w:val="Normal"/>
    <w:next w:val="Normal"/>
    <w:link w:val="Heading5Char"/>
    <w:uiPriority w:val="9"/>
    <w:semiHidden/>
    <w:unhideWhenUsed/>
    <w:qFormat/>
    <w:rsid w:val="00A60BEF"/>
    <w:pPr>
      <w:keepNext/>
      <w:keepLines/>
      <w:spacing w:before="80" w:after="40" w:line="240" w:lineRule="auto"/>
      <w:outlineLvl w:val="4"/>
    </w:pPr>
    <w:rPr>
      <w:rFonts w:eastAsiaTheme="majorEastAsia" w:cstheme="majorBidi"/>
      <w:color w:val="0F4761" w:themeColor="accent1" w:themeShade="BF"/>
      <w:kern w:val="0"/>
      <w:lang w:eastAsia="en-US"/>
      <w14:ligatures w14:val="none"/>
    </w:rPr>
  </w:style>
  <w:style w:type="paragraph" w:styleId="Heading6">
    <w:name w:val="heading 6"/>
    <w:basedOn w:val="Normal"/>
    <w:next w:val="Normal"/>
    <w:link w:val="Heading6Char"/>
    <w:uiPriority w:val="9"/>
    <w:semiHidden/>
    <w:unhideWhenUsed/>
    <w:qFormat/>
    <w:rsid w:val="00A60BEF"/>
    <w:pPr>
      <w:keepNext/>
      <w:keepLines/>
      <w:spacing w:before="40" w:after="0" w:line="240" w:lineRule="auto"/>
      <w:outlineLvl w:val="5"/>
    </w:pPr>
    <w:rPr>
      <w:rFonts w:eastAsiaTheme="majorEastAsia" w:cstheme="majorBidi"/>
      <w:i/>
      <w:iCs/>
      <w:color w:val="595959" w:themeColor="text1" w:themeTint="A6"/>
      <w:kern w:val="0"/>
      <w:lang w:eastAsia="en-US"/>
      <w14:ligatures w14:val="none"/>
    </w:rPr>
  </w:style>
  <w:style w:type="paragraph" w:styleId="Heading7">
    <w:name w:val="heading 7"/>
    <w:basedOn w:val="Normal"/>
    <w:next w:val="Normal"/>
    <w:link w:val="Heading7Char"/>
    <w:uiPriority w:val="9"/>
    <w:semiHidden/>
    <w:unhideWhenUsed/>
    <w:qFormat/>
    <w:rsid w:val="00A60BEF"/>
    <w:pPr>
      <w:keepNext/>
      <w:keepLines/>
      <w:spacing w:before="40" w:after="0" w:line="240" w:lineRule="auto"/>
      <w:outlineLvl w:val="6"/>
    </w:pPr>
    <w:rPr>
      <w:rFonts w:eastAsiaTheme="majorEastAsia" w:cstheme="majorBidi"/>
      <w:color w:val="595959" w:themeColor="text1" w:themeTint="A6"/>
      <w:kern w:val="0"/>
      <w:lang w:eastAsia="en-US"/>
      <w14:ligatures w14:val="none"/>
    </w:rPr>
  </w:style>
  <w:style w:type="paragraph" w:styleId="Heading8">
    <w:name w:val="heading 8"/>
    <w:basedOn w:val="Normal"/>
    <w:next w:val="Normal"/>
    <w:link w:val="Heading8Char"/>
    <w:uiPriority w:val="9"/>
    <w:semiHidden/>
    <w:unhideWhenUsed/>
    <w:qFormat/>
    <w:rsid w:val="00A60BEF"/>
    <w:pPr>
      <w:keepNext/>
      <w:keepLines/>
      <w:spacing w:after="0" w:line="240" w:lineRule="auto"/>
      <w:outlineLvl w:val="7"/>
    </w:pPr>
    <w:rPr>
      <w:rFonts w:eastAsiaTheme="majorEastAsia" w:cstheme="majorBidi"/>
      <w:i/>
      <w:iCs/>
      <w:color w:val="272727" w:themeColor="text1" w:themeTint="D8"/>
      <w:kern w:val="0"/>
      <w:lang w:eastAsia="en-US"/>
      <w14:ligatures w14:val="none"/>
    </w:rPr>
  </w:style>
  <w:style w:type="paragraph" w:styleId="Heading9">
    <w:name w:val="heading 9"/>
    <w:basedOn w:val="Normal"/>
    <w:next w:val="Normal"/>
    <w:link w:val="Heading9Char"/>
    <w:uiPriority w:val="9"/>
    <w:semiHidden/>
    <w:unhideWhenUsed/>
    <w:qFormat/>
    <w:rsid w:val="00A60BEF"/>
    <w:pPr>
      <w:keepNext/>
      <w:keepLines/>
      <w:spacing w:after="0" w:line="240" w:lineRule="auto"/>
      <w:outlineLvl w:val="8"/>
    </w:pPr>
    <w:rPr>
      <w:rFonts w:eastAsiaTheme="majorEastAsia" w:cstheme="majorBidi"/>
      <w:color w:val="272727" w:themeColor="text1" w:themeTint="D8"/>
      <w:kern w:val="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0B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0B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0B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0B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0B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0B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0B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0B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0BEF"/>
    <w:rPr>
      <w:rFonts w:eastAsiaTheme="majorEastAsia" w:cstheme="majorBidi"/>
      <w:color w:val="272727" w:themeColor="text1" w:themeTint="D8"/>
    </w:rPr>
  </w:style>
  <w:style w:type="paragraph" w:styleId="Title">
    <w:name w:val="Title"/>
    <w:basedOn w:val="Normal"/>
    <w:next w:val="Normal"/>
    <w:link w:val="TitleChar"/>
    <w:uiPriority w:val="10"/>
    <w:qFormat/>
    <w:rsid w:val="00A60BEF"/>
    <w:pPr>
      <w:spacing w:after="80" w:line="240" w:lineRule="auto"/>
      <w:contextualSpacing/>
    </w:pPr>
    <w:rPr>
      <w:rFonts w:asciiTheme="majorHAnsi" w:eastAsiaTheme="majorEastAsia" w:hAnsiTheme="majorHAnsi" w:cstheme="majorBidi"/>
      <w:spacing w:val="-10"/>
      <w:kern w:val="28"/>
      <w:sz w:val="56"/>
      <w:szCs w:val="56"/>
      <w:lang w:eastAsia="en-US"/>
      <w14:ligatures w14:val="none"/>
    </w:rPr>
  </w:style>
  <w:style w:type="character" w:customStyle="1" w:styleId="TitleChar">
    <w:name w:val="Title Char"/>
    <w:basedOn w:val="DefaultParagraphFont"/>
    <w:link w:val="Title"/>
    <w:uiPriority w:val="10"/>
    <w:rsid w:val="00A60B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0BEF"/>
    <w:pPr>
      <w:numPr>
        <w:ilvl w:val="1"/>
      </w:numPr>
      <w:spacing w:line="240" w:lineRule="auto"/>
    </w:pPr>
    <w:rPr>
      <w:rFonts w:eastAsiaTheme="majorEastAsia" w:cstheme="majorBidi"/>
      <w:color w:val="595959" w:themeColor="text1" w:themeTint="A6"/>
      <w:spacing w:val="15"/>
      <w:kern w:val="0"/>
      <w:sz w:val="28"/>
      <w:szCs w:val="28"/>
      <w:lang w:eastAsia="en-US"/>
      <w14:ligatures w14:val="none"/>
    </w:rPr>
  </w:style>
  <w:style w:type="character" w:customStyle="1" w:styleId="SubtitleChar">
    <w:name w:val="Subtitle Char"/>
    <w:basedOn w:val="DefaultParagraphFont"/>
    <w:link w:val="Subtitle"/>
    <w:uiPriority w:val="11"/>
    <w:rsid w:val="00A60B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0BEF"/>
    <w:pPr>
      <w:spacing w:before="160" w:line="240" w:lineRule="auto"/>
      <w:jc w:val="center"/>
    </w:pPr>
    <w:rPr>
      <w:rFonts w:eastAsiaTheme="minorHAnsi"/>
      <w:i/>
      <w:iCs/>
      <w:color w:val="404040" w:themeColor="text1" w:themeTint="BF"/>
      <w:kern w:val="0"/>
      <w:lang w:eastAsia="en-US"/>
      <w14:ligatures w14:val="none"/>
    </w:rPr>
  </w:style>
  <w:style w:type="character" w:customStyle="1" w:styleId="QuoteChar">
    <w:name w:val="Quote Char"/>
    <w:basedOn w:val="DefaultParagraphFont"/>
    <w:link w:val="Quote"/>
    <w:uiPriority w:val="29"/>
    <w:rsid w:val="00A60BEF"/>
    <w:rPr>
      <w:i/>
      <w:iCs/>
      <w:color w:val="404040" w:themeColor="text1" w:themeTint="BF"/>
    </w:rPr>
  </w:style>
  <w:style w:type="paragraph" w:styleId="ListParagraph">
    <w:name w:val="List Paragraph"/>
    <w:basedOn w:val="Normal"/>
    <w:uiPriority w:val="34"/>
    <w:qFormat/>
    <w:rsid w:val="00A60BEF"/>
    <w:pPr>
      <w:spacing w:after="0" w:line="240" w:lineRule="auto"/>
      <w:ind w:left="720"/>
      <w:contextualSpacing/>
    </w:pPr>
    <w:rPr>
      <w:rFonts w:eastAsiaTheme="minorHAnsi"/>
      <w:kern w:val="0"/>
      <w:lang w:eastAsia="en-US"/>
      <w14:ligatures w14:val="none"/>
    </w:rPr>
  </w:style>
  <w:style w:type="character" w:styleId="IntenseEmphasis">
    <w:name w:val="Intense Emphasis"/>
    <w:basedOn w:val="DefaultParagraphFont"/>
    <w:uiPriority w:val="21"/>
    <w:qFormat/>
    <w:rsid w:val="00A60BEF"/>
    <w:rPr>
      <w:i/>
      <w:iCs/>
      <w:color w:val="0F4761" w:themeColor="accent1" w:themeShade="BF"/>
    </w:rPr>
  </w:style>
  <w:style w:type="paragraph" w:styleId="IntenseQuote">
    <w:name w:val="Intense Quote"/>
    <w:basedOn w:val="Normal"/>
    <w:next w:val="Normal"/>
    <w:link w:val="IntenseQuoteChar"/>
    <w:uiPriority w:val="30"/>
    <w:qFormat/>
    <w:rsid w:val="00A60BEF"/>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eastAsiaTheme="minorHAnsi"/>
      <w:i/>
      <w:iCs/>
      <w:color w:val="0F4761" w:themeColor="accent1" w:themeShade="BF"/>
      <w:kern w:val="0"/>
      <w:lang w:eastAsia="en-US"/>
      <w14:ligatures w14:val="none"/>
    </w:rPr>
  </w:style>
  <w:style w:type="character" w:customStyle="1" w:styleId="IntenseQuoteChar">
    <w:name w:val="Intense Quote Char"/>
    <w:basedOn w:val="DefaultParagraphFont"/>
    <w:link w:val="IntenseQuote"/>
    <w:uiPriority w:val="30"/>
    <w:rsid w:val="00A60BEF"/>
    <w:rPr>
      <w:i/>
      <w:iCs/>
      <w:color w:val="0F4761" w:themeColor="accent1" w:themeShade="BF"/>
    </w:rPr>
  </w:style>
  <w:style w:type="character" w:styleId="IntenseReference">
    <w:name w:val="Intense Reference"/>
    <w:basedOn w:val="DefaultParagraphFont"/>
    <w:uiPriority w:val="32"/>
    <w:qFormat/>
    <w:rsid w:val="00A60BEF"/>
    <w:rPr>
      <w:b/>
      <w:bCs/>
      <w:smallCaps/>
      <w:color w:val="0F4761" w:themeColor="accent1" w:themeShade="BF"/>
      <w:spacing w:val="5"/>
    </w:rPr>
  </w:style>
  <w:style w:type="table" w:styleId="TableGrid">
    <w:name w:val="Table Grid"/>
    <w:basedOn w:val="TableNormal"/>
    <w:uiPriority w:val="39"/>
    <w:rsid w:val="00A60BEF"/>
    <w:rPr>
      <w:rFonts w:eastAsiaTheme="minorEastAsia"/>
      <w:kern w:val="2"/>
      <w:lang w:eastAsia="ko-K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0BEF"/>
    <w:rPr>
      <w:color w:val="467886" w:themeColor="hyperlink"/>
      <w:u w:val="single"/>
    </w:rPr>
  </w:style>
  <w:style w:type="paragraph" w:styleId="CommentText">
    <w:name w:val="annotation text"/>
    <w:basedOn w:val="Normal"/>
    <w:link w:val="CommentTextChar"/>
    <w:uiPriority w:val="99"/>
    <w:unhideWhenUsed/>
    <w:rsid w:val="00A60BEF"/>
    <w:pPr>
      <w:spacing w:before="120" w:after="120" w:line="240" w:lineRule="auto"/>
    </w:pPr>
    <w:rPr>
      <w:sz w:val="20"/>
      <w:szCs w:val="20"/>
    </w:rPr>
  </w:style>
  <w:style w:type="character" w:customStyle="1" w:styleId="CommentTextChar">
    <w:name w:val="Comment Text Char"/>
    <w:basedOn w:val="DefaultParagraphFont"/>
    <w:link w:val="CommentText"/>
    <w:uiPriority w:val="99"/>
    <w:rsid w:val="00A60BEF"/>
    <w:rPr>
      <w:rFonts w:eastAsiaTheme="minorEastAsia"/>
      <w:kern w:val="2"/>
      <w:sz w:val="20"/>
      <w:szCs w:val="20"/>
      <w:lang w:eastAsia="ko-KR"/>
      <w14:ligatures w14:val="standardContextual"/>
    </w:rPr>
  </w:style>
  <w:style w:type="character" w:styleId="CommentReference">
    <w:name w:val="annotation reference"/>
    <w:basedOn w:val="DefaultParagraphFont"/>
    <w:uiPriority w:val="99"/>
    <w:semiHidden/>
    <w:unhideWhenUsed/>
    <w:rsid w:val="00A60BE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783</Words>
  <Characters>4468</Characters>
  <Application>Microsoft Office Word</Application>
  <DocSecurity>0</DocSecurity>
  <Lines>37</Lines>
  <Paragraphs>10</Paragraphs>
  <ScaleCrop>false</ScaleCrop>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Jafari, Aveen G</dc:creator>
  <cp:keywords/>
  <dc:description/>
  <cp:lastModifiedBy>Kwak, Jung</cp:lastModifiedBy>
  <cp:revision>3</cp:revision>
  <dcterms:created xsi:type="dcterms:W3CDTF">2025-04-02T14:48:00Z</dcterms:created>
  <dcterms:modified xsi:type="dcterms:W3CDTF">2025-04-04T19:17:00Z</dcterms:modified>
</cp:coreProperties>
</file>