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2838"/>
        <w:gridCol w:w="2279"/>
        <w:gridCol w:w="1018"/>
      </w:tblGrid>
      <w:tr w14:paraId="5E00B03A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bottom w:val="single" w:color="auto" w:sz="6" w:space="0"/>
              <w:tl2br w:val="nil"/>
              <w:tr2bl w:val="nil"/>
            </w:tcBorders>
            <w:vAlign w:val="top"/>
          </w:tcPr>
          <w:p w14:paraId="0550C9BB">
            <w:pPr>
              <w:snapToGrid/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 w:eastAsia="zh-CN"/>
              </w:rPr>
              <w:t>TABLE 1. Primary Outcomes at Each Data-Collection Time Point</w:t>
            </w:r>
          </w:p>
        </w:tc>
      </w:tr>
      <w:tr w14:paraId="5280C480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CE8A74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Outcomes/Time Point</w:t>
            </w:r>
          </w:p>
        </w:tc>
        <w:tc>
          <w:tcPr>
            <w:tcW w:w="166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4759E7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Experimental Group(n=8)</w:t>
            </w:r>
          </w:p>
        </w:tc>
        <w:tc>
          <w:tcPr>
            <w:tcW w:w="1337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C05851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Control Group(n=8)</w:t>
            </w:r>
          </w:p>
        </w:tc>
        <w:tc>
          <w:tcPr>
            <w:tcW w:w="59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03B553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P Value</w:t>
            </w:r>
          </w:p>
        </w:tc>
      </w:tr>
      <w:tr w14:paraId="64A1D88F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500A7EA0">
            <w:pPr>
              <w:snapToGrid/>
              <w:jc w:val="both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Kujala</w:t>
            </w:r>
          </w:p>
        </w:tc>
        <w:tc>
          <w:tcPr>
            <w:tcW w:w="1665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64092481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7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506228ED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0EEAE1EC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1BA8989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l2br w:val="nil"/>
              <w:tr2bl w:val="nil"/>
            </w:tcBorders>
            <w:vAlign w:val="center"/>
          </w:tcPr>
          <w:p w14:paraId="5EFF154E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Baseline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vAlign w:val="center"/>
          </w:tcPr>
          <w:p w14:paraId="79880FA0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83.38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7.86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center"/>
          </w:tcPr>
          <w:p w14:paraId="198CA431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84.88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8.95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595" w:type="pct"/>
            <w:tcBorders>
              <w:tl2br w:val="nil"/>
              <w:tr2bl w:val="nil"/>
            </w:tcBorders>
            <w:vAlign w:val="center"/>
          </w:tcPr>
          <w:p w14:paraId="7A6B0C83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.727</w:t>
            </w:r>
          </w:p>
        </w:tc>
      </w:tr>
      <w:tr w14:paraId="0AB45A6A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401" w:type="pct"/>
            <w:tcBorders>
              <w:tl2br w:val="nil"/>
              <w:tr2bl w:val="nil"/>
            </w:tcBorders>
            <w:vAlign w:val="center"/>
          </w:tcPr>
          <w:p w14:paraId="3A032F25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Week 2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vAlign w:val="center"/>
          </w:tcPr>
          <w:p w14:paraId="051A8C46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91.50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4.24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center"/>
          </w:tcPr>
          <w:p w14:paraId="2EC3CA4C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92.00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5.93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595" w:type="pct"/>
            <w:tcBorders>
              <w:tl2br w:val="nil"/>
              <w:tr2bl w:val="nil"/>
            </w:tcBorders>
            <w:vAlign w:val="center"/>
          </w:tcPr>
          <w:p w14:paraId="566E0088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.849</w:t>
            </w:r>
          </w:p>
        </w:tc>
      </w:tr>
      <w:tr w14:paraId="6B57D9F6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l2br w:val="nil"/>
              <w:tr2bl w:val="nil"/>
            </w:tcBorders>
            <w:vAlign w:val="center"/>
          </w:tcPr>
          <w:p w14:paraId="0128D6BF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Week 4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vAlign w:val="center"/>
          </w:tcPr>
          <w:p w14:paraId="5236DB83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96.00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1.93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center"/>
          </w:tcPr>
          <w:p w14:paraId="291BFED5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95.12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3.36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595" w:type="pct"/>
            <w:tcBorders>
              <w:tl2br w:val="nil"/>
              <w:tr2bl w:val="nil"/>
            </w:tcBorders>
            <w:vAlign w:val="center"/>
          </w:tcPr>
          <w:p w14:paraId="2FF54381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.533</w:t>
            </w:r>
          </w:p>
        </w:tc>
      </w:tr>
      <w:tr w14:paraId="67F0729E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l2br w:val="nil"/>
              <w:tr2bl w:val="nil"/>
            </w:tcBorders>
            <w:vAlign w:val="center"/>
          </w:tcPr>
          <w:p w14:paraId="506C10E5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Week 8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vAlign w:val="center"/>
          </w:tcPr>
          <w:p w14:paraId="6D86D084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98.25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1.67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center"/>
          </w:tcPr>
          <w:p w14:paraId="203893EE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96.37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3.20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595" w:type="pct"/>
            <w:tcBorders>
              <w:tl2br w:val="nil"/>
              <w:tr2bl w:val="nil"/>
            </w:tcBorders>
            <w:vAlign w:val="center"/>
          </w:tcPr>
          <w:p w14:paraId="43858BC2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.164</w:t>
            </w:r>
          </w:p>
        </w:tc>
      </w:tr>
      <w:tr w14:paraId="38A857FD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l2br w:val="nil"/>
              <w:tr2bl w:val="nil"/>
            </w:tcBorders>
            <w:vAlign w:val="center"/>
          </w:tcPr>
          <w:p w14:paraId="4EFA905C">
            <w:pPr>
              <w:jc w:val="both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VAS(cm)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vAlign w:val="center"/>
          </w:tcPr>
          <w:p w14:paraId="5F72793C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7" w:type="pct"/>
            <w:tcBorders>
              <w:tl2br w:val="nil"/>
              <w:tr2bl w:val="nil"/>
            </w:tcBorders>
            <w:vAlign w:val="center"/>
          </w:tcPr>
          <w:p w14:paraId="282038F8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5" w:type="pct"/>
            <w:tcBorders>
              <w:tl2br w:val="nil"/>
              <w:tr2bl w:val="nil"/>
            </w:tcBorders>
            <w:vAlign w:val="center"/>
          </w:tcPr>
          <w:p w14:paraId="171ACC23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9D13701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l2br w:val="nil"/>
              <w:tr2bl w:val="nil"/>
            </w:tcBorders>
            <w:vAlign w:val="center"/>
          </w:tcPr>
          <w:p w14:paraId="5EF90FBE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Baseline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vAlign w:val="center"/>
          </w:tcPr>
          <w:p w14:paraId="7D8A6E4D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5.38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1.51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center"/>
          </w:tcPr>
          <w:p w14:paraId="31DCBB21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4.63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1.77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595" w:type="pct"/>
            <w:tcBorders>
              <w:tl2br w:val="nil"/>
              <w:tr2bl w:val="nil"/>
            </w:tcBorders>
            <w:vAlign w:val="center"/>
          </w:tcPr>
          <w:p w14:paraId="6A3A5F50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.376</w:t>
            </w:r>
          </w:p>
        </w:tc>
      </w:tr>
      <w:tr w14:paraId="3E6FD5CC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l2br w:val="nil"/>
              <w:tr2bl w:val="nil"/>
            </w:tcBorders>
            <w:vAlign w:val="center"/>
          </w:tcPr>
          <w:p w14:paraId="30EEAB8F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Week 2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vAlign w:val="center"/>
          </w:tcPr>
          <w:p w14:paraId="622A4CA5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1.88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0.84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center"/>
          </w:tcPr>
          <w:p w14:paraId="378733CE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3.13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0.74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595" w:type="pct"/>
            <w:tcBorders>
              <w:tl2br w:val="nil"/>
              <w:tr2bl w:val="nil"/>
            </w:tcBorders>
            <w:vAlign w:val="center"/>
          </w:tcPr>
          <w:p w14:paraId="2599E7AF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.007</w:t>
            </w:r>
            <w:r>
              <w:rPr>
                <w:rFonts w:hint="default" w:ascii="Arial" w:hAnsi="Arial" w:cs="Arial"/>
                <w:sz w:val="22"/>
                <w:szCs w:val="22"/>
                <w:vertAlign w:val="superscript"/>
                <w:lang w:val="en-US" w:eastAsia="zh-CN"/>
              </w:rPr>
              <w:t>*</w:t>
            </w:r>
          </w:p>
        </w:tc>
      </w:tr>
      <w:tr w14:paraId="5099EE6B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l2br w:val="nil"/>
              <w:tr2bl w:val="nil"/>
            </w:tcBorders>
            <w:vAlign w:val="center"/>
          </w:tcPr>
          <w:p w14:paraId="389D3E16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Week 4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vAlign w:val="center"/>
          </w:tcPr>
          <w:p w14:paraId="43DD8A28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1.25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0.89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center"/>
          </w:tcPr>
          <w:p w14:paraId="52EBA449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1.88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0.79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595" w:type="pct"/>
            <w:tcBorders>
              <w:tl2br w:val="nil"/>
              <w:tr2bl w:val="nil"/>
            </w:tcBorders>
            <w:vAlign w:val="center"/>
          </w:tcPr>
          <w:p w14:paraId="10A087E7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.159</w:t>
            </w:r>
          </w:p>
        </w:tc>
      </w:tr>
      <w:tr w14:paraId="747E865B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l2br w:val="nil"/>
              <w:tr2bl w:val="nil"/>
            </w:tcBorders>
            <w:vAlign w:val="center"/>
          </w:tcPr>
          <w:p w14:paraId="51905A07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Week 8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vAlign w:val="center"/>
          </w:tcPr>
          <w:p w14:paraId="5F9D0D5A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0.94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1.08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center"/>
          </w:tcPr>
          <w:p w14:paraId="73667229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1.63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0.92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595" w:type="pct"/>
            <w:tcBorders>
              <w:tl2br w:val="nil"/>
              <w:tr2bl w:val="nil"/>
            </w:tcBorders>
            <w:vAlign w:val="center"/>
          </w:tcPr>
          <w:p w14:paraId="4F4E310D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.192</w:t>
            </w:r>
          </w:p>
        </w:tc>
      </w:tr>
      <w:tr w14:paraId="60767838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l2br w:val="nil"/>
              <w:tr2bl w:val="nil"/>
            </w:tcBorders>
            <w:vAlign w:val="center"/>
          </w:tcPr>
          <w:p w14:paraId="187B893B">
            <w:pPr>
              <w:snapToGrid/>
              <w:jc w:val="both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ITB thickness (mm)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vAlign w:val="center"/>
          </w:tcPr>
          <w:p w14:paraId="575B2144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7" w:type="pct"/>
            <w:tcBorders>
              <w:tl2br w:val="nil"/>
              <w:tr2bl w:val="nil"/>
            </w:tcBorders>
            <w:vAlign w:val="center"/>
          </w:tcPr>
          <w:p w14:paraId="1B250145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5" w:type="pct"/>
            <w:tcBorders>
              <w:tl2br w:val="nil"/>
              <w:tr2bl w:val="nil"/>
            </w:tcBorders>
            <w:vAlign w:val="center"/>
          </w:tcPr>
          <w:p w14:paraId="0262503B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D7F3377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tl2br w:val="nil"/>
              <w:tr2bl w:val="nil"/>
            </w:tcBorders>
            <w:vAlign w:val="center"/>
          </w:tcPr>
          <w:p w14:paraId="0387EE71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Baseline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vAlign w:val="center"/>
          </w:tcPr>
          <w:p w14:paraId="475C0C7A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4.16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0.64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center"/>
          </w:tcPr>
          <w:p w14:paraId="21B48861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4.45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0.55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595" w:type="pct"/>
            <w:tcBorders>
              <w:tl2br w:val="nil"/>
              <w:tr2bl w:val="nil"/>
            </w:tcBorders>
            <w:vAlign w:val="center"/>
          </w:tcPr>
          <w:p w14:paraId="1E4F74D4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.356</w:t>
            </w:r>
          </w:p>
        </w:tc>
      </w:tr>
      <w:tr w14:paraId="6C0A9615">
        <w:tblPrEx>
          <w:tblBorders>
            <w:top w:val="none" w:color="auto" w:sz="0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pct"/>
            <w:tcBorders>
              <w:bottom w:val="single" w:color="auto" w:sz="6" w:space="0"/>
            </w:tcBorders>
            <w:vAlign w:val="center"/>
          </w:tcPr>
          <w:p w14:paraId="002A6286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Week 4</w:t>
            </w:r>
          </w:p>
        </w:tc>
        <w:tc>
          <w:tcPr>
            <w:tcW w:w="1665" w:type="pct"/>
            <w:tcBorders>
              <w:bottom w:val="single" w:color="auto" w:sz="6" w:space="0"/>
            </w:tcBorders>
            <w:vAlign w:val="center"/>
          </w:tcPr>
          <w:p w14:paraId="3281A0BE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3.55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0.45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1337" w:type="pct"/>
            <w:tcBorders>
              <w:bottom w:val="single" w:color="auto" w:sz="6" w:space="0"/>
            </w:tcBorders>
            <w:vAlign w:val="center"/>
          </w:tcPr>
          <w:p w14:paraId="173DFF5D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4.21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0.48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)</w:t>
            </w:r>
          </w:p>
        </w:tc>
        <w:tc>
          <w:tcPr>
            <w:tcW w:w="595" w:type="pct"/>
            <w:tcBorders>
              <w:bottom w:val="single" w:color="auto" w:sz="6" w:space="0"/>
            </w:tcBorders>
            <w:vAlign w:val="center"/>
          </w:tcPr>
          <w:p w14:paraId="2889DB1E">
            <w:pPr>
              <w:snapToGrid/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.013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22"/>
                <w:szCs w:val="22"/>
                <w:vertAlign w:val="superscript"/>
                <w:lang w:val="en-US" w:eastAsia="zh-CN" w:bidi="ar-SA"/>
              </w:rPr>
              <w:t>*</w:t>
            </w:r>
          </w:p>
        </w:tc>
      </w:tr>
    </w:tbl>
    <w:p w14:paraId="149E99BF">
      <w:pPr>
        <w:suppressLineNumbers/>
        <w:snapToGrid/>
        <w:spacing w:line="480" w:lineRule="auto"/>
        <w:jc w:val="left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>Abbreviations:ITB, iliotibial band</w:t>
      </w:r>
      <w:r>
        <w:rPr>
          <w:rFonts w:hint="eastAsia" w:ascii="Arial" w:hAnsi="Arial" w:cs="Arial"/>
          <w:sz w:val="22"/>
          <w:szCs w:val="22"/>
          <w:lang w:val="en-US" w:eastAsia="zh-CN"/>
        </w:rPr>
        <w:t xml:space="preserve">; 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Kujala, Kujala scale test; VAS, visual analogue score test; </w:t>
      </w:r>
    </w:p>
    <w:p w14:paraId="24C3128B">
      <w:pPr>
        <w:suppressLineNumbers/>
        <w:snapToGrid/>
        <w:spacing w:line="480" w:lineRule="auto"/>
        <w:jc w:val="left"/>
        <w:rPr>
          <w:rFonts w:hint="default" w:ascii="Arial" w:hAnsi="Arial" w:cs="Arial"/>
          <w:b w:val="0"/>
          <w:bCs w:val="0"/>
          <w:kern w:val="2"/>
          <w:sz w:val="22"/>
          <w:szCs w:val="22"/>
          <w:lang w:val="en-US" w:eastAsia="zh-CN" w:bidi="ar-SA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 xml:space="preserve">Value are </w:t>
      </w:r>
      <w:r>
        <w:rPr>
          <w:rFonts w:hint="eastAsia" w:ascii="Arial" w:hAnsi="Arial" w:cs="Arial"/>
          <w:sz w:val="22"/>
          <w:szCs w:val="22"/>
          <w:lang w:val="en-US" w:eastAsia="zh-CN"/>
        </w:rPr>
        <w:t>M</w:t>
      </w:r>
      <w:r>
        <w:rPr>
          <w:rFonts w:hint="default" w:ascii="Arial" w:hAnsi="Arial" w:cs="Arial"/>
          <w:sz w:val="22"/>
          <w:szCs w:val="22"/>
          <w:lang w:val="en-US" w:eastAsia="zh-CN"/>
        </w:rPr>
        <w:t>ean</w:t>
      </w:r>
      <w:r>
        <w:rPr>
          <w:rFonts w:hint="eastAsia" w:ascii="Arial" w:hAnsi="Arial" w:cs="Arial"/>
          <w:sz w:val="22"/>
          <w:szCs w:val="22"/>
          <w:lang w:val="en-US" w:eastAsia="zh-CN"/>
        </w:rPr>
        <w:t xml:space="preserve"> (</w:t>
      </w:r>
      <w:r>
        <w:rPr>
          <w:rFonts w:hint="default" w:ascii="Arial" w:hAnsi="Arial" w:cs="Arial"/>
          <w:b w:val="0"/>
          <w:bCs w:val="0"/>
          <w:kern w:val="2"/>
          <w:sz w:val="22"/>
          <w:szCs w:val="22"/>
          <w:lang w:val="en-US" w:eastAsia="zh-CN" w:bidi="ar-SA"/>
        </w:rPr>
        <w:t>SD</w:t>
      </w:r>
      <w:r>
        <w:rPr>
          <w:rFonts w:hint="eastAsia" w:ascii="Arial" w:hAnsi="Arial" w:cs="Arial"/>
          <w:b w:val="0"/>
          <w:bCs w:val="0"/>
          <w:kern w:val="2"/>
          <w:sz w:val="22"/>
          <w:szCs w:val="22"/>
          <w:lang w:val="en-US" w:eastAsia="zh-CN" w:bidi="ar-SA"/>
        </w:rPr>
        <w:t>)</w:t>
      </w:r>
      <w:r>
        <w:rPr>
          <w:rFonts w:hint="default" w:ascii="Arial" w:hAnsi="Arial" w:cs="Arial"/>
          <w:b w:val="0"/>
          <w:bCs w:val="0"/>
          <w:kern w:val="2"/>
          <w:sz w:val="22"/>
          <w:szCs w:val="22"/>
          <w:lang w:val="en-US" w:eastAsia="zh-CN" w:bidi="ar-SA"/>
        </w:rPr>
        <w:t>;</w:t>
      </w:r>
    </w:p>
    <w:p w14:paraId="18879D2C">
      <w:pPr>
        <w:suppressLineNumbers/>
        <w:snapToGrid/>
        <w:spacing w:line="480" w:lineRule="auto"/>
        <w:jc w:val="left"/>
        <w:rPr>
          <w:rFonts w:hint="default" w:ascii="Arial" w:hAnsi="Arial" w:cs="Arial"/>
          <w:b w:val="0"/>
          <w:bCs w:val="0"/>
          <w:kern w:val="2"/>
          <w:sz w:val="22"/>
          <w:szCs w:val="22"/>
          <w:lang w:val="en-US" w:eastAsia="zh-CN" w:bidi="ar-SA"/>
        </w:rPr>
      </w:pPr>
      <w:r>
        <w:rPr>
          <w:rFonts w:hint="default" w:ascii="Arial" w:hAnsi="Arial" w:cs="Arial"/>
          <w:b w:val="0"/>
          <w:bCs w:val="0"/>
          <w:kern w:val="2"/>
          <w:sz w:val="22"/>
          <w:szCs w:val="22"/>
          <w:lang w:val="en-US" w:eastAsia="zh-CN" w:bidi="ar-SA"/>
        </w:rPr>
        <w:t xml:space="preserve">P Value show the results of Post-hoc analyses </w:t>
      </w:r>
      <w:r>
        <w:rPr>
          <w:rFonts w:hint="default" w:ascii="Arial" w:hAnsi="Arial" w:cs="Arial"/>
          <w:b w:val="0"/>
          <w:bCs w:val="0"/>
          <w:kern w:val="2"/>
          <w:sz w:val="22"/>
          <w:szCs w:val="22"/>
          <w:vertAlign w:val="baseline"/>
          <w:lang w:val="en-US" w:eastAsia="zh-CN" w:bidi="ar-SA"/>
        </w:rPr>
        <w:t xml:space="preserve">(Bonferroni comparisons) </w:t>
      </w:r>
      <w:r>
        <w:rPr>
          <w:rFonts w:hint="default" w:ascii="Arial" w:hAnsi="Arial" w:cs="Arial"/>
          <w:b w:val="0"/>
          <w:bCs w:val="0"/>
          <w:kern w:val="2"/>
          <w:sz w:val="22"/>
          <w:szCs w:val="22"/>
          <w:lang w:val="en-US" w:eastAsia="zh-CN" w:bidi="ar-SA"/>
        </w:rPr>
        <w:t>;</w:t>
      </w:r>
    </w:p>
    <w:p w14:paraId="0FE4467B">
      <w:pPr>
        <w:snapToGrid/>
        <w:spacing w:line="480" w:lineRule="auto"/>
        <w:jc w:val="left"/>
        <w:rPr>
          <w:rFonts w:hint="default" w:ascii="Times New Roman" w:hAnsi="Times New Roman" w:cs="Times New Roman"/>
          <w:sz w:val="22"/>
          <w:szCs w:val="22"/>
          <w:vertAlign w:val="baseline"/>
          <w:lang w:val="en-US" w:eastAsia="zh-CN"/>
        </w:rPr>
      </w:pPr>
      <w:r>
        <w:rPr>
          <w:rFonts w:hint="default" w:ascii="Arial" w:hAnsi="Arial" w:cs="Arial"/>
          <w:sz w:val="22"/>
          <w:szCs w:val="22"/>
          <w:vertAlign w:val="superscript"/>
          <w:lang w:val="en-US" w:eastAsia="zh-CN"/>
        </w:rPr>
        <w:t>*</w:t>
      </w:r>
      <w:r>
        <w:rPr>
          <w:rFonts w:hint="default" w:ascii="Arial" w:hAnsi="Arial" w:cs="Arial"/>
          <w:b w:val="0"/>
          <w:bCs w:val="0"/>
          <w:kern w:val="2"/>
          <w:sz w:val="22"/>
          <w:szCs w:val="22"/>
          <w:vertAlign w:val="baseline"/>
          <w:lang w:val="en-US" w:eastAsia="zh-CN" w:bidi="ar-SA"/>
        </w:rPr>
        <w:t xml:space="preserve"> i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ndicates a significant between-group difference at same time point.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ZTExNzlkNmM4MDZkYjc5YmQ0NjM5Mzg4ZWUwMGMifQ=="/>
  </w:docVars>
  <w:rsids>
    <w:rsidRoot w:val="75D740F0"/>
    <w:rsid w:val="068E38F3"/>
    <w:rsid w:val="09E5667D"/>
    <w:rsid w:val="26EE72A0"/>
    <w:rsid w:val="27C04BF8"/>
    <w:rsid w:val="38EE1CC0"/>
    <w:rsid w:val="3F2D1D0C"/>
    <w:rsid w:val="4C906FFC"/>
    <w:rsid w:val="5C7C0BCA"/>
    <w:rsid w:val="75D740F0"/>
    <w:rsid w:val="7B760A17"/>
    <w:rsid w:val="7E47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EndNote Bibliography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655</Characters>
  <Lines>0</Lines>
  <Paragraphs>0</Paragraphs>
  <TotalTime>0</TotalTime>
  <ScaleCrop>false</ScaleCrop>
  <LinksUpToDate>false</LinksUpToDate>
  <CharactersWithSpaces>709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2024-10-03T09:53:00Z</dcterms:created>
  <dc:creator>落返.</dc:creator>
  <cp:lastModifiedBy>落返.</cp:lastModifiedBy>
  <dcterms:modified xsi:type="dcterms:W3CDTF">2024-12-19T09:47:00Z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BE146048BA3B47B091101115801701B8_13</vt:lpwstr>
  </property>
</Properties>
</file>