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3AF" w:rsidRPr="00E453AF" w:rsidRDefault="00082DDA" w:rsidP="00082DDA">
      <w:pPr>
        <w:spacing w:line="480" w:lineRule="auto"/>
        <w:jc w:val="both"/>
        <w:rPr>
          <w:rFonts w:cstheme="minorHAnsi"/>
          <w:szCs w:val="20"/>
          <w:lang w:val="en-US"/>
        </w:rPr>
      </w:pPr>
      <w:r>
        <w:rPr>
          <w:rFonts w:cstheme="minorHAnsi"/>
          <w:b/>
          <w:szCs w:val="20"/>
          <w:lang w:val="en-US"/>
        </w:rPr>
        <w:t>Supplementary Material</w:t>
      </w:r>
      <w:r w:rsidR="00CF5DAA">
        <w:rPr>
          <w:rFonts w:cstheme="minorHAnsi"/>
          <w:b/>
          <w:szCs w:val="20"/>
          <w:lang w:val="en-US"/>
        </w:rPr>
        <w:t xml:space="preserve">: </w:t>
      </w:r>
      <w:r w:rsidR="00CF5DAA" w:rsidRPr="00E453AF">
        <w:rPr>
          <w:rFonts w:cstheme="minorHAnsi"/>
          <w:szCs w:val="20"/>
          <w:lang w:val="en-US"/>
        </w:rPr>
        <w:t xml:space="preserve">A new dietary rat model fully recapitulates metabolic dysfunction-associated </w:t>
      </w:r>
      <w:proofErr w:type="spellStart"/>
      <w:r w:rsidR="00CF5DAA" w:rsidRPr="00E453AF">
        <w:rPr>
          <w:rFonts w:cstheme="minorHAnsi"/>
          <w:szCs w:val="20"/>
          <w:lang w:val="en-US"/>
        </w:rPr>
        <w:t>steatotic</w:t>
      </w:r>
      <w:proofErr w:type="spellEnd"/>
      <w:r w:rsidR="00CF5DAA" w:rsidRPr="00E453AF">
        <w:rPr>
          <w:rFonts w:cstheme="minorHAnsi"/>
          <w:szCs w:val="20"/>
          <w:lang w:val="en-US"/>
        </w:rPr>
        <w:t xml:space="preserve"> liver disease pathophysiology and mimics human disease with advanced liver fibrosis and portal hypertension</w:t>
      </w:r>
    </w:p>
    <w:p w:rsidR="00E453AF" w:rsidRDefault="00082DDA" w:rsidP="00992298">
      <w:pPr>
        <w:pStyle w:val="Prrafodelista"/>
        <w:numPr>
          <w:ilvl w:val="0"/>
          <w:numId w:val="3"/>
        </w:numPr>
        <w:spacing w:line="480" w:lineRule="auto"/>
        <w:jc w:val="both"/>
        <w:rPr>
          <w:rFonts w:cstheme="minorHAnsi"/>
          <w:b/>
          <w:szCs w:val="20"/>
          <w:lang w:val="en-US"/>
        </w:rPr>
      </w:pPr>
      <w:r w:rsidRPr="00E453AF">
        <w:rPr>
          <w:rFonts w:cstheme="minorHAnsi"/>
          <w:b/>
          <w:szCs w:val="20"/>
          <w:lang w:val="en-US"/>
        </w:rPr>
        <w:t>Expanded method</w:t>
      </w:r>
      <w:r w:rsidR="00E453AF">
        <w:rPr>
          <w:rFonts w:cstheme="minorHAnsi"/>
          <w:b/>
          <w:szCs w:val="20"/>
          <w:lang w:val="en-US"/>
        </w:rPr>
        <w:t>s</w:t>
      </w:r>
    </w:p>
    <w:p w:rsidR="00E453AF" w:rsidRPr="00E453AF" w:rsidRDefault="00992298" w:rsidP="00992298">
      <w:pPr>
        <w:pStyle w:val="Prrafodelista"/>
        <w:numPr>
          <w:ilvl w:val="0"/>
          <w:numId w:val="3"/>
        </w:numPr>
        <w:spacing w:line="480" w:lineRule="auto"/>
        <w:jc w:val="both"/>
        <w:rPr>
          <w:rFonts w:cstheme="minorHAnsi"/>
          <w:b/>
          <w:szCs w:val="20"/>
          <w:lang w:val="en-US"/>
        </w:rPr>
      </w:pPr>
      <w:r w:rsidRPr="00E453AF">
        <w:rPr>
          <w:rFonts w:cstheme="minorHAnsi"/>
          <w:b/>
          <w:lang w:val="ca-ES"/>
        </w:rPr>
        <w:t xml:space="preserve">Experimental unit </w:t>
      </w:r>
      <w:proofErr w:type="spellStart"/>
      <w:r w:rsidRPr="00E453AF">
        <w:rPr>
          <w:rFonts w:cstheme="minorHAnsi"/>
          <w:b/>
          <w:lang w:val="ca-ES"/>
        </w:rPr>
        <w:t>and</w:t>
      </w:r>
      <w:proofErr w:type="spellEnd"/>
      <w:r w:rsidRPr="00E453AF">
        <w:rPr>
          <w:rFonts w:cstheme="minorHAnsi"/>
          <w:b/>
          <w:lang w:val="ca-ES"/>
        </w:rPr>
        <w:t xml:space="preserve"> </w:t>
      </w:r>
      <w:proofErr w:type="spellStart"/>
      <w:r w:rsidRPr="00E453AF">
        <w:rPr>
          <w:rFonts w:cstheme="minorHAnsi"/>
          <w:b/>
          <w:lang w:val="ca-ES"/>
        </w:rPr>
        <w:t>Sample</w:t>
      </w:r>
      <w:proofErr w:type="spellEnd"/>
      <w:r w:rsidRPr="00E453AF">
        <w:rPr>
          <w:rFonts w:cstheme="minorHAnsi"/>
          <w:b/>
          <w:lang w:val="ca-ES"/>
        </w:rPr>
        <w:t xml:space="preserve"> </w:t>
      </w:r>
      <w:proofErr w:type="spellStart"/>
      <w:r w:rsidRPr="00E453AF">
        <w:rPr>
          <w:rFonts w:cstheme="minorHAnsi"/>
          <w:b/>
          <w:lang w:val="ca-ES"/>
        </w:rPr>
        <w:t>size</w:t>
      </w:r>
      <w:proofErr w:type="spellEnd"/>
    </w:p>
    <w:p w:rsidR="00E453AF" w:rsidRPr="00E453AF" w:rsidRDefault="00992298" w:rsidP="00082DDA">
      <w:pPr>
        <w:pStyle w:val="Prrafodelista"/>
        <w:numPr>
          <w:ilvl w:val="0"/>
          <w:numId w:val="3"/>
        </w:numPr>
        <w:spacing w:line="480" w:lineRule="auto"/>
        <w:jc w:val="both"/>
        <w:rPr>
          <w:rFonts w:cstheme="minorHAnsi"/>
          <w:b/>
          <w:szCs w:val="20"/>
          <w:lang w:val="en-US"/>
        </w:rPr>
      </w:pPr>
      <w:r w:rsidRPr="00E453AF">
        <w:rPr>
          <w:rFonts w:cstheme="minorHAnsi"/>
          <w:b/>
        </w:rPr>
        <w:t>Randomization and Blinding</w:t>
      </w:r>
    </w:p>
    <w:p w:rsidR="00E453AF" w:rsidRPr="00E453AF" w:rsidRDefault="00992298" w:rsidP="00E453AF">
      <w:pPr>
        <w:pStyle w:val="Prrafodelista"/>
        <w:numPr>
          <w:ilvl w:val="0"/>
          <w:numId w:val="3"/>
        </w:numPr>
        <w:spacing w:line="480" w:lineRule="auto"/>
        <w:jc w:val="both"/>
        <w:rPr>
          <w:rFonts w:cstheme="minorHAnsi"/>
          <w:b/>
          <w:szCs w:val="20"/>
          <w:lang w:val="en-US"/>
        </w:rPr>
      </w:pPr>
      <w:r w:rsidRPr="00E453AF">
        <w:rPr>
          <w:rFonts w:cstheme="minorHAnsi"/>
          <w:b/>
        </w:rPr>
        <w:t>Inclusion and Exclusion criteria</w:t>
      </w:r>
    </w:p>
    <w:p w:rsidR="00082DDA" w:rsidRPr="00E453AF" w:rsidRDefault="00082DDA" w:rsidP="00E453AF">
      <w:pPr>
        <w:pStyle w:val="Prrafodelista"/>
        <w:numPr>
          <w:ilvl w:val="0"/>
          <w:numId w:val="3"/>
        </w:numPr>
        <w:spacing w:line="480" w:lineRule="auto"/>
        <w:jc w:val="both"/>
        <w:rPr>
          <w:rFonts w:cstheme="minorHAnsi"/>
          <w:b/>
          <w:szCs w:val="20"/>
          <w:lang w:val="en-US"/>
        </w:rPr>
      </w:pPr>
      <w:r w:rsidRPr="00E453AF">
        <w:rPr>
          <w:rFonts w:cstheme="minorHAnsi"/>
          <w:b/>
          <w:szCs w:val="20"/>
          <w:lang w:val="en-US"/>
        </w:rPr>
        <w:t>Tables</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 xml:space="preserve">ST1. </w:t>
      </w:r>
      <w:r>
        <w:rPr>
          <w:rFonts w:ascii="Calibri" w:eastAsia="Calibri" w:hAnsi="Calibri" w:cs="Calibri"/>
          <w:color w:val="000000"/>
          <w:lang w:val="en-US"/>
        </w:rPr>
        <w:t xml:space="preserve">The </w:t>
      </w:r>
      <w:r w:rsidRPr="00EF1462">
        <w:rPr>
          <w:rFonts w:ascii="Calibri" w:hAnsi="Calibri" w:cs="Calibri"/>
          <w:color w:val="000000"/>
          <w:lang w:val="en-US"/>
        </w:rPr>
        <w:t>scoring system for steatosis, lobular inflammation</w:t>
      </w:r>
      <w:r>
        <w:rPr>
          <w:rFonts w:ascii="Calibri" w:eastAsia="Calibri" w:hAnsi="Calibri" w:cs="Calibri"/>
          <w:color w:val="000000"/>
          <w:lang w:val="en-US"/>
        </w:rPr>
        <w:t xml:space="preserve">, and fibrosis was based on the NASH-Clinical Research Network (CRN) system. </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 xml:space="preserve">ST2. </w:t>
      </w:r>
      <w:r>
        <w:rPr>
          <w:rFonts w:ascii="Calibri" w:eastAsia="Calibri" w:hAnsi="Calibri" w:cs="Calibri"/>
          <w:szCs w:val="20"/>
          <w:lang w:val="en-US"/>
        </w:rPr>
        <w:t xml:space="preserve">The </w:t>
      </w:r>
      <w:r w:rsidRPr="00EF1462">
        <w:rPr>
          <w:rFonts w:cstheme="minorHAnsi"/>
          <w:szCs w:val="20"/>
          <w:lang w:val="en-US"/>
        </w:rPr>
        <w:t xml:space="preserve">results of </w:t>
      </w:r>
      <w:r>
        <w:rPr>
          <w:rFonts w:ascii="Calibri" w:eastAsia="Calibri" w:hAnsi="Calibri" w:cs="Calibri"/>
          <w:szCs w:val="20"/>
          <w:lang w:val="en-US"/>
        </w:rPr>
        <w:t xml:space="preserve">the blood biochemistry parameters at the </w:t>
      </w:r>
      <w:r w:rsidRPr="00EF1462">
        <w:rPr>
          <w:rFonts w:cstheme="minorHAnsi"/>
          <w:szCs w:val="20"/>
          <w:lang w:val="en-US"/>
        </w:rPr>
        <w:t xml:space="preserve">model endpoint </w:t>
      </w:r>
      <w:r>
        <w:rPr>
          <w:rFonts w:ascii="Calibri" w:eastAsia="Calibri" w:hAnsi="Calibri" w:cs="Calibri"/>
          <w:szCs w:val="20"/>
          <w:lang w:val="en-US"/>
        </w:rPr>
        <w:t xml:space="preserve">were tested </w:t>
      </w:r>
      <w:r w:rsidRPr="00EF1462">
        <w:rPr>
          <w:rFonts w:cstheme="minorHAnsi"/>
          <w:szCs w:val="20"/>
          <w:lang w:val="en-US"/>
        </w:rPr>
        <w:t xml:space="preserve">during the three studies. </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ST3. Fibrosis stage according to the NASH-Clinical Research Network (CRN) system at the end of the model for Studies 2 and 3.</w:t>
      </w:r>
    </w:p>
    <w:p w:rsidR="00082DDA" w:rsidRPr="00EF1462" w:rsidRDefault="00082DDA" w:rsidP="00082DDA">
      <w:pPr>
        <w:spacing w:after="0" w:line="240" w:lineRule="auto"/>
        <w:jc w:val="both"/>
        <w:rPr>
          <w:rFonts w:cstheme="minorHAnsi"/>
          <w:b/>
          <w:szCs w:val="20"/>
          <w:lang w:val="en-US"/>
        </w:rPr>
      </w:pPr>
    </w:p>
    <w:p w:rsidR="00082DDA" w:rsidRPr="00E453AF" w:rsidRDefault="00082DDA" w:rsidP="00E453AF">
      <w:pPr>
        <w:pStyle w:val="Prrafodelista"/>
        <w:numPr>
          <w:ilvl w:val="0"/>
          <w:numId w:val="3"/>
        </w:numPr>
        <w:spacing w:line="480" w:lineRule="auto"/>
        <w:jc w:val="both"/>
        <w:rPr>
          <w:rFonts w:cstheme="minorHAnsi"/>
          <w:b/>
          <w:szCs w:val="20"/>
          <w:lang w:val="en-US"/>
        </w:rPr>
      </w:pPr>
      <w:r w:rsidRPr="00E453AF">
        <w:rPr>
          <w:rFonts w:cstheme="minorHAnsi"/>
          <w:b/>
          <w:szCs w:val="20"/>
          <w:lang w:val="en-US"/>
        </w:rPr>
        <w:t xml:space="preserve">Figures. </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 xml:space="preserve">SF1. </w:t>
      </w:r>
      <w:r w:rsidRPr="00EF1462">
        <w:rPr>
          <w:rFonts w:ascii="Calibri" w:eastAsia="Times New Roman" w:hAnsi="Calibri" w:cs="Calibri"/>
          <w:bCs/>
          <w:color w:val="000000"/>
          <w:lang w:val="en-US" w:eastAsia="ca-ES"/>
        </w:rPr>
        <w:t>Body weight according to study groups.</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SF2. Assessment of systemic insulin resistance.</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SF3. Hematoxylin &amp; eosin-stained liver sections for histological evaluation.</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SF4. Comparison between study-2 models at 16 and 24 weeks</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SF5. Western blot analysis of intrahepatic endothelial dysfunction markers.</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SF6. Immunohistochemistry analysis of ductular reaction with CK-7.</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SF7. Diet Effect: differences with respect to controls and between diets.</w:t>
      </w:r>
    </w:p>
    <w:p w:rsidR="00082DDA" w:rsidRPr="00EF1462" w:rsidRDefault="00082DDA" w:rsidP="00E453AF">
      <w:pPr>
        <w:spacing w:line="276" w:lineRule="auto"/>
        <w:ind w:left="360"/>
        <w:jc w:val="both"/>
        <w:rPr>
          <w:rFonts w:cstheme="minorHAnsi"/>
          <w:szCs w:val="20"/>
          <w:lang w:val="en-US"/>
        </w:rPr>
      </w:pPr>
      <w:r w:rsidRPr="00EF1462">
        <w:rPr>
          <w:rFonts w:cstheme="minorHAnsi"/>
          <w:szCs w:val="20"/>
          <w:lang w:val="en-US"/>
        </w:rPr>
        <w:t xml:space="preserve">SF8. Analysis of the biological significance of </w:t>
      </w:r>
      <w:r>
        <w:rPr>
          <w:rFonts w:ascii="Calibri" w:eastAsia="Calibri" w:hAnsi="Calibri" w:cs="Calibri"/>
          <w:szCs w:val="20"/>
          <w:lang w:val="en-US"/>
        </w:rPr>
        <w:t xml:space="preserve">changes in pathway activation </w:t>
      </w:r>
      <w:r w:rsidRPr="00EF1462">
        <w:rPr>
          <w:rFonts w:cstheme="minorHAnsi"/>
          <w:szCs w:val="20"/>
          <w:lang w:val="en-US"/>
        </w:rPr>
        <w:t>induced by MASLD diets.</w:t>
      </w:r>
    </w:p>
    <w:p w:rsidR="00E453AF" w:rsidRDefault="00082DDA" w:rsidP="00E453AF">
      <w:pPr>
        <w:spacing w:line="276" w:lineRule="auto"/>
        <w:ind w:left="360"/>
        <w:jc w:val="both"/>
        <w:rPr>
          <w:rFonts w:cstheme="minorHAnsi"/>
          <w:szCs w:val="20"/>
          <w:lang w:val="en-US"/>
        </w:rPr>
      </w:pPr>
      <w:r w:rsidRPr="00EF1462">
        <w:rPr>
          <w:rFonts w:cstheme="minorHAnsi"/>
          <w:szCs w:val="20"/>
          <w:lang w:val="en-US"/>
        </w:rPr>
        <w:t>SF</w:t>
      </w:r>
      <w:r>
        <w:rPr>
          <w:rFonts w:cstheme="minorHAnsi"/>
          <w:szCs w:val="20"/>
          <w:lang w:val="en-US"/>
        </w:rPr>
        <w:t>9</w:t>
      </w:r>
      <w:r w:rsidRPr="00EF1462">
        <w:rPr>
          <w:rFonts w:cstheme="minorHAnsi"/>
          <w:szCs w:val="20"/>
          <w:lang w:val="en-US"/>
        </w:rPr>
        <w:t xml:space="preserve">. Analysis of </w:t>
      </w:r>
      <w:r>
        <w:rPr>
          <w:rFonts w:cstheme="minorHAnsi"/>
          <w:szCs w:val="20"/>
          <w:lang w:val="en-US"/>
        </w:rPr>
        <w:t>the biological significance of c</w:t>
      </w:r>
      <w:r w:rsidRPr="00EF1462">
        <w:rPr>
          <w:rFonts w:cstheme="minorHAnsi"/>
          <w:szCs w:val="20"/>
          <w:lang w:val="en-US"/>
        </w:rPr>
        <w:t xml:space="preserve">ommon </w:t>
      </w:r>
      <w:r>
        <w:rPr>
          <w:rFonts w:cstheme="minorHAnsi"/>
          <w:szCs w:val="20"/>
          <w:lang w:val="en-US"/>
        </w:rPr>
        <w:t>changes in human s</w:t>
      </w:r>
      <w:r w:rsidRPr="00EF1462">
        <w:rPr>
          <w:rFonts w:cstheme="minorHAnsi"/>
          <w:szCs w:val="20"/>
          <w:lang w:val="en-US"/>
        </w:rPr>
        <w:t>ampl</w:t>
      </w:r>
      <w:r>
        <w:rPr>
          <w:rFonts w:cstheme="minorHAnsi"/>
          <w:szCs w:val="20"/>
          <w:lang w:val="en-US"/>
        </w:rPr>
        <w:t xml:space="preserve">es from patients </w:t>
      </w:r>
      <w:r>
        <w:rPr>
          <w:rFonts w:ascii="Calibri" w:eastAsia="Calibri" w:hAnsi="Calibri" w:cs="Calibri"/>
          <w:szCs w:val="20"/>
          <w:lang w:val="en-US"/>
        </w:rPr>
        <w:t>with SLD and MASLD diets in r</w:t>
      </w:r>
      <w:r w:rsidRPr="00EF1462">
        <w:rPr>
          <w:rFonts w:cstheme="minorHAnsi"/>
          <w:szCs w:val="20"/>
          <w:lang w:val="en-US"/>
        </w:rPr>
        <w:t>ats.</w:t>
      </w:r>
    </w:p>
    <w:p w:rsidR="00E453AF" w:rsidRDefault="00E453AF" w:rsidP="00E453AF">
      <w:pPr>
        <w:spacing w:line="276" w:lineRule="auto"/>
        <w:ind w:left="360"/>
        <w:jc w:val="both"/>
        <w:rPr>
          <w:rFonts w:cstheme="minorHAnsi"/>
          <w:szCs w:val="20"/>
          <w:lang w:val="en-US"/>
        </w:rPr>
      </w:pPr>
    </w:p>
    <w:p w:rsidR="00082DDA" w:rsidRPr="00E453AF" w:rsidRDefault="00082DDA" w:rsidP="00E453AF">
      <w:pPr>
        <w:pStyle w:val="Prrafodelista"/>
        <w:numPr>
          <w:ilvl w:val="0"/>
          <w:numId w:val="3"/>
        </w:numPr>
        <w:spacing w:line="276" w:lineRule="auto"/>
        <w:jc w:val="both"/>
        <w:rPr>
          <w:rFonts w:cstheme="minorHAnsi"/>
          <w:b/>
          <w:bCs/>
          <w:szCs w:val="20"/>
          <w:lang w:val="en-US"/>
        </w:rPr>
      </w:pPr>
      <w:r w:rsidRPr="00E453AF">
        <w:rPr>
          <w:rFonts w:cstheme="minorHAnsi"/>
          <w:b/>
          <w:bCs/>
          <w:szCs w:val="20"/>
          <w:lang w:val="en-US"/>
        </w:rPr>
        <w:t>ARRIVE checklist</w:t>
      </w:r>
      <w:bookmarkStart w:id="0" w:name="_GoBack"/>
      <w:bookmarkEnd w:id="0"/>
    </w:p>
    <w:p w:rsidR="00E453AF" w:rsidRPr="00E453AF" w:rsidRDefault="00E453AF" w:rsidP="00992298">
      <w:pPr>
        <w:spacing w:line="276" w:lineRule="auto"/>
        <w:jc w:val="both"/>
        <w:rPr>
          <w:rFonts w:cstheme="minorHAnsi"/>
          <w:szCs w:val="20"/>
          <w:lang w:val="en-US"/>
        </w:rPr>
      </w:pPr>
    </w:p>
    <w:p w:rsidR="00082DDA" w:rsidRPr="00992298" w:rsidRDefault="00082DDA" w:rsidP="00992298">
      <w:pPr>
        <w:pStyle w:val="Prrafodelista"/>
        <w:numPr>
          <w:ilvl w:val="0"/>
          <w:numId w:val="1"/>
        </w:numPr>
        <w:spacing w:line="480" w:lineRule="auto"/>
        <w:jc w:val="both"/>
        <w:rPr>
          <w:rFonts w:cstheme="minorHAnsi"/>
          <w:b/>
          <w:lang w:val="ca-ES"/>
        </w:rPr>
      </w:pPr>
      <w:proofErr w:type="spellStart"/>
      <w:r w:rsidRPr="00992298">
        <w:rPr>
          <w:rFonts w:cstheme="minorHAnsi"/>
          <w:b/>
          <w:lang w:val="ca-ES"/>
        </w:rPr>
        <w:lastRenderedPageBreak/>
        <w:t>Expanded</w:t>
      </w:r>
      <w:proofErr w:type="spellEnd"/>
      <w:r w:rsidRPr="00992298">
        <w:rPr>
          <w:rFonts w:cstheme="minorHAnsi"/>
          <w:b/>
          <w:lang w:val="ca-ES"/>
        </w:rPr>
        <w:t xml:space="preserve"> </w:t>
      </w:r>
      <w:proofErr w:type="spellStart"/>
      <w:r w:rsidRPr="00992298">
        <w:rPr>
          <w:rFonts w:cstheme="minorHAnsi"/>
          <w:b/>
          <w:lang w:val="ca-ES"/>
        </w:rPr>
        <w:t>Methods</w:t>
      </w:r>
      <w:proofErr w:type="spellEnd"/>
    </w:p>
    <w:p w:rsidR="00992298" w:rsidRPr="00082DDA" w:rsidRDefault="00992298" w:rsidP="00992298">
      <w:pPr>
        <w:pStyle w:val="Prrafodelista"/>
        <w:numPr>
          <w:ilvl w:val="1"/>
          <w:numId w:val="1"/>
        </w:numPr>
        <w:spacing w:afterLines="120" w:after="288" w:line="480" w:lineRule="auto"/>
        <w:jc w:val="both"/>
        <w:rPr>
          <w:rFonts w:cstheme="minorHAnsi"/>
          <w:lang w:val="en-US"/>
        </w:rPr>
      </w:pPr>
      <w:r w:rsidRPr="00082DDA">
        <w:rPr>
          <w:rFonts w:cstheme="minorHAnsi"/>
          <w:lang w:val="en-US"/>
        </w:rPr>
        <w:t>Hemodynamics</w:t>
      </w:r>
    </w:p>
    <w:p w:rsidR="00992298" w:rsidRPr="00082DDA" w:rsidRDefault="00992298" w:rsidP="00992298">
      <w:pPr>
        <w:spacing w:afterLines="120" w:after="288" w:line="480" w:lineRule="auto"/>
        <w:jc w:val="both"/>
        <w:rPr>
          <w:rFonts w:cstheme="minorHAnsi"/>
          <w:lang w:val="en-US"/>
        </w:rPr>
      </w:pPr>
      <w:r w:rsidRPr="00082DDA">
        <w:rPr>
          <w:rFonts w:cstheme="minorHAnsi"/>
          <w:lang w:val="en-US"/>
        </w:rPr>
        <w:t>Hemodynamic measurements were performed in fasted rats from all studies at the time of sacrifice under constant anesthesia with inhaled isoflurane (5% induction and 2% maintenance; Baxter International Inc., Deerfield, IL, USA). Body temperature was maintained at 37°C for continuous recording of hemodynamic parameters. Mean arterial pressure (MAP, mmHg) and portal pressure (PP, mmHg) were measured by catheterization (polyeth</w:t>
      </w:r>
      <w:r w:rsidRPr="00082DDA">
        <w:rPr>
          <w:rFonts w:ascii="Calibri" w:eastAsia="Calibri" w:hAnsi="Calibri" w:cs="Calibri"/>
          <w:lang w:val="en-US"/>
        </w:rPr>
        <w:t>ylene PE-catheter, PE50) of the femoral artery and ileocolic vein, respectively</w:t>
      </w:r>
      <w:r w:rsidRPr="00082DDA">
        <w:rPr>
          <w:rFonts w:cstheme="minorHAnsi"/>
          <w:lang w:val="en-US"/>
        </w:rPr>
        <w:t>, using highly sensitive pressure transducers (Harvard Apparatus, Holliston, MA, USA). Superior mesenteric artery blood flow (SMABF, mL</w:t>
      </w:r>
      <w:proofErr w:type="gramStart"/>
      <w:r w:rsidRPr="00082DDA">
        <w:rPr>
          <w:rFonts w:cstheme="minorHAnsi"/>
          <w:lang w:val="en-US"/>
        </w:rPr>
        <w:t>/[</w:t>
      </w:r>
      <w:proofErr w:type="gramEnd"/>
      <w:r w:rsidRPr="00082DDA">
        <w:rPr>
          <w:rFonts w:cstheme="minorHAnsi"/>
          <w:lang w:val="en-US"/>
        </w:rPr>
        <w:t>min×100 g]) and portal blood flow (PBF, mL/[min×100 g]) were measured using a perivascular ultrasonic transit-time flow probe (1 mm diameter, Transonic Systems Inc</w:t>
      </w:r>
      <w:r w:rsidRPr="00082DDA">
        <w:rPr>
          <w:rFonts w:ascii="Calibri" w:eastAsia="Calibri" w:hAnsi="Calibri" w:cs="Calibri"/>
          <w:lang w:val="en-US"/>
        </w:rPr>
        <w:t xml:space="preserve">., Ithaca, NY, USA). The </w:t>
      </w:r>
      <w:r w:rsidRPr="00082DDA">
        <w:rPr>
          <w:rFonts w:cstheme="minorHAnsi"/>
          <w:lang w:val="en-US"/>
        </w:rPr>
        <w:t>superior mesenteric artery resistance (SMAR, mmHg/mL×min×100 g) and intrahepatic vascular resistance (IHVR, mmHg/mL×min×100 g) were calculated as [(MAP-PP)/SMABF] and (PP/PBF), respectively.</w:t>
      </w:r>
    </w:p>
    <w:p w:rsidR="00992298" w:rsidRPr="00082DDA" w:rsidRDefault="00992298" w:rsidP="00992298">
      <w:pPr>
        <w:pStyle w:val="Prrafodelista"/>
        <w:numPr>
          <w:ilvl w:val="1"/>
          <w:numId w:val="1"/>
        </w:numPr>
        <w:spacing w:afterLines="120" w:after="288" w:line="480" w:lineRule="auto"/>
        <w:jc w:val="both"/>
        <w:rPr>
          <w:rFonts w:cstheme="minorHAnsi"/>
          <w:lang w:val="en-US"/>
        </w:rPr>
      </w:pPr>
      <w:r w:rsidRPr="00082DDA">
        <w:rPr>
          <w:rFonts w:cstheme="minorHAnsi"/>
          <w:lang w:val="en-US"/>
        </w:rPr>
        <w:t>Biochemistry</w:t>
      </w:r>
    </w:p>
    <w:p w:rsidR="00992298" w:rsidRPr="00082DDA" w:rsidRDefault="00992298" w:rsidP="00992298">
      <w:pPr>
        <w:spacing w:afterLines="120" w:after="288" w:line="480" w:lineRule="auto"/>
        <w:jc w:val="both"/>
        <w:rPr>
          <w:rFonts w:cstheme="minorHAnsi"/>
          <w:lang w:val="en-US"/>
        </w:rPr>
      </w:pPr>
      <w:r w:rsidRPr="00082DDA">
        <w:rPr>
          <w:rFonts w:cstheme="minorHAnsi"/>
          <w:lang w:val="en-US"/>
        </w:rPr>
        <w:t xml:space="preserve">Fasted rat blood samples were collected from the </w:t>
      </w:r>
      <w:proofErr w:type="spellStart"/>
      <w:r w:rsidRPr="00082DDA">
        <w:rPr>
          <w:rFonts w:cstheme="minorHAnsi"/>
          <w:lang w:val="en-US"/>
        </w:rPr>
        <w:t>cava</w:t>
      </w:r>
      <w:r w:rsidRPr="00082DDA">
        <w:rPr>
          <w:rFonts w:ascii="Calibri" w:eastAsia="Calibri" w:hAnsi="Calibri" w:cs="Calibri"/>
          <w:lang w:val="en-US"/>
        </w:rPr>
        <w:t>l</w:t>
      </w:r>
      <w:proofErr w:type="spellEnd"/>
      <w:r w:rsidRPr="00082DDA">
        <w:rPr>
          <w:rFonts w:ascii="Calibri" w:eastAsia="Calibri" w:hAnsi="Calibri" w:cs="Calibri"/>
          <w:lang w:val="en-US"/>
        </w:rPr>
        <w:t xml:space="preserve"> vein immediately after the registration of</w:t>
      </w:r>
      <w:r w:rsidRPr="00082DDA">
        <w:rPr>
          <w:rFonts w:cstheme="minorHAnsi"/>
          <w:lang w:val="en-US"/>
        </w:rPr>
        <w:t xml:space="preserve"> hemodynamic parameters. Glucose, bilirubin, aspartate aminotransferase (AST), alanine aminotransferase (ALT), alkaline phosphatase (AP), total cholesterol, triglycerides (TG)</w:t>
      </w:r>
      <w:r w:rsidRPr="00082DDA">
        <w:rPr>
          <w:rFonts w:ascii="Calibri" w:eastAsia="Calibri" w:hAnsi="Calibri" w:cs="Calibri"/>
          <w:lang w:val="en-US"/>
        </w:rPr>
        <w:t xml:space="preserve">, and albumin levels were measured using standard methods at the Hospital </w:t>
      </w:r>
      <w:proofErr w:type="spellStart"/>
      <w:r w:rsidRPr="00082DDA">
        <w:rPr>
          <w:rFonts w:ascii="Calibri" w:eastAsia="Calibri" w:hAnsi="Calibri" w:cs="Calibri"/>
          <w:lang w:val="en-US"/>
        </w:rPr>
        <w:t>Vall</w:t>
      </w:r>
      <w:proofErr w:type="spellEnd"/>
      <w:r w:rsidRPr="00082DDA">
        <w:rPr>
          <w:rFonts w:ascii="Calibri" w:eastAsia="Calibri" w:hAnsi="Calibri" w:cs="Calibri"/>
          <w:lang w:val="en-US"/>
        </w:rPr>
        <w:t xml:space="preserve"> </w:t>
      </w:r>
      <w:proofErr w:type="spellStart"/>
      <w:r w:rsidRPr="00082DDA">
        <w:rPr>
          <w:rFonts w:cstheme="minorHAnsi"/>
          <w:lang w:val="en-US"/>
        </w:rPr>
        <w:t>d’Hebron</w:t>
      </w:r>
      <w:proofErr w:type="spellEnd"/>
      <w:r w:rsidRPr="00082DDA">
        <w:rPr>
          <w:rFonts w:cstheme="minorHAnsi"/>
          <w:lang w:val="en-US"/>
        </w:rPr>
        <w:t xml:space="preserve"> CORE lab.</w:t>
      </w:r>
    </w:p>
    <w:p w:rsidR="00992298" w:rsidRPr="00082DDA" w:rsidRDefault="00992298" w:rsidP="00992298">
      <w:pPr>
        <w:pStyle w:val="Prrafodelista"/>
        <w:numPr>
          <w:ilvl w:val="1"/>
          <w:numId w:val="1"/>
        </w:numPr>
        <w:spacing w:afterLines="120" w:after="288" w:line="480" w:lineRule="auto"/>
        <w:jc w:val="both"/>
        <w:rPr>
          <w:rFonts w:cstheme="minorHAnsi"/>
          <w:lang w:val="en-US"/>
        </w:rPr>
      </w:pPr>
      <w:r w:rsidRPr="00082DDA">
        <w:rPr>
          <w:rFonts w:cstheme="minorHAnsi"/>
          <w:lang w:val="en-US"/>
        </w:rPr>
        <w:t>Insulin resistance</w:t>
      </w:r>
    </w:p>
    <w:p w:rsidR="00992298" w:rsidRPr="00082DDA" w:rsidRDefault="00992298" w:rsidP="00992298">
      <w:pPr>
        <w:spacing w:afterLines="120" w:after="288" w:line="480" w:lineRule="auto"/>
        <w:jc w:val="both"/>
        <w:rPr>
          <w:rFonts w:cstheme="minorHAnsi"/>
          <w:lang w:val="en-US"/>
        </w:rPr>
      </w:pPr>
      <w:r w:rsidRPr="00082DDA">
        <w:rPr>
          <w:rFonts w:cstheme="minorHAnsi"/>
          <w:lang w:val="en-US"/>
        </w:rPr>
        <w:t xml:space="preserve">Insulin levels were quantified using </w:t>
      </w:r>
      <w:r w:rsidRPr="00082DDA">
        <w:rPr>
          <w:rFonts w:ascii="Calibri" w:eastAsia="Calibri" w:hAnsi="Calibri" w:cs="Calibri"/>
          <w:lang w:val="en-US"/>
        </w:rPr>
        <w:t xml:space="preserve">an </w:t>
      </w:r>
      <w:r w:rsidRPr="00082DDA">
        <w:rPr>
          <w:rFonts w:cstheme="minorHAnsi"/>
          <w:lang w:val="en-US"/>
        </w:rPr>
        <w:t>ELISA commercial kit (Merck, Darmstadt, Germany) in duplicate for each sample. The 96-well plate readings were performed at 450 nm and 590 nm using a Synergy MX spectrophotometer (</w:t>
      </w:r>
      <w:proofErr w:type="spellStart"/>
      <w:r w:rsidRPr="00082DDA">
        <w:rPr>
          <w:rFonts w:cstheme="minorHAnsi"/>
          <w:lang w:val="en-US"/>
        </w:rPr>
        <w:t>Biotek</w:t>
      </w:r>
      <w:proofErr w:type="spellEnd"/>
      <w:r w:rsidRPr="00082DDA">
        <w:rPr>
          <w:rFonts w:cstheme="minorHAnsi"/>
          <w:lang w:val="en-US"/>
        </w:rPr>
        <w:t xml:space="preserve">, Winooski, VT, USA) and Gen 5 v2.9 software. </w:t>
      </w:r>
      <w:r w:rsidRPr="00082DDA">
        <w:rPr>
          <w:rFonts w:cstheme="minorHAnsi"/>
          <w:lang w:val="en-US"/>
        </w:rPr>
        <w:lastRenderedPageBreak/>
        <w:t>Insulin resistance was estimated using the homeostasis model of insulin resistance index (HOMA-IR)</w:t>
      </w:r>
      <w:r w:rsidRPr="00082DDA">
        <w:rPr>
          <w:rFonts w:ascii="Calibri" w:eastAsia="Calibri" w:hAnsi="Calibri" w:cs="Calibri"/>
          <w:lang w:val="en-US"/>
        </w:rPr>
        <w:t xml:space="preserve">, which </w:t>
      </w:r>
      <w:r w:rsidRPr="00082DDA">
        <w:rPr>
          <w:rFonts w:cstheme="minorHAnsi"/>
          <w:lang w:val="en-US"/>
        </w:rPr>
        <w:t>was calculated using the following formula:</w:t>
      </w:r>
    </w:p>
    <w:p w:rsidR="00992298" w:rsidRPr="00082DDA" w:rsidRDefault="00992298" w:rsidP="00992298">
      <w:pPr>
        <w:spacing w:afterLines="120" w:after="288" w:line="480" w:lineRule="auto"/>
        <w:jc w:val="both"/>
        <w:rPr>
          <w:rFonts w:eastAsiaTheme="minorEastAsia" w:cstheme="minorHAnsi"/>
          <w:lang w:val="en-US"/>
        </w:rPr>
      </w:pPr>
      <m:oMathPara>
        <m:oMath>
          <m:r>
            <m:rPr>
              <m:nor/>
            </m:rPr>
            <w:rPr>
              <w:rFonts w:cstheme="minorHAnsi"/>
              <w:iCs/>
              <w:lang w:val="en-US"/>
            </w:rPr>
            <m:t>HOMA</m:t>
          </m:r>
          <m:r>
            <m:rPr>
              <m:nor/>
            </m:rPr>
            <w:rPr>
              <w:rFonts w:cstheme="minorHAnsi"/>
              <w:lang w:val="en-US"/>
            </w:rPr>
            <m:t>-</m:t>
          </m:r>
          <m:r>
            <m:rPr>
              <m:nor/>
            </m:rPr>
            <w:rPr>
              <w:rFonts w:cstheme="minorHAnsi"/>
              <w:iCs/>
              <w:lang w:val="en-US"/>
            </w:rPr>
            <m:t xml:space="preserve">IR </m:t>
          </m:r>
          <m:r>
            <m:rPr>
              <m:nor/>
            </m:rPr>
            <w:rPr>
              <w:rFonts w:cstheme="minorHAnsi"/>
              <w:lang w:val="en-US"/>
            </w:rPr>
            <m:t>=</m:t>
          </m:r>
          <m:r>
            <m:rPr>
              <m:sty m:val="p"/>
            </m:rPr>
            <w:rPr>
              <w:rFonts w:ascii="Cambria Math" w:hAnsi="Cambria Math" w:cstheme="minorHAnsi"/>
              <w:lang w:val="en-US"/>
            </w:rPr>
            <m:t xml:space="preserve"> </m:t>
          </m:r>
          <m:f>
            <m:fPr>
              <m:ctrlPr>
                <w:rPr>
                  <w:rFonts w:ascii="Cambria Math" w:hAnsi="Cambria Math" w:cstheme="minorHAnsi"/>
                  <w:lang w:val="en-US"/>
                </w:rPr>
              </m:ctrlPr>
            </m:fPr>
            <m:num>
              <m:r>
                <m:rPr>
                  <m:nor/>
                </m:rPr>
                <w:rPr>
                  <w:rFonts w:cstheme="minorHAnsi"/>
                  <w:iCs/>
                  <w:lang w:val="en-US"/>
                </w:rPr>
                <m:t>Fasting</m:t>
              </m:r>
              <m:r>
                <m:rPr>
                  <m:nor/>
                </m:rPr>
                <w:rPr>
                  <w:rFonts w:cstheme="minorHAnsi"/>
                  <w:lang w:val="en-US"/>
                </w:rPr>
                <m:t xml:space="preserve"> </m:t>
              </m:r>
              <m:r>
                <m:rPr>
                  <m:nor/>
                </m:rPr>
                <w:rPr>
                  <w:rFonts w:cstheme="minorHAnsi"/>
                  <w:iCs/>
                  <w:lang w:val="en-US"/>
                </w:rPr>
                <m:t>serum</m:t>
              </m:r>
              <m:r>
                <m:rPr>
                  <m:nor/>
                </m:rPr>
                <w:rPr>
                  <w:rFonts w:cstheme="minorHAnsi"/>
                  <w:lang w:val="en-US"/>
                </w:rPr>
                <m:t xml:space="preserve"> </m:t>
              </m:r>
              <m:r>
                <m:rPr>
                  <m:nor/>
                </m:rPr>
                <w:rPr>
                  <w:rFonts w:cstheme="minorHAnsi"/>
                  <w:iCs/>
                  <w:lang w:val="en-US"/>
                </w:rPr>
                <m:t>insulin</m:t>
              </m:r>
              <m:r>
                <m:rPr>
                  <m:nor/>
                </m:rPr>
                <w:rPr>
                  <w:rFonts w:cstheme="minorHAnsi"/>
                  <w:lang w:val="en-US"/>
                </w:rPr>
                <m:t xml:space="preserve"> (</m:t>
              </m:r>
              <m:f>
                <m:fPr>
                  <m:type m:val="lin"/>
                  <m:ctrlPr>
                    <w:rPr>
                      <w:rFonts w:ascii="Cambria Math" w:hAnsi="Cambria Math" w:cstheme="minorHAnsi"/>
                      <w:lang w:val="en-US"/>
                    </w:rPr>
                  </m:ctrlPr>
                </m:fPr>
                <m:num>
                  <m:r>
                    <m:rPr>
                      <m:nor/>
                    </m:rPr>
                    <w:rPr>
                      <w:rFonts w:cstheme="minorHAnsi"/>
                      <w:iCs/>
                      <w:lang w:val="en-US"/>
                    </w:rPr>
                    <m:t>ng</m:t>
                  </m:r>
                </m:num>
                <m:den>
                  <m:r>
                    <m:rPr>
                      <m:nor/>
                    </m:rPr>
                    <w:rPr>
                      <w:rFonts w:cstheme="minorHAnsi"/>
                      <w:iCs/>
                      <w:lang w:val="en-US"/>
                    </w:rPr>
                    <m:t>mL</m:t>
                  </m:r>
                  <m:r>
                    <m:rPr>
                      <m:nor/>
                    </m:rPr>
                    <w:rPr>
                      <w:rFonts w:cstheme="minorHAnsi"/>
                      <w:lang w:val="en-US"/>
                    </w:rPr>
                    <m:t>)</m:t>
                  </m:r>
                </m:den>
              </m:f>
              <m:r>
                <m:rPr>
                  <m:nor/>
                </m:rPr>
                <w:rPr>
                  <w:rFonts w:cstheme="minorHAnsi"/>
                  <w:lang w:val="en-US"/>
                </w:rPr>
                <m:t xml:space="preserve">∙ </m:t>
              </m:r>
              <m:r>
                <m:rPr>
                  <m:nor/>
                </m:rPr>
                <w:rPr>
                  <w:rFonts w:cstheme="minorHAnsi"/>
                  <w:iCs/>
                  <w:lang w:val="en-US"/>
                </w:rPr>
                <m:t>Fasting</m:t>
              </m:r>
              <m:r>
                <m:rPr>
                  <m:nor/>
                </m:rPr>
                <w:rPr>
                  <w:rFonts w:cstheme="minorHAnsi"/>
                  <w:lang w:val="en-US"/>
                </w:rPr>
                <m:t xml:space="preserve"> </m:t>
              </m:r>
              <m:r>
                <m:rPr>
                  <m:nor/>
                </m:rPr>
                <w:rPr>
                  <w:rFonts w:cstheme="minorHAnsi"/>
                  <w:iCs/>
                  <w:lang w:val="en-US"/>
                </w:rPr>
                <m:t>serum</m:t>
              </m:r>
              <m:r>
                <m:rPr>
                  <m:nor/>
                </m:rPr>
                <w:rPr>
                  <w:rFonts w:cstheme="minorHAnsi"/>
                  <w:lang w:val="en-US"/>
                </w:rPr>
                <m:t xml:space="preserve"> </m:t>
              </m:r>
              <m:r>
                <m:rPr>
                  <m:nor/>
                </m:rPr>
                <w:rPr>
                  <w:rFonts w:cstheme="minorHAnsi"/>
                  <w:iCs/>
                  <w:lang w:val="en-US"/>
                </w:rPr>
                <m:t>glucose</m:t>
              </m:r>
              <m:r>
                <m:rPr>
                  <m:nor/>
                </m:rPr>
                <w:rPr>
                  <w:rFonts w:cstheme="minorHAnsi"/>
                  <w:lang w:val="en-US"/>
                </w:rPr>
                <m:t xml:space="preserve"> (</m:t>
              </m:r>
              <m:f>
                <m:fPr>
                  <m:type m:val="lin"/>
                  <m:ctrlPr>
                    <w:rPr>
                      <w:rFonts w:ascii="Cambria Math" w:hAnsi="Cambria Math" w:cstheme="minorHAnsi"/>
                      <w:lang w:val="en-US"/>
                    </w:rPr>
                  </m:ctrlPr>
                </m:fPr>
                <m:num>
                  <m:r>
                    <m:rPr>
                      <m:nor/>
                    </m:rPr>
                    <w:rPr>
                      <w:rFonts w:cstheme="minorHAnsi"/>
                      <w:iCs/>
                      <w:lang w:val="en-US"/>
                    </w:rPr>
                    <m:t>mg</m:t>
                  </m:r>
                </m:num>
                <m:den>
                  <m:r>
                    <m:rPr>
                      <m:nor/>
                    </m:rPr>
                    <w:rPr>
                      <w:rFonts w:cstheme="minorHAnsi"/>
                      <w:iCs/>
                      <w:lang w:val="en-US"/>
                    </w:rPr>
                    <m:t>dL</m:t>
                  </m:r>
                  <m:r>
                    <m:rPr>
                      <m:nor/>
                    </m:rPr>
                    <w:rPr>
                      <w:rFonts w:cstheme="minorHAnsi"/>
                      <w:lang w:val="en-US"/>
                    </w:rPr>
                    <m:t>)</m:t>
                  </m:r>
                </m:den>
              </m:f>
            </m:num>
            <m:den>
              <m:r>
                <m:rPr>
                  <m:nor/>
                </m:rPr>
                <w:rPr>
                  <w:rFonts w:cstheme="minorHAnsi"/>
                  <w:lang w:val="en-US"/>
                </w:rPr>
                <m:t>405</m:t>
              </m:r>
            </m:den>
          </m:f>
        </m:oMath>
      </m:oMathPara>
    </w:p>
    <w:p w:rsidR="00992298" w:rsidRPr="00082DDA" w:rsidRDefault="00992298" w:rsidP="00992298">
      <w:pPr>
        <w:pStyle w:val="Prrafodelista"/>
        <w:numPr>
          <w:ilvl w:val="1"/>
          <w:numId w:val="1"/>
        </w:numPr>
        <w:spacing w:afterLines="120" w:after="288" w:line="480" w:lineRule="auto"/>
        <w:jc w:val="both"/>
        <w:rPr>
          <w:rFonts w:eastAsiaTheme="minorEastAsia" w:cstheme="minorHAnsi"/>
          <w:lang w:val="en-US"/>
        </w:rPr>
      </w:pPr>
      <w:r w:rsidRPr="00082DDA">
        <w:rPr>
          <w:rFonts w:eastAsiaTheme="minorEastAsia" w:cstheme="minorHAnsi"/>
          <w:lang w:val="en-US"/>
        </w:rPr>
        <w:t>Histology</w:t>
      </w:r>
    </w:p>
    <w:p w:rsidR="00992298" w:rsidRPr="00082DDA" w:rsidRDefault="00992298" w:rsidP="00992298">
      <w:pPr>
        <w:spacing w:afterLines="120" w:after="288" w:line="480" w:lineRule="auto"/>
        <w:jc w:val="both"/>
        <w:rPr>
          <w:rFonts w:eastAsiaTheme="minorEastAsia" w:cstheme="minorHAnsi"/>
          <w:lang w:val="en-US"/>
        </w:rPr>
      </w:pPr>
      <w:r w:rsidRPr="00082DDA">
        <w:rPr>
          <w:rFonts w:eastAsiaTheme="minorEastAsia" w:cstheme="minorHAnsi"/>
          <w:lang w:val="en-US"/>
        </w:rPr>
        <w:t>Liver samples were fixed in 4% formaldehyde for 24 h, embedded in paraffin</w:t>
      </w:r>
      <w:r w:rsidRPr="00082DDA">
        <w:rPr>
          <w:rFonts w:ascii="Calibri" w:eastAsia="Times New Roman" w:hAnsi="Calibri" w:cs="Calibri"/>
          <w:lang w:val="en-US"/>
        </w:rPr>
        <w:t xml:space="preserve">, and sectioned into 4 </w:t>
      </w:r>
      <w:proofErr w:type="spellStart"/>
      <w:r w:rsidRPr="00082DDA">
        <w:rPr>
          <w:rFonts w:eastAsiaTheme="minorEastAsia" w:cstheme="minorHAnsi"/>
          <w:lang w:val="en-US"/>
        </w:rPr>
        <w:t>μm</w:t>
      </w:r>
      <w:proofErr w:type="spellEnd"/>
      <w:r w:rsidRPr="00082DDA">
        <w:rPr>
          <w:rFonts w:eastAsiaTheme="minorEastAsia" w:cstheme="minorHAnsi"/>
          <w:lang w:val="en-US"/>
        </w:rPr>
        <w:t>-thick slides. Hematoxylin-eosin</w:t>
      </w:r>
      <w:r w:rsidRPr="00082DDA">
        <w:rPr>
          <w:rFonts w:ascii="Calibri" w:eastAsia="Times New Roman" w:hAnsi="Calibri" w:cs="Calibri"/>
          <w:lang w:val="en-US"/>
        </w:rPr>
        <w:t xml:space="preserve"> (H&amp;E) staining was used to assess the </w:t>
      </w:r>
      <w:r w:rsidRPr="00082DDA">
        <w:rPr>
          <w:rFonts w:eastAsiaTheme="minorEastAsia" w:cstheme="minorHAnsi"/>
          <w:lang w:val="en-US"/>
        </w:rPr>
        <w:t xml:space="preserve">liver parenchyma. To detect collagen fibers (fibrosis), liver sections from all studies were hydrated and stained with 0.1% Sirius Red (Merck, Darmstadt, Germany). All stained liver sections were examined by an expert liver pathologist who was blinded to animal interventions. </w:t>
      </w:r>
    </w:p>
    <w:p w:rsidR="00992298" w:rsidRPr="00082DDA" w:rsidRDefault="00992298" w:rsidP="00992298">
      <w:pPr>
        <w:spacing w:afterLines="120" w:after="288" w:line="480" w:lineRule="auto"/>
        <w:jc w:val="both"/>
        <w:rPr>
          <w:rFonts w:eastAsiaTheme="minorEastAsia" w:cstheme="minorHAnsi"/>
          <w:lang w:val="en-US"/>
        </w:rPr>
      </w:pPr>
      <w:r w:rsidRPr="00082DDA">
        <w:rPr>
          <w:rFonts w:eastAsiaTheme="minorEastAsia" w:cstheme="minorHAnsi"/>
          <w:lang w:val="en-US"/>
        </w:rPr>
        <w:t xml:space="preserve">All histological parameters were evaluated using the NASH-CRN system </w:t>
      </w:r>
      <w:sdt>
        <w:sdtPr>
          <w:rPr>
            <w:rFonts w:eastAsiaTheme="minorEastAsia" w:cstheme="minorHAnsi"/>
            <w:color w:val="000000"/>
            <w:lang w:val="en-US"/>
          </w:rPr>
          <w:tag w:val="MENDELEY_CITATION_v3_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"/>
          <w:id w:val="-1834520767"/>
          <w:placeholder>
            <w:docPart w:val="12277668A24340F5BB0F55E46085FE0D"/>
          </w:placeholder>
        </w:sdtPr>
        <w:sdtEndPr/>
        <w:sdtContent>
          <w:r w:rsidRPr="00082DDA">
            <w:rPr>
              <w:rFonts w:eastAsiaTheme="minorEastAsia" w:cstheme="minorHAnsi"/>
              <w:color w:val="000000"/>
              <w:lang w:val="en-US"/>
            </w:rPr>
            <w:t>[14]</w:t>
          </w:r>
        </w:sdtContent>
      </w:sdt>
      <w:r w:rsidRPr="00082DDA">
        <w:rPr>
          <w:rFonts w:eastAsiaTheme="minorEastAsia" w:cstheme="minorHAnsi"/>
          <w:lang w:val="en-US"/>
        </w:rPr>
        <w:t xml:space="preserve"> (Suppl. Table 1). Steatosis was scored on a scale of 0 to 3, corresponding to &lt;5%, 5-33%, 33-66% and &gt;66%, respectively. Lobular inflammation was scored from 0 to 3, corresponding to none, &lt;2, 2-4 and &gt;4 foci, respectively. Fibrosis was assessed from F0 (no fibrosis) to F4 (cirrhosis)</w:t>
      </w:r>
      <w:r w:rsidRPr="00082DDA">
        <w:rPr>
          <w:rFonts w:ascii="Calibri" w:eastAsia="Times New Roman" w:hAnsi="Calibri" w:cs="Calibri"/>
          <w:lang w:val="en-US"/>
        </w:rPr>
        <w:t xml:space="preserve"> stages</w:t>
      </w:r>
      <w:r w:rsidRPr="00082DDA">
        <w:rPr>
          <w:rFonts w:eastAsiaTheme="minorEastAsia" w:cstheme="minorHAnsi"/>
          <w:lang w:val="en-US"/>
        </w:rPr>
        <w:t xml:space="preserve">. </w:t>
      </w:r>
    </w:p>
    <w:p w:rsidR="00992298" w:rsidRPr="00082DDA" w:rsidRDefault="00992298" w:rsidP="00992298">
      <w:pPr>
        <w:spacing w:afterLines="120" w:after="288" w:line="480" w:lineRule="auto"/>
        <w:jc w:val="both"/>
        <w:rPr>
          <w:rFonts w:eastAsiaTheme="minorEastAsia" w:cstheme="minorHAnsi"/>
          <w:lang w:val="en-US"/>
        </w:rPr>
      </w:pPr>
      <w:r w:rsidRPr="00082DDA">
        <w:rPr>
          <w:rFonts w:eastAsiaTheme="minorEastAsia" w:cstheme="minorHAnsi"/>
          <w:lang w:val="en-US"/>
        </w:rPr>
        <w:t xml:space="preserve">Liver fibrosis was assessed quantitatively by image analysis. Ten fields from each Sirius red-stained liver section were randomly captured at 10× magnification using an optical microscope </w:t>
      </w:r>
      <w:r w:rsidRPr="00082DDA">
        <w:rPr>
          <w:rFonts w:ascii="Calibri" w:eastAsia="Times New Roman" w:hAnsi="Calibri" w:cs="Calibri"/>
          <w:lang w:val="en-US"/>
        </w:rPr>
        <w:t>(Olympus BX61</w:t>
      </w:r>
      <w:r w:rsidRPr="00082DDA">
        <w:rPr>
          <w:rFonts w:eastAsiaTheme="minorEastAsia" w:cstheme="minorHAnsi"/>
          <w:lang w:val="en-US"/>
        </w:rPr>
        <w:t xml:space="preserve">; Olympus, Hamburg, Germany). The proportion of Sirius red-stained area per total area was measured using </w:t>
      </w:r>
      <w:r w:rsidRPr="00082DDA">
        <w:rPr>
          <w:rFonts w:ascii="Calibri" w:eastAsia="Times New Roman" w:hAnsi="Calibri" w:cs="Calibri"/>
          <w:lang w:val="en-US"/>
        </w:rPr>
        <w:t>a Java-based image processing software (Image J; National Institute of Health, Bethesda, MD, USA) and expressed as the fibrotic area (%).</w:t>
      </w:r>
    </w:p>
    <w:p w:rsidR="00992298" w:rsidRPr="00082DDA" w:rsidRDefault="00992298" w:rsidP="00992298">
      <w:pPr>
        <w:pStyle w:val="Prrafodelista"/>
        <w:numPr>
          <w:ilvl w:val="1"/>
          <w:numId w:val="1"/>
        </w:numPr>
        <w:spacing w:afterLines="120" w:after="288" w:line="480" w:lineRule="auto"/>
        <w:jc w:val="both"/>
        <w:rPr>
          <w:rFonts w:cstheme="minorHAnsi"/>
          <w:lang w:val="en-US"/>
        </w:rPr>
      </w:pPr>
      <w:r w:rsidRPr="00082DDA">
        <w:rPr>
          <w:rFonts w:cstheme="minorHAnsi"/>
          <w:lang w:val="en-US"/>
        </w:rPr>
        <w:t>Immunohistochemistry</w:t>
      </w:r>
    </w:p>
    <w:p w:rsidR="00992298" w:rsidRPr="00082DDA" w:rsidRDefault="00992298" w:rsidP="00992298">
      <w:pPr>
        <w:spacing w:afterLines="120" w:after="288" w:line="480" w:lineRule="auto"/>
        <w:jc w:val="both"/>
        <w:rPr>
          <w:rFonts w:cstheme="minorHAnsi"/>
          <w:lang w:val="en-US"/>
        </w:rPr>
      </w:pPr>
      <w:r w:rsidRPr="00082DDA">
        <w:rPr>
          <w:rFonts w:cstheme="minorHAnsi"/>
          <w:lang w:val="en-US"/>
        </w:rPr>
        <w:t>Cytokeratin-7 (CK-7) immunohistochemistry was performed in 4 µm sections of formalin-fixed, paraffin-embedded liver tissue from STUDY-2 and STUDY-3</w:t>
      </w:r>
      <w:r w:rsidRPr="00082DDA">
        <w:rPr>
          <w:rFonts w:ascii="Calibri" w:eastAsia="Calibri" w:hAnsi="Calibri" w:cs="Calibri"/>
          <w:lang w:val="en-US"/>
        </w:rPr>
        <w:t xml:space="preserve"> rats</w:t>
      </w:r>
      <w:r w:rsidRPr="00082DDA">
        <w:rPr>
          <w:rFonts w:cstheme="minorHAnsi"/>
          <w:lang w:val="en-US"/>
        </w:rPr>
        <w:t xml:space="preserve">. sections were blocked with 5% goat serum (Merck, Darmstadt, Germany) and subsequently incubated with the primary </w:t>
      </w:r>
      <w:r w:rsidRPr="00082DDA">
        <w:rPr>
          <w:rFonts w:cstheme="minorHAnsi"/>
          <w:lang w:val="en-US"/>
        </w:rPr>
        <w:lastRenderedPageBreak/>
        <w:t xml:space="preserve">antibody anti-CK-7 (ab181498, 1/8000, Abcam, MA, USA) overnight at 4 °C. </w:t>
      </w:r>
      <w:r w:rsidRPr="00082DDA">
        <w:rPr>
          <w:rFonts w:ascii="Calibri" w:eastAsia="Calibri" w:hAnsi="Calibri" w:cs="Calibri"/>
          <w:lang w:val="en-US"/>
        </w:rPr>
        <w:t xml:space="preserve">The </w:t>
      </w:r>
      <w:r w:rsidRPr="00082DDA">
        <w:rPr>
          <w:rFonts w:cstheme="minorHAnsi"/>
          <w:lang w:val="en-US"/>
        </w:rPr>
        <w:t>secondary antibody was applied for 30 min (</w:t>
      </w:r>
      <w:proofErr w:type="spellStart"/>
      <w:r w:rsidRPr="00082DDA">
        <w:rPr>
          <w:rFonts w:cstheme="minorHAnsi"/>
          <w:lang w:val="en-US"/>
        </w:rPr>
        <w:t>EnVisionTM</w:t>
      </w:r>
      <w:proofErr w:type="spellEnd"/>
      <w:r w:rsidRPr="00082DDA">
        <w:rPr>
          <w:rFonts w:cstheme="minorHAnsi"/>
          <w:lang w:val="en-US"/>
        </w:rPr>
        <w:t xml:space="preserve"> Dual Link System-HRP; </w:t>
      </w:r>
      <w:proofErr w:type="spellStart"/>
      <w:r w:rsidRPr="00082DDA">
        <w:rPr>
          <w:rFonts w:cstheme="minorHAnsi"/>
          <w:lang w:val="en-US"/>
        </w:rPr>
        <w:t>Dako</w:t>
      </w:r>
      <w:proofErr w:type="spellEnd"/>
      <w:r w:rsidRPr="00082DDA">
        <w:rPr>
          <w:rFonts w:cstheme="minorHAnsi"/>
          <w:lang w:val="en-US"/>
        </w:rPr>
        <w:t xml:space="preserve">, </w:t>
      </w:r>
      <w:proofErr w:type="spellStart"/>
      <w:r w:rsidRPr="00082DDA">
        <w:rPr>
          <w:rFonts w:cstheme="minorHAnsi"/>
          <w:lang w:val="en-US"/>
        </w:rPr>
        <w:t>Glostrup</w:t>
      </w:r>
      <w:proofErr w:type="spellEnd"/>
      <w:r w:rsidRPr="00082DDA">
        <w:rPr>
          <w:rFonts w:cstheme="minorHAnsi"/>
          <w:lang w:val="en-US"/>
        </w:rPr>
        <w:t xml:space="preserve">, Denmark). </w:t>
      </w:r>
      <w:r w:rsidRPr="00082DDA">
        <w:rPr>
          <w:rFonts w:ascii="Calibri" w:eastAsia="Calibri" w:hAnsi="Calibri" w:cs="Calibri"/>
          <w:lang w:val="en-US"/>
        </w:rPr>
        <w:t xml:space="preserve">A </w:t>
      </w:r>
      <w:r w:rsidRPr="00082DDA">
        <w:rPr>
          <w:rFonts w:cstheme="minorHAnsi"/>
          <w:lang w:val="en-US"/>
        </w:rPr>
        <w:t xml:space="preserve">peroxidase solution (Vector® </w:t>
      </w:r>
      <w:proofErr w:type="spellStart"/>
      <w:r w:rsidRPr="00082DDA">
        <w:rPr>
          <w:rFonts w:cstheme="minorHAnsi"/>
          <w:lang w:val="en-US"/>
        </w:rPr>
        <w:t>Vip</w:t>
      </w:r>
      <w:proofErr w:type="spellEnd"/>
      <w:r w:rsidRPr="00082DDA">
        <w:rPr>
          <w:rFonts w:cstheme="minorHAnsi"/>
          <w:lang w:val="en-US"/>
        </w:rPr>
        <w:t xml:space="preserve"> SK-4600, Vector Laboratories, Inc., Burlingame, CA, USA) was used for detection and mounted with DPX rapid mounting medium (</w:t>
      </w:r>
      <w:proofErr w:type="spellStart"/>
      <w:r w:rsidRPr="00082DDA">
        <w:rPr>
          <w:rFonts w:cstheme="minorHAnsi"/>
          <w:lang w:val="en-US"/>
        </w:rPr>
        <w:t>PanReac</w:t>
      </w:r>
      <w:proofErr w:type="spellEnd"/>
      <w:r w:rsidRPr="00082DDA">
        <w:rPr>
          <w:rFonts w:cstheme="minorHAnsi"/>
          <w:lang w:val="en-US"/>
        </w:rPr>
        <w:t xml:space="preserve"> AppliChem). Quantitative analysis of CK-7 positive-stained areas was performed using Image J software on ten random vision fields per sample at 10× magnification with an optical microscope </w:t>
      </w:r>
      <w:r w:rsidRPr="00082DDA">
        <w:rPr>
          <w:rFonts w:ascii="Calibri" w:eastAsia="Calibri" w:hAnsi="Calibri" w:cs="Calibri"/>
          <w:lang w:val="en-US"/>
        </w:rPr>
        <w:t xml:space="preserve">(Olympus </w:t>
      </w:r>
      <w:r w:rsidRPr="00082DDA">
        <w:rPr>
          <w:rFonts w:cstheme="minorHAnsi"/>
          <w:lang w:val="en-US"/>
        </w:rPr>
        <w:t>BX61</w:t>
      </w:r>
      <w:r w:rsidRPr="00082DDA">
        <w:rPr>
          <w:rFonts w:ascii="Calibri" w:eastAsia="Calibri" w:hAnsi="Calibri" w:cs="Calibri"/>
          <w:lang w:val="en-US"/>
        </w:rPr>
        <w:t xml:space="preserve">). The results </w:t>
      </w:r>
      <w:r w:rsidRPr="00082DDA">
        <w:rPr>
          <w:rFonts w:cstheme="minorHAnsi"/>
          <w:lang w:val="en-US"/>
        </w:rPr>
        <w:t>are reported as the median of all quantified areas for each sample and group.</w:t>
      </w:r>
    </w:p>
    <w:p w:rsidR="00992298" w:rsidRPr="00082DDA" w:rsidRDefault="00992298" w:rsidP="00992298">
      <w:pPr>
        <w:pStyle w:val="Prrafodelista"/>
        <w:numPr>
          <w:ilvl w:val="1"/>
          <w:numId w:val="1"/>
        </w:numPr>
        <w:spacing w:afterLines="120" w:after="288" w:line="480" w:lineRule="auto"/>
        <w:jc w:val="both"/>
        <w:rPr>
          <w:rFonts w:cstheme="minorHAnsi"/>
          <w:lang w:val="en-US"/>
        </w:rPr>
      </w:pPr>
      <w:r w:rsidRPr="00082DDA">
        <w:rPr>
          <w:rFonts w:cstheme="minorHAnsi"/>
          <w:lang w:val="en-US"/>
        </w:rPr>
        <w:t>Western blot analysis</w:t>
      </w:r>
    </w:p>
    <w:p w:rsidR="00992298" w:rsidRPr="00082DDA" w:rsidRDefault="00992298" w:rsidP="00992298">
      <w:pPr>
        <w:spacing w:afterLines="120" w:after="288" w:line="480" w:lineRule="auto"/>
        <w:jc w:val="both"/>
        <w:rPr>
          <w:rFonts w:cstheme="minorHAnsi"/>
          <w:lang w:val="en-US"/>
        </w:rPr>
      </w:pPr>
      <w:r w:rsidRPr="00082DDA">
        <w:rPr>
          <w:rFonts w:cstheme="minorHAnsi"/>
          <w:lang w:val="en-US"/>
        </w:rPr>
        <w:t xml:space="preserve">Rat liver samples from STUDY-2 and STUDY-3 containing 60 </w:t>
      </w:r>
      <w:proofErr w:type="spellStart"/>
      <w:r w:rsidRPr="00082DDA">
        <w:rPr>
          <w:rFonts w:cstheme="minorHAnsi"/>
          <w:lang w:val="en-US"/>
        </w:rPr>
        <w:t>μg</w:t>
      </w:r>
      <w:proofErr w:type="spellEnd"/>
      <w:r w:rsidRPr="00082DDA">
        <w:rPr>
          <w:rFonts w:cstheme="minorHAnsi"/>
          <w:lang w:val="en-US"/>
        </w:rPr>
        <w:t xml:space="preserve"> of protein were run on a </w:t>
      </w:r>
      <w:proofErr w:type="spellStart"/>
      <w:r w:rsidRPr="00082DDA">
        <w:rPr>
          <w:rFonts w:cstheme="minorHAnsi"/>
          <w:lang w:val="en-US"/>
        </w:rPr>
        <w:t>NuPAGE</w:t>
      </w:r>
      <w:proofErr w:type="spellEnd"/>
      <w:r w:rsidRPr="00082DDA">
        <w:rPr>
          <w:rFonts w:cstheme="minorHAnsi"/>
          <w:lang w:val="en-US"/>
        </w:rPr>
        <w:t xml:space="preserve"> Bis-Tris 4–12% SDS-PAGE (Invitrogen, Thermo Fisher Scientific, Waltham, MA, USA) under denaturing conditions, blotted onto a polyvinylidene difluoride (PVDF) blotting membrane</w:t>
      </w:r>
      <w:r w:rsidRPr="00082DDA">
        <w:rPr>
          <w:rFonts w:ascii="Calibri" w:eastAsia="Calibri" w:hAnsi="Calibri" w:cs="Calibri"/>
          <w:lang w:val="en-US"/>
        </w:rPr>
        <w:t xml:space="preserve">, and incubated with the appropriate dilution of the primary antibodies for </w:t>
      </w:r>
      <w:proofErr w:type="spellStart"/>
      <w:r w:rsidRPr="00082DDA">
        <w:rPr>
          <w:rFonts w:cstheme="minorHAnsi"/>
          <w:lang w:val="en-US"/>
        </w:rPr>
        <w:t>eNOS</w:t>
      </w:r>
      <w:proofErr w:type="spellEnd"/>
      <w:r w:rsidRPr="00082DDA">
        <w:rPr>
          <w:rFonts w:cstheme="minorHAnsi"/>
          <w:lang w:val="en-US"/>
        </w:rPr>
        <w:t xml:space="preserve"> (1:500 in 5% BSA; BD, USA), p-</w:t>
      </w:r>
      <w:proofErr w:type="spellStart"/>
      <w:r w:rsidRPr="00082DDA">
        <w:rPr>
          <w:rFonts w:cstheme="minorHAnsi"/>
          <w:lang w:val="en-US"/>
        </w:rPr>
        <w:t>eNOS</w:t>
      </w:r>
      <w:proofErr w:type="spellEnd"/>
      <w:r w:rsidRPr="00082DDA">
        <w:rPr>
          <w:rFonts w:cstheme="minorHAnsi"/>
          <w:lang w:val="en-US"/>
        </w:rPr>
        <w:t xml:space="preserve"> (1:250 in 5% BSA; Cell Signaling, Danvers, MA, USA), AKT (1:500 in 5% BSA; Cell Signaling), P-AKT (1:500 in 5% </w:t>
      </w:r>
      <w:proofErr w:type="spellStart"/>
      <w:r w:rsidRPr="00082DDA">
        <w:rPr>
          <w:rFonts w:cstheme="minorHAnsi"/>
          <w:lang w:val="en-US"/>
        </w:rPr>
        <w:t>Phosphoblocker</w:t>
      </w:r>
      <w:proofErr w:type="spellEnd"/>
      <w:r w:rsidRPr="00082DDA">
        <w:rPr>
          <w:rFonts w:cstheme="minorHAnsi"/>
          <w:lang w:val="en-US"/>
        </w:rPr>
        <w:t xml:space="preserve">; Cell Signaling), and KLF2 (1:200 in 5% BSA; Santa Cruz Biotechnology, Santa Cruz, CA, USA). GAPDH antibody (1:5000 in TTBS 1X, </w:t>
      </w:r>
      <w:proofErr w:type="spellStart"/>
      <w:r w:rsidRPr="00082DDA">
        <w:rPr>
          <w:rFonts w:cstheme="minorHAnsi"/>
          <w:lang w:val="en-US"/>
        </w:rPr>
        <w:t>Ambion</w:t>
      </w:r>
      <w:proofErr w:type="spellEnd"/>
      <w:r w:rsidRPr="00082DDA">
        <w:rPr>
          <w:rFonts w:cstheme="minorHAnsi"/>
          <w:lang w:val="en-US"/>
        </w:rPr>
        <w:t xml:space="preserve">, Austin, TX, USA) was used as the loading control. The electrophoretic bands of western blots were detected through digital chemiluminescence using an Odyssey Fc Imaging System (LI-COR Biosciences, Lincoln, NE, USA). Protein quantification was performed </w:t>
      </w:r>
      <w:r w:rsidRPr="00082DDA">
        <w:rPr>
          <w:rFonts w:ascii="Calibri" w:eastAsia="Calibri" w:hAnsi="Calibri" w:cs="Calibri"/>
          <w:lang w:val="en-US"/>
        </w:rPr>
        <w:t xml:space="preserve">using </w:t>
      </w:r>
      <w:r w:rsidRPr="00082DDA">
        <w:rPr>
          <w:rFonts w:cstheme="minorHAnsi"/>
          <w:lang w:val="en-US"/>
        </w:rPr>
        <w:t>th</w:t>
      </w:r>
      <w:r w:rsidRPr="00082DDA">
        <w:rPr>
          <w:rFonts w:ascii="Calibri" w:eastAsia="Calibri" w:hAnsi="Calibri" w:cs="Calibri"/>
          <w:lang w:val="en-US"/>
        </w:rPr>
        <w:t>e Image Studio Lite software version 5.2 (LI-COR Biosciences).</w:t>
      </w:r>
    </w:p>
    <w:p w:rsidR="00992298" w:rsidRPr="00082DDA" w:rsidRDefault="00992298" w:rsidP="00992298">
      <w:pPr>
        <w:pStyle w:val="Prrafodelista"/>
        <w:numPr>
          <w:ilvl w:val="1"/>
          <w:numId w:val="1"/>
        </w:numPr>
        <w:spacing w:afterLines="120" w:after="288" w:line="480" w:lineRule="auto"/>
        <w:jc w:val="both"/>
        <w:rPr>
          <w:rFonts w:cstheme="minorHAnsi"/>
          <w:lang w:val="en-US"/>
        </w:rPr>
      </w:pPr>
      <w:r w:rsidRPr="00082DDA">
        <w:rPr>
          <w:rFonts w:cstheme="minorHAnsi"/>
          <w:lang w:val="en-US"/>
        </w:rPr>
        <w:t>RNA extraction and gene expression</w:t>
      </w:r>
    </w:p>
    <w:p w:rsidR="00992298" w:rsidRPr="00EF1462" w:rsidRDefault="00992298" w:rsidP="00992298">
      <w:pPr>
        <w:spacing w:afterLines="120" w:after="288" w:line="480" w:lineRule="auto"/>
        <w:jc w:val="both"/>
        <w:rPr>
          <w:rFonts w:cstheme="minorHAnsi"/>
          <w:lang w:val="en-US"/>
        </w:rPr>
      </w:pPr>
      <w:r w:rsidRPr="00082DDA">
        <w:rPr>
          <w:rFonts w:cstheme="minorHAnsi"/>
          <w:lang w:val="en-US"/>
        </w:rPr>
        <w:t xml:space="preserve">Rat liver samples from STUDY-2 and STUDY-3 were maintained for at least 24 h in </w:t>
      </w:r>
      <w:proofErr w:type="spellStart"/>
      <w:r w:rsidRPr="00082DDA">
        <w:rPr>
          <w:rFonts w:cstheme="minorHAnsi"/>
          <w:lang w:val="en-US"/>
        </w:rPr>
        <w:t>RNA</w:t>
      </w:r>
      <w:r w:rsidRPr="00082DDA">
        <w:rPr>
          <w:rFonts w:cstheme="minorHAnsi"/>
          <w:i/>
          <w:lang w:val="en-US"/>
        </w:rPr>
        <w:t>later</w:t>
      </w:r>
      <w:proofErr w:type="spellEnd"/>
      <w:r w:rsidRPr="00082DDA">
        <w:rPr>
          <w:rFonts w:cstheme="minorHAnsi"/>
          <w:lang w:val="en-US"/>
        </w:rPr>
        <w:t xml:space="preserve"> </w:t>
      </w:r>
      <w:r w:rsidRPr="00082DDA">
        <w:rPr>
          <w:rFonts w:cstheme="minorHAnsi"/>
          <w:i/>
          <w:lang w:val="en-US"/>
        </w:rPr>
        <w:t>Stabilization Solution</w:t>
      </w:r>
      <w:r w:rsidRPr="00082DDA">
        <w:rPr>
          <w:rFonts w:cstheme="minorHAnsi"/>
          <w:lang w:val="en-US"/>
        </w:rPr>
        <w:t xml:space="preserve"> (Thermo Fisher Scientific) and then stored at -80 °C until further use. Total RNA was extracted using </w:t>
      </w:r>
      <w:r w:rsidRPr="00082DDA">
        <w:rPr>
          <w:rFonts w:ascii="Calibri" w:eastAsia="Calibri" w:hAnsi="Calibri" w:cs="Calibri"/>
          <w:lang w:val="en-US"/>
        </w:rPr>
        <w:t>the RNeasy Mini</w:t>
      </w:r>
      <w:r w:rsidRPr="00082DDA">
        <w:rPr>
          <w:rFonts w:cstheme="minorHAnsi"/>
          <w:lang w:val="en-US"/>
        </w:rPr>
        <w:t xml:space="preserve"> Kit (QIAGEN, Venlo, Netherlands) and reverse-transcribed to cDNA. Each cDNA sample was amplified using </w:t>
      </w:r>
      <w:proofErr w:type="spellStart"/>
      <w:r w:rsidRPr="00082DDA">
        <w:rPr>
          <w:rFonts w:cstheme="minorHAnsi"/>
          <w:lang w:val="en-US"/>
        </w:rPr>
        <w:t>Taqman</w:t>
      </w:r>
      <w:proofErr w:type="spellEnd"/>
      <w:r w:rsidRPr="00082DDA">
        <w:rPr>
          <w:rFonts w:cstheme="minorHAnsi"/>
          <w:lang w:val="en-US"/>
        </w:rPr>
        <w:t xml:space="preserve"> probes for adiponectin </w:t>
      </w:r>
      <w:r w:rsidRPr="00082DDA">
        <w:rPr>
          <w:rFonts w:cstheme="minorHAnsi"/>
          <w:lang w:val="en-US"/>
        </w:rPr>
        <w:lastRenderedPageBreak/>
        <w:t>receptor 2 (AdipoR2; Rn01463173_m1), insulin receptor substrate</w:t>
      </w:r>
      <w:r w:rsidRPr="00082DDA">
        <w:rPr>
          <w:rFonts w:ascii="Calibri" w:eastAsia="Calibri" w:hAnsi="Calibri" w:cs="Calibri"/>
          <w:lang w:val="en-US"/>
        </w:rPr>
        <w:t>s 1 and 2 (</w:t>
      </w:r>
      <w:r w:rsidRPr="00082DDA">
        <w:rPr>
          <w:rFonts w:cstheme="minorHAnsi"/>
          <w:lang w:val="en-US"/>
        </w:rPr>
        <w:t>IRS-1, IRS-2; Rn02132493_s1</w:t>
      </w:r>
      <w:r w:rsidRPr="00082DDA">
        <w:rPr>
          <w:rFonts w:ascii="Calibri" w:eastAsia="Calibri" w:hAnsi="Calibri" w:cs="Calibri"/>
          <w:lang w:val="en-US"/>
        </w:rPr>
        <w:t>, and Rn01482270_s1</w:t>
      </w:r>
      <w:r w:rsidRPr="00082DDA">
        <w:rPr>
          <w:rFonts w:cstheme="minorHAnsi"/>
          <w:lang w:val="en-US"/>
        </w:rPr>
        <w:t>)</w:t>
      </w:r>
      <w:r w:rsidRPr="00082DDA">
        <w:rPr>
          <w:rFonts w:ascii="Calibri" w:eastAsia="Calibri" w:hAnsi="Calibri" w:cs="Calibri"/>
          <w:lang w:val="en-US"/>
        </w:rPr>
        <w:t xml:space="preserve">, and </w:t>
      </w:r>
      <w:r w:rsidRPr="00082DDA">
        <w:rPr>
          <w:rFonts w:cstheme="minorHAnsi"/>
          <w:lang w:val="en-US"/>
        </w:rPr>
        <w:t>leptin receptor (</w:t>
      </w:r>
      <w:proofErr w:type="spellStart"/>
      <w:r w:rsidRPr="00082DDA">
        <w:rPr>
          <w:rFonts w:cstheme="minorHAnsi"/>
          <w:lang w:val="en-US"/>
        </w:rPr>
        <w:t>LepR</w:t>
      </w:r>
      <w:proofErr w:type="spellEnd"/>
      <w:r w:rsidRPr="00082DDA">
        <w:rPr>
          <w:rFonts w:cstheme="minorHAnsi"/>
          <w:lang w:val="en-US"/>
        </w:rPr>
        <w:t xml:space="preserve">; Rn01433210_m1). The relative gene expression was normalized to </w:t>
      </w:r>
      <w:r w:rsidRPr="00082DDA">
        <w:rPr>
          <w:rFonts w:ascii="Calibri" w:eastAsia="Calibri" w:hAnsi="Calibri" w:cs="Calibri"/>
          <w:lang w:val="en-US"/>
        </w:rPr>
        <w:t>that of β-</w:t>
      </w:r>
      <w:r w:rsidRPr="00082DDA">
        <w:rPr>
          <w:rFonts w:cstheme="minorHAnsi"/>
          <w:lang w:val="en-US"/>
        </w:rPr>
        <w:t>actin (</w:t>
      </w:r>
      <w:proofErr w:type="spellStart"/>
      <w:r w:rsidRPr="00082DDA">
        <w:rPr>
          <w:rFonts w:cstheme="minorHAnsi"/>
          <w:lang w:val="en-US"/>
        </w:rPr>
        <w:t>Actb</w:t>
      </w:r>
      <w:proofErr w:type="spellEnd"/>
      <w:r w:rsidRPr="00082DDA">
        <w:rPr>
          <w:rFonts w:cstheme="minorHAnsi"/>
          <w:lang w:val="en-US"/>
        </w:rPr>
        <w:t>; Rn00667869_m1). Each sample was analyzed in triplicate.</w:t>
      </w:r>
      <w:r w:rsidRPr="00EF1462">
        <w:rPr>
          <w:rFonts w:cstheme="minorHAnsi"/>
          <w:lang w:val="en-US"/>
        </w:rPr>
        <w:t xml:space="preserve"> </w:t>
      </w:r>
    </w:p>
    <w:p w:rsidR="00082DDA" w:rsidRPr="00992298" w:rsidRDefault="00082DDA" w:rsidP="00992298">
      <w:pPr>
        <w:pStyle w:val="Prrafodelista"/>
        <w:numPr>
          <w:ilvl w:val="0"/>
          <w:numId w:val="1"/>
        </w:numPr>
        <w:spacing w:line="480" w:lineRule="auto"/>
        <w:jc w:val="both"/>
        <w:rPr>
          <w:rFonts w:cstheme="minorHAnsi"/>
          <w:b/>
          <w:lang w:val="ca-ES"/>
        </w:rPr>
      </w:pPr>
      <w:r w:rsidRPr="00992298">
        <w:rPr>
          <w:rFonts w:cstheme="minorHAnsi"/>
          <w:b/>
          <w:lang w:val="ca-ES"/>
        </w:rPr>
        <w:t xml:space="preserve">Experimental unit </w:t>
      </w:r>
      <w:proofErr w:type="spellStart"/>
      <w:r w:rsidRPr="00992298">
        <w:rPr>
          <w:rFonts w:cstheme="minorHAnsi"/>
          <w:b/>
          <w:lang w:val="ca-ES"/>
        </w:rPr>
        <w:t>and</w:t>
      </w:r>
      <w:proofErr w:type="spellEnd"/>
      <w:r w:rsidRPr="00992298">
        <w:rPr>
          <w:rFonts w:cstheme="minorHAnsi"/>
          <w:b/>
          <w:lang w:val="ca-ES"/>
        </w:rPr>
        <w:t xml:space="preserve"> </w:t>
      </w:r>
      <w:proofErr w:type="spellStart"/>
      <w:r w:rsidRPr="00992298">
        <w:rPr>
          <w:rFonts w:cstheme="minorHAnsi"/>
          <w:b/>
          <w:lang w:val="ca-ES"/>
        </w:rPr>
        <w:t>Sample</w:t>
      </w:r>
      <w:proofErr w:type="spellEnd"/>
      <w:r w:rsidRPr="00992298">
        <w:rPr>
          <w:rFonts w:cstheme="minorHAnsi"/>
          <w:b/>
          <w:lang w:val="ca-ES"/>
        </w:rPr>
        <w:t xml:space="preserve"> </w:t>
      </w:r>
      <w:proofErr w:type="spellStart"/>
      <w:r w:rsidRPr="00992298">
        <w:rPr>
          <w:rFonts w:cstheme="minorHAnsi"/>
          <w:b/>
          <w:lang w:val="ca-ES"/>
        </w:rPr>
        <w:t>size</w:t>
      </w:r>
      <w:proofErr w:type="spellEnd"/>
    </w:p>
    <w:p w:rsidR="00082DDA" w:rsidRPr="008633CA" w:rsidRDefault="00082DDA" w:rsidP="00082DDA">
      <w:pPr>
        <w:spacing w:line="480" w:lineRule="auto"/>
        <w:jc w:val="both"/>
        <w:rPr>
          <w:rFonts w:cstheme="minorHAnsi"/>
        </w:rPr>
      </w:pPr>
      <w:r w:rsidRPr="008633CA">
        <w:rPr>
          <w:rFonts w:cstheme="minorHAnsi"/>
        </w:rPr>
        <w:t>A total of 100 rats were initially included across the three studies (the number of animals per group/study is detailed in Materials and Methods). However, due to various procedural incidences, the number of animals in some groups was reduced. Specifically, in Study 1, the D1-MASLD group was reduced to 13 animals. In Study 3, the D4-MASLD group was comprised of 11 animals, and the D5-MASLD group had 10 animals.</w:t>
      </w:r>
    </w:p>
    <w:p w:rsidR="00082DDA" w:rsidRPr="008633CA" w:rsidRDefault="00082DDA" w:rsidP="00082DDA">
      <w:pPr>
        <w:spacing w:line="480" w:lineRule="auto"/>
        <w:jc w:val="both"/>
        <w:rPr>
          <w:rFonts w:cstheme="minorHAnsi"/>
        </w:rPr>
      </w:pPr>
      <w:r w:rsidRPr="008633CA">
        <w:rPr>
          <w:rFonts w:cstheme="minorHAnsi"/>
        </w:rPr>
        <w:t>Upon arrival at the animal facility, rats were housed in pairs per cage. Individual animals were used as the experimental unit. The number of animals required for each study was calculated using an analysis of variance with a bilateral contrast, an alpha risk of 0.05, and a beta of 0.20. The primary outcome parameter was portal pressure, with a minimum detectable difference set at 1.50. Based on this, the required sample size per group was determined using the GRANMO software, assuming a standard deviation of 0.85 (derived from the control group in previous studies) and an alpha risk of 0.05, with a beta risk of 0.20, to detect a minimum difference of 1.5 between groups.</w:t>
      </w:r>
    </w:p>
    <w:p w:rsidR="00082DDA" w:rsidRDefault="00082DDA" w:rsidP="00082DDA">
      <w:pPr>
        <w:spacing w:line="480" w:lineRule="auto"/>
        <w:jc w:val="both"/>
        <w:rPr>
          <w:rFonts w:cstheme="minorHAnsi"/>
        </w:rPr>
      </w:pPr>
      <w:r w:rsidRPr="008633CA">
        <w:rPr>
          <w:rFonts w:cstheme="minorHAnsi"/>
        </w:rPr>
        <w:t>In line with previous experience, it was estimated that approximately 15% of animals would lose blood or die during the cannulation procedure, which would render their data invalid for analysis. Consequently, to account for potential losses, an additional 15% of animals were included in the study design. This adjustment was made by applying an incidence formula to recalculate the total number of animals required.</w:t>
      </w:r>
    </w:p>
    <w:p w:rsidR="009304E5" w:rsidRPr="008633CA" w:rsidRDefault="009304E5" w:rsidP="00082DDA">
      <w:pPr>
        <w:spacing w:line="480" w:lineRule="auto"/>
        <w:jc w:val="both"/>
        <w:rPr>
          <w:rFonts w:cstheme="minorHAnsi"/>
        </w:rPr>
      </w:pPr>
    </w:p>
    <w:p w:rsidR="00082DDA" w:rsidRPr="00992298" w:rsidRDefault="00082DDA" w:rsidP="00992298">
      <w:pPr>
        <w:pStyle w:val="Prrafodelista"/>
        <w:numPr>
          <w:ilvl w:val="0"/>
          <w:numId w:val="1"/>
        </w:numPr>
        <w:spacing w:line="480" w:lineRule="auto"/>
        <w:jc w:val="both"/>
        <w:rPr>
          <w:rFonts w:cstheme="minorHAnsi"/>
          <w:b/>
        </w:rPr>
      </w:pPr>
      <w:r w:rsidRPr="00992298">
        <w:rPr>
          <w:rFonts w:cstheme="minorHAnsi"/>
          <w:b/>
        </w:rPr>
        <w:lastRenderedPageBreak/>
        <w:t>Randomization and Blinding</w:t>
      </w:r>
    </w:p>
    <w:p w:rsidR="00082DDA" w:rsidRPr="008633CA" w:rsidRDefault="00082DDA" w:rsidP="00082DDA">
      <w:pPr>
        <w:spacing w:line="480" w:lineRule="auto"/>
        <w:jc w:val="both"/>
        <w:rPr>
          <w:rFonts w:cstheme="minorHAnsi"/>
        </w:rPr>
      </w:pPr>
      <w:r w:rsidRPr="008633CA">
        <w:rPr>
          <w:rFonts w:cstheme="minorHAnsi"/>
        </w:rPr>
        <w:t>Rats were assigned to their respective groups upon arrival at the facility, without prior knowledge of how they would behave in each group throughout the study. This allocation occurred before the commencement of the diet, and rats were assigned indiscriminately as they were received from the distributor on a weekly basis. Each cage housed two rats from the same group, with rats receiving the same diet, but individual data were collected for each animal regarding food consumption, caloric intake, and weight, treating each animal as the experimental unit.</w:t>
      </w:r>
    </w:p>
    <w:p w:rsidR="00082DDA" w:rsidRPr="008633CA" w:rsidRDefault="00082DDA" w:rsidP="00082DDA">
      <w:pPr>
        <w:spacing w:line="480" w:lineRule="auto"/>
        <w:jc w:val="both"/>
        <w:rPr>
          <w:rFonts w:cstheme="minorHAnsi"/>
        </w:rPr>
      </w:pPr>
      <w:r w:rsidRPr="008633CA">
        <w:rPr>
          <w:rFonts w:cstheme="minorHAnsi"/>
        </w:rPr>
        <w:t>To minimize potential time effects, rats arriving in the same week (usually 8 animals) were allocated to different dietary groups. This procedure ensured a balanced distribution of animals across the various groups. Additionally, the cages were equipped with individual ventilation systems to guarantee uniform airflow and avoid any potential bias related to environmental conditions.</w:t>
      </w:r>
    </w:p>
    <w:p w:rsidR="00082DDA" w:rsidRPr="008633CA" w:rsidRDefault="00082DDA" w:rsidP="00082DDA">
      <w:pPr>
        <w:spacing w:line="480" w:lineRule="auto"/>
        <w:jc w:val="both"/>
        <w:rPr>
          <w:rFonts w:cstheme="minorHAnsi"/>
        </w:rPr>
      </w:pPr>
      <w:r w:rsidRPr="008633CA">
        <w:rPr>
          <w:rFonts w:cstheme="minorHAnsi"/>
        </w:rPr>
        <w:t>While the experimental procedure was carried out, MMG, AB, and IR were aware of the group allocations. They were also informed of the animal groups during the measurement of hemodynamic parameters; however, these measurements were objective and could not be manipulated. All other analyses were performed in a blinded manner to avoid any bias.</w:t>
      </w:r>
    </w:p>
    <w:p w:rsidR="00082DDA" w:rsidRPr="008633CA" w:rsidRDefault="00082DDA" w:rsidP="00992298">
      <w:pPr>
        <w:pStyle w:val="Prrafodelista"/>
        <w:numPr>
          <w:ilvl w:val="0"/>
          <w:numId w:val="1"/>
        </w:numPr>
        <w:spacing w:line="480" w:lineRule="auto"/>
        <w:jc w:val="both"/>
        <w:rPr>
          <w:rFonts w:cstheme="minorHAnsi"/>
          <w:b/>
        </w:rPr>
      </w:pPr>
      <w:r w:rsidRPr="008633CA">
        <w:rPr>
          <w:rFonts w:cstheme="minorHAnsi"/>
          <w:b/>
        </w:rPr>
        <w:t>Inclusion and Exclusion criteria</w:t>
      </w:r>
    </w:p>
    <w:p w:rsidR="00082DDA" w:rsidRPr="008633CA" w:rsidRDefault="00082DDA" w:rsidP="00082DDA">
      <w:pPr>
        <w:spacing w:line="480" w:lineRule="auto"/>
        <w:jc w:val="both"/>
        <w:rPr>
          <w:rFonts w:cstheme="minorHAnsi"/>
        </w:rPr>
      </w:pPr>
      <w:r w:rsidRPr="008633CA">
        <w:rPr>
          <w:rFonts w:cstheme="minorHAnsi"/>
        </w:rPr>
        <w:t xml:space="preserve">The first a priori exclusion criterion involved the rejection of animals exhibiting any abnormal </w:t>
      </w:r>
      <w:proofErr w:type="spellStart"/>
      <w:r w:rsidRPr="008633CA">
        <w:rPr>
          <w:rFonts w:cstheme="minorHAnsi"/>
        </w:rPr>
        <w:t>behavior</w:t>
      </w:r>
      <w:proofErr w:type="spellEnd"/>
      <w:r w:rsidRPr="008633CA">
        <w:rPr>
          <w:rFonts w:cstheme="minorHAnsi"/>
        </w:rPr>
        <w:t xml:space="preserve"> or physical appearance, as assessed through a weekly supervision protocol throughout the duration of the study. The second exclusion criterion was based on hemodynamic measurements taken at the endpoint, specifically Mean Arterial Pressure (MAP) and Beats Per Minute (BPM). Animals with MAP values below 80 mmHg were excluded from the analysis, and only those with BPM values between 280 and 350 were considered for inclusion.</w:t>
      </w:r>
    </w:p>
    <w:p w:rsidR="00082DDA" w:rsidRPr="008633CA" w:rsidRDefault="00082DDA" w:rsidP="00082DDA">
      <w:pPr>
        <w:spacing w:line="480" w:lineRule="auto"/>
        <w:jc w:val="both"/>
        <w:rPr>
          <w:rFonts w:cstheme="minorHAnsi"/>
        </w:rPr>
      </w:pPr>
      <w:r w:rsidRPr="008633CA">
        <w:rPr>
          <w:rFonts w:cstheme="minorHAnsi"/>
        </w:rPr>
        <w:lastRenderedPageBreak/>
        <w:t>It should be noted that the final n reported in the Materials and Methods section 1, animals and diets, reflects the number of animals actually included in the analyses after excluding those that did not meet the inclusion criteria.</w:t>
      </w:r>
    </w:p>
    <w:p w:rsidR="00082DDA" w:rsidRDefault="00082DDA" w:rsidP="00082DDA">
      <w:pPr>
        <w:rPr>
          <w:rFonts w:cstheme="minorHAnsi"/>
          <w:b/>
          <w:szCs w:val="20"/>
          <w:lang w:val="en-US"/>
        </w:rPr>
      </w:pPr>
      <w:r>
        <w:rPr>
          <w:rFonts w:cstheme="minorHAnsi"/>
          <w:b/>
          <w:szCs w:val="20"/>
          <w:lang w:val="en-US"/>
        </w:rPr>
        <w:br w:type="page"/>
      </w:r>
    </w:p>
    <w:p w:rsidR="00082DDA" w:rsidRPr="00EF1462" w:rsidRDefault="00082DDA" w:rsidP="00082DDA">
      <w:pPr>
        <w:spacing w:line="276" w:lineRule="auto"/>
        <w:jc w:val="both"/>
        <w:rPr>
          <w:rFonts w:ascii="Calibri" w:hAnsi="Calibri" w:cs="Calibri"/>
          <w:b/>
          <w:color w:val="000000"/>
          <w:lang w:val="en-US"/>
        </w:rPr>
      </w:pPr>
      <w:r w:rsidRPr="00EF1462">
        <w:rPr>
          <w:rFonts w:cstheme="minorHAnsi"/>
          <w:b/>
          <w:szCs w:val="20"/>
          <w:lang w:val="en-US"/>
        </w:rPr>
        <w:lastRenderedPageBreak/>
        <w:t xml:space="preserve">ST1. </w:t>
      </w:r>
      <w:r w:rsidRPr="00EF1462">
        <w:rPr>
          <w:rFonts w:ascii="Calibri" w:hAnsi="Calibri" w:cs="Calibri"/>
          <w:b/>
          <w:color w:val="000000"/>
          <w:lang w:val="en-US"/>
        </w:rPr>
        <w:t xml:space="preserve">Scoring system for steatosis, lobular inflammation and fibrosis based on the NASH-Clinical Research Network (CRN) system*. </w:t>
      </w:r>
    </w:p>
    <w:p w:rsidR="00082DDA" w:rsidRPr="00EF1462" w:rsidRDefault="00082DDA" w:rsidP="00082DDA">
      <w:pPr>
        <w:spacing w:line="276" w:lineRule="auto"/>
        <w:jc w:val="both"/>
        <w:rPr>
          <w:rFonts w:ascii="Calibri" w:hAnsi="Calibri" w:cs="Calibri"/>
          <w:b/>
          <w:color w:val="000000"/>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192"/>
        <w:gridCol w:w="3407"/>
        <w:gridCol w:w="720"/>
      </w:tblGrid>
      <w:tr w:rsidR="00082DDA" w:rsidTr="00776358">
        <w:trPr>
          <w:trHeight w:val="397"/>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b/>
                <w:bCs/>
                <w:color w:val="000000"/>
                <w:lang w:val="en-US" w:eastAsia="ca-ES"/>
              </w:rPr>
              <w:t>Histological feature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b/>
                <w:bCs/>
                <w:color w:val="000000"/>
                <w:lang w:val="en-US" w:eastAsia="ca-ES"/>
              </w:rPr>
              <w:t>Definition</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b/>
                <w:bCs/>
                <w:color w:val="000000"/>
                <w:lang w:val="en-US" w:eastAsia="ca-ES"/>
              </w:rPr>
              <w:t>Score</w:t>
            </w:r>
          </w:p>
        </w:tc>
      </w:tr>
      <w:tr w:rsidR="00082DDA" w:rsidTr="00776358">
        <w:trPr>
          <w:trHeight w:val="397"/>
          <w:jc w:val="center"/>
        </w:trPr>
        <w:tc>
          <w:tcPr>
            <w:tcW w:w="0" w:type="auto"/>
            <w:tcBorders>
              <w:top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b/>
                <w:bCs/>
                <w:color w:val="000000"/>
                <w:lang w:val="en-US" w:eastAsia="ca-ES"/>
              </w:rPr>
              <w:t>Steatosis</w:t>
            </w:r>
          </w:p>
        </w:tc>
        <w:tc>
          <w:tcPr>
            <w:tcW w:w="0" w:type="auto"/>
            <w:tcBorders>
              <w:top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&lt;5%</w:t>
            </w:r>
          </w:p>
        </w:tc>
        <w:tc>
          <w:tcPr>
            <w:tcW w:w="0" w:type="auto"/>
            <w:tcBorders>
              <w:top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0</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5%-33%</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1</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34%-66%</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2</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&gt;66%</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3</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b/>
                <w:bCs/>
                <w:color w:val="000000"/>
                <w:lang w:val="en-US" w:eastAsia="ca-ES"/>
              </w:rPr>
              <w:t>Lobular inflammation</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None</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0</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&lt;2 foci</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1</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2-4 foci</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2</w:t>
            </w:r>
          </w:p>
        </w:tc>
      </w:tr>
      <w:tr w:rsidR="00082DDA" w:rsidTr="00776358">
        <w:trPr>
          <w:trHeight w:val="397"/>
          <w:jc w:val="center"/>
        </w:trPr>
        <w:tc>
          <w:tcPr>
            <w:tcW w:w="0" w:type="auto"/>
            <w:tcBorders>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Borders>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&gt;4 foci</w:t>
            </w:r>
          </w:p>
        </w:tc>
        <w:tc>
          <w:tcPr>
            <w:tcW w:w="0" w:type="auto"/>
            <w:tcBorders>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3</w:t>
            </w:r>
          </w:p>
        </w:tc>
      </w:tr>
      <w:tr w:rsidR="00082DDA" w:rsidTr="00776358">
        <w:trPr>
          <w:trHeight w:val="397"/>
          <w:jc w:val="center"/>
        </w:trPr>
        <w:tc>
          <w:tcPr>
            <w:tcW w:w="0" w:type="auto"/>
            <w:tcBorders>
              <w:top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b/>
                <w:bCs/>
                <w:color w:val="000000"/>
                <w:lang w:val="en-US" w:eastAsia="ca-ES"/>
              </w:rPr>
              <w:t>Fibrosis</w:t>
            </w:r>
          </w:p>
        </w:tc>
        <w:tc>
          <w:tcPr>
            <w:tcW w:w="0" w:type="auto"/>
            <w:tcBorders>
              <w:top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None</w:t>
            </w:r>
          </w:p>
        </w:tc>
        <w:tc>
          <w:tcPr>
            <w:tcW w:w="0" w:type="auto"/>
            <w:tcBorders>
              <w:top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0</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Perisinusoidal or periportal</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1</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Mild, zone 3, perisinusoidal</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1A</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Moderate, zone 3, perisinusoidal</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1B</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Portal/periportal</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1C</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Portal/periportal and perisinusoidal</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2</w:t>
            </w:r>
          </w:p>
        </w:tc>
      </w:tr>
      <w:tr w:rsidR="00082DDA" w:rsidTr="00776358">
        <w:trPr>
          <w:trHeight w:val="397"/>
          <w:jc w:val="center"/>
        </w:trPr>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Bridging fibrosis</w:t>
            </w:r>
          </w:p>
        </w:tc>
        <w:tc>
          <w:tcPr>
            <w:tcW w:w="0" w:type="auto"/>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3</w:t>
            </w:r>
          </w:p>
        </w:tc>
      </w:tr>
      <w:tr w:rsidR="00082DDA" w:rsidTr="00776358">
        <w:trPr>
          <w:trHeight w:val="397"/>
          <w:jc w:val="center"/>
        </w:trPr>
        <w:tc>
          <w:tcPr>
            <w:tcW w:w="0" w:type="auto"/>
            <w:tcBorders>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p>
        </w:tc>
        <w:tc>
          <w:tcPr>
            <w:tcW w:w="0" w:type="auto"/>
            <w:tcBorders>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rPr>
                <w:rFonts w:eastAsia="Times New Roman" w:cstheme="minorHAnsi"/>
                <w:sz w:val="24"/>
                <w:szCs w:val="24"/>
                <w:lang w:val="en-US" w:eastAsia="ca-ES"/>
              </w:rPr>
            </w:pPr>
            <w:r w:rsidRPr="00EF1462">
              <w:rPr>
                <w:rFonts w:eastAsia="Times New Roman" w:cstheme="minorHAnsi"/>
                <w:color w:val="000000"/>
                <w:lang w:val="en-US" w:eastAsia="ca-ES"/>
              </w:rPr>
              <w:t>Cirrhosis</w:t>
            </w:r>
          </w:p>
        </w:tc>
        <w:tc>
          <w:tcPr>
            <w:tcW w:w="0" w:type="auto"/>
            <w:tcBorders>
              <w:bottom w:val="single" w:sz="4" w:space="0" w:color="000000"/>
            </w:tcBorders>
            <w:tcMar>
              <w:top w:w="0" w:type="dxa"/>
              <w:left w:w="108" w:type="dxa"/>
              <w:bottom w:w="0" w:type="dxa"/>
              <w:right w:w="108" w:type="dxa"/>
            </w:tcMar>
            <w:vAlign w:val="center"/>
            <w:hideMark/>
          </w:tcPr>
          <w:p w:rsidR="00082DDA" w:rsidRPr="00EF1462" w:rsidRDefault="00082DDA" w:rsidP="00776358">
            <w:pPr>
              <w:spacing w:after="0" w:line="240" w:lineRule="auto"/>
              <w:jc w:val="center"/>
              <w:rPr>
                <w:rFonts w:eastAsia="Times New Roman" w:cstheme="minorHAnsi"/>
                <w:sz w:val="24"/>
                <w:szCs w:val="24"/>
                <w:lang w:val="en-US" w:eastAsia="ca-ES"/>
              </w:rPr>
            </w:pPr>
            <w:r w:rsidRPr="00EF1462">
              <w:rPr>
                <w:rFonts w:eastAsia="Times New Roman" w:cstheme="minorHAnsi"/>
                <w:color w:val="000000"/>
                <w:lang w:val="en-US" w:eastAsia="ca-ES"/>
              </w:rPr>
              <w:t>4</w:t>
            </w:r>
          </w:p>
        </w:tc>
      </w:tr>
    </w:tbl>
    <w:p w:rsidR="00082DDA" w:rsidRPr="00EF1462" w:rsidRDefault="00082DDA" w:rsidP="00082DDA">
      <w:pPr>
        <w:spacing w:line="276" w:lineRule="auto"/>
        <w:jc w:val="both"/>
        <w:rPr>
          <w:rFonts w:cstheme="minorHAnsi"/>
          <w:b/>
          <w:szCs w:val="20"/>
          <w:lang w:val="en-US"/>
        </w:rPr>
      </w:pPr>
    </w:p>
    <w:p w:rsidR="00082DDA" w:rsidRPr="00EF1462" w:rsidRDefault="00082DDA" w:rsidP="00082DDA">
      <w:pPr>
        <w:pStyle w:val="NormalWeb"/>
        <w:spacing w:before="240" w:beforeAutospacing="0" w:after="120" w:afterAutospacing="0"/>
        <w:ind w:left="708"/>
        <w:jc w:val="both"/>
        <w:rPr>
          <w:rFonts w:ascii="Calibri" w:hAnsi="Calibri" w:cs="Calibri"/>
          <w:iCs/>
          <w:color w:val="000000"/>
          <w:sz w:val="22"/>
          <w:szCs w:val="22"/>
          <w:lang w:val="en-US"/>
        </w:rPr>
        <w:sectPr w:rsidR="00082DDA" w:rsidRPr="00EF1462" w:rsidSect="003B05B4">
          <w:pgSz w:w="11906" w:h="16838"/>
          <w:pgMar w:top="1417" w:right="1701" w:bottom="1417" w:left="1701" w:header="708" w:footer="708" w:gutter="0"/>
          <w:cols w:space="708"/>
          <w:docGrid w:linePitch="360"/>
        </w:sectPr>
      </w:pPr>
      <w:r w:rsidRPr="00CD0DE6">
        <w:rPr>
          <w:rFonts w:cstheme="minorHAnsi"/>
          <w:szCs w:val="20"/>
          <w:lang w:val="fr-FR"/>
        </w:rPr>
        <w:t xml:space="preserve">* </w:t>
      </w:r>
      <w:proofErr w:type="spellStart"/>
      <w:r w:rsidRPr="00CD0DE6">
        <w:rPr>
          <w:rFonts w:ascii="Calibri" w:hAnsi="Calibri" w:cs="Calibri"/>
          <w:iCs/>
          <w:color w:val="000000"/>
          <w:sz w:val="22"/>
          <w:szCs w:val="22"/>
          <w:lang w:val="fr-FR"/>
        </w:rPr>
        <w:t>Kleiner</w:t>
      </w:r>
      <w:proofErr w:type="spellEnd"/>
      <w:r w:rsidRPr="00CD0DE6">
        <w:rPr>
          <w:rFonts w:ascii="Calibri" w:hAnsi="Calibri" w:cs="Calibri"/>
          <w:iCs/>
          <w:color w:val="000000"/>
          <w:sz w:val="22"/>
          <w:szCs w:val="22"/>
          <w:lang w:val="fr-FR"/>
        </w:rPr>
        <w:t>, D.</w:t>
      </w:r>
      <w:r>
        <w:rPr>
          <w:rFonts w:ascii="Calibri" w:hAnsi="Calibri" w:cs="Calibri"/>
          <w:iCs/>
          <w:color w:val="000000"/>
          <w:sz w:val="22"/>
          <w:szCs w:val="22"/>
          <w:lang w:val="fr-FR"/>
        </w:rPr>
        <w:t xml:space="preserve"> E. et al. </w:t>
      </w:r>
      <w:r w:rsidRPr="00EF1462">
        <w:rPr>
          <w:rFonts w:ascii="Calibri" w:hAnsi="Calibri" w:cs="Calibri"/>
          <w:iCs/>
          <w:color w:val="000000"/>
          <w:sz w:val="22"/>
          <w:szCs w:val="22"/>
          <w:lang w:val="en-US"/>
        </w:rPr>
        <w:t xml:space="preserve">Design and validation of a histological scoring system for nonalcoholic fatty liver disease. </w:t>
      </w:r>
      <w:r w:rsidRPr="00EF1462">
        <w:rPr>
          <w:rFonts w:ascii="Calibri" w:hAnsi="Calibri" w:cs="Calibri"/>
          <w:i/>
          <w:iCs/>
          <w:color w:val="000000"/>
          <w:sz w:val="22"/>
          <w:szCs w:val="22"/>
          <w:lang w:val="en-US"/>
        </w:rPr>
        <w:t xml:space="preserve">Hepatology </w:t>
      </w:r>
      <w:r w:rsidRPr="00EF1462">
        <w:rPr>
          <w:rFonts w:ascii="Calibri" w:hAnsi="Calibri" w:cs="Calibri"/>
          <w:b/>
          <w:iCs/>
          <w:color w:val="000000"/>
          <w:sz w:val="22"/>
          <w:szCs w:val="22"/>
          <w:lang w:val="en-US"/>
        </w:rPr>
        <w:t>41</w:t>
      </w:r>
      <w:r w:rsidRPr="00EF1462">
        <w:rPr>
          <w:rFonts w:ascii="Calibri" w:hAnsi="Calibri" w:cs="Calibri"/>
          <w:iCs/>
          <w:color w:val="000000"/>
          <w:sz w:val="22"/>
          <w:szCs w:val="22"/>
          <w:lang w:val="en-US"/>
        </w:rPr>
        <w:t>, 1313-1321 (2005)</w:t>
      </w:r>
    </w:p>
    <w:p w:rsidR="00082DDA" w:rsidRPr="00EF1462" w:rsidRDefault="00082DDA" w:rsidP="00082DDA">
      <w:pPr>
        <w:spacing w:line="276" w:lineRule="auto"/>
        <w:jc w:val="both"/>
        <w:rPr>
          <w:rFonts w:cstheme="minorHAnsi"/>
          <w:b/>
          <w:szCs w:val="20"/>
          <w:lang w:val="en-US"/>
        </w:rPr>
      </w:pPr>
      <w:r w:rsidRPr="00EF1462">
        <w:rPr>
          <w:rFonts w:cstheme="minorHAnsi"/>
          <w:b/>
          <w:szCs w:val="20"/>
          <w:lang w:val="en-US"/>
        </w:rPr>
        <w:lastRenderedPageBreak/>
        <w:t xml:space="preserve">ST2. Results of blood biochemistry parameters at model endpoint tested at during the three studies. </w:t>
      </w:r>
    </w:p>
    <w:p w:rsidR="00082DDA" w:rsidRPr="00EF1462" w:rsidRDefault="00082DDA" w:rsidP="00082DDA">
      <w:pPr>
        <w:spacing w:after="240" w:line="240" w:lineRule="auto"/>
        <w:rPr>
          <w:rFonts w:ascii="Times New Roman" w:eastAsia="Times New Roman" w:hAnsi="Times New Roman" w:cs="Times New Roman"/>
          <w:sz w:val="24"/>
          <w:szCs w:val="24"/>
          <w:lang w:val="en-US" w:eastAsia="ca-ES"/>
        </w:rPr>
      </w:pPr>
    </w:p>
    <w:tbl>
      <w:tblPr>
        <w:tblStyle w:val="Tablaconcuadrcula1"/>
        <w:tblW w:w="15644" w:type="dxa"/>
        <w:tblInd w:w="-826" w:type="dxa"/>
        <w:tblLayout w:type="fixed"/>
        <w:tblLook w:val="04A0" w:firstRow="1" w:lastRow="0" w:firstColumn="1" w:lastColumn="0" w:noHBand="0" w:noVBand="1"/>
      </w:tblPr>
      <w:tblGrid>
        <w:gridCol w:w="1891"/>
        <w:gridCol w:w="1853"/>
        <w:gridCol w:w="108"/>
        <w:gridCol w:w="640"/>
        <w:gridCol w:w="1320"/>
        <w:gridCol w:w="285"/>
        <w:gridCol w:w="1675"/>
        <w:gridCol w:w="206"/>
        <w:gridCol w:w="1754"/>
        <w:gridCol w:w="131"/>
        <w:gridCol w:w="1829"/>
        <w:gridCol w:w="134"/>
        <w:gridCol w:w="1826"/>
        <w:gridCol w:w="77"/>
        <w:gridCol w:w="1879"/>
        <w:gridCol w:w="36"/>
      </w:tblGrid>
      <w:tr w:rsidR="00082DDA" w:rsidTr="00776358">
        <w:trPr>
          <w:trHeight w:val="476"/>
        </w:trPr>
        <w:tc>
          <w:tcPr>
            <w:tcW w:w="1895" w:type="dxa"/>
            <w:tcBorders>
              <w:top w:val="single" w:sz="12" w:space="0" w:color="FFFFFF"/>
              <w:left w:val="single" w:sz="4" w:space="0" w:color="FFFFFF"/>
              <w:bottom w:val="single" w:sz="12" w:space="0" w:color="auto"/>
              <w:right w:val="single" w:sz="2" w:space="0" w:color="FFFFFF"/>
            </w:tcBorders>
          </w:tcPr>
          <w:p w:rsidR="00082DDA" w:rsidRPr="00BB0618" w:rsidRDefault="00082DDA" w:rsidP="00776358">
            <w:pPr>
              <w:rPr>
                <w:rFonts w:ascii="Arial" w:eastAsia="Calibri" w:hAnsi="Arial" w:cs="Arial"/>
                <w:sz w:val="20"/>
              </w:rPr>
            </w:pPr>
          </w:p>
        </w:tc>
        <w:tc>
          <w:tcPr>
            <w:tcW w:w="1964" w:type="dxa"/>
            <w:gridSpan w:val="2"/>
            <w:tcBorders>
              <w:top w:val="single" w:sz="2" w:space="0" w:color="000000"/>
              <w:left w:val="single" w:sz="2" w:space="0" w:color="FFFFFF"/>
              <w:bottom w:val="single" w:sz="12" w:space="0" w:color="auto"/>
              <w:right w:val="single" w:sz="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Group</w:t>
            </w:r>
          </w:p>
        </w:tc>
        <w:tc>
          <w:tcPr>
            <w:tcW w:w="1963" w:type="dxa"/>
            <w:gridSpan w:val="2"/>
            <w:tcBorders>
              <w:top w:val="single" w:sz="2" w:space="0" w:color="000000"/>
              <w:left w:val="single" w:sz="2" w:space="0" w:color="FFFFFF"/>
              <w:bottom w:val="single" w:sz="12" w:space="0" w:color="auto"/>
              <w:right w:val="single" w:sz="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Glucose</w:t>
            </w:r>
          </w:p>
          <w:p w:rsidR="00082DDA" w:rsidRPr="00BB0618" w:rsidRDefault="00082DDA" w:rsidP="00776358">
            <w:pPr>
              <w:jc w:val="center"/>
              <w:rPr>
                <w:rFonts w:ascii="Arial" w:eastAsia="Calibri" w:hAnsi="Arial" w:cs="Arial"/>
                <w:b/>
                <w:sz w:val="20"/>
              </w:rPr>
            </w:pPr>
            <w:r w:rsidRPr="00BB0618">
              <w:rPr>
                <w:rFonts w:ascii="Arial" w:eastAsia="Calibri" w:hAnsi="Arial" w:cs="Arial"/>
                <w:sz w:val="18"/>
              </w:rPr>
              <w:t>(mg/dL)</w:t>
            </w:r>
          </w:p>
        </w:tc>
        <w:tc>
          <w:tcPr>
            <w:tcW w:w="1963" w:type="dxa"/>
            <w:gridSpan w:val="2"/>
            <w:tcBorders>
              <w:top w:val="single" w:sz="2" w:space="0" w:color="000000"/>
              <w:left w:val="single" w:sz="2" w:space="0" w:color="FFFFFF"/>
              <w:bottom w:val="single" w:sz="12" w:space="0" w:color="auto"/>
              <w:right w:val="single" w:sz="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AST</w:t>
            </w:r>
          </w:p>
          <w:p w:rsidR="00082DDA" w:rsidRPr="00BB0618" w:rsidRDefault="00082DDA" w:rsidP="00776358">
            <w:pPr>
              <w:jc w:val="center"/>
              <w:rPr>
                <w:rFonts w:ascii="Arial" w:eastAsia="Calibri" w:hAnsi="Arial" w:cs="Arial"/>
                <w:b/>
                <w:sz w:val="20"/>
              </w:rPr>
            </w:pPr>
            <w:r w:rsidRPr="00BB0618">
              <w:rPr>
                <w:rFonts w:ascii="Arial" w:eastAsia="Calibri" w:hAnsi="Arial" w:cs="Arial"/>
                <w:sz w:val="18"/>
              </w:rPr>
              <w:t>(IU/dL)</w:t>
            </w:r>
          </w:p>
        </w:tc>
        <w:tc>
          <w:tcPr>
            <w:tcW w:w="1963" w:type="dxa"/>
            <w:gridSpan w:val="2"/>
            <w:tcBorders>
              <w:top w:val="single" w:sz="2" w:space="0" w:color="000000"/>
              <w:left w:val="single" w:sz="2" w:space="0" w:color="FFFFFF"/>
              <w:bottom w:val="single" w:sz="12" w:space="0" w:color="auto"/>
              <w:right w:val="single" w:sz="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ALT</w:t>
            </w:r>
          </w:p>
          <w:p w:rsidR="00082DDA" w:rsidRPr="00BB0618" w:rsidRDefault="00082DDA" w:rsidP="00776358">
            <w:pPr>
              <w:jc w:val="center"/>
              <w:rPr>
                <w:rFonts w:ascii="Arial" w:eastAsia="Calibri" w:hAnsi="Arial" w:cs="Arial"/>
                <w:b/>
                <w:sz w:val="20"/>
              </w:rPr>
            </w:pPr>
            <w:r w:rsidRPr="00BB0618">
              <w:rPr>
                <w:rFonts w:ascii="Arial" w:eastAsia="Calibri" w:hAnsi="Arial" w:cs="Arial"/>
                <w:sz w:val="18"/>
              </w:rPr>
              <w:t>(IU/dL)</w:t>
            </w:r>
          </w:p>
        </w:tc>
        <w:tc>
          <w:tcPr>
            <w:tcW w:w="1963" w:type="dxa"/>
            <w:gridSpan w:val="2"/>
            <w:tcBorders>
              <w:top w:val="single" w:sz="2" w:space="0" w:color="000000"/>
              <w:left w:val="single" w:sz="2" w:space="0" w:color="FFFFFF"/>
              <w:bottom w:val="single" w:sz="12" w:space="0" w:color="auto"/>
              <w:right w:val="single" w:sz="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Cholesterol</w:t>
            </w:r>
          </w:p>
          <w:p w:rsidR="00082DDA" w:rsidRPr="00BB0618" w:rsidRDefault="00082DDA" w:rsidP="00776358">
            <w:pPr>
              <w:jc w:val="center"/>
              <w:rPr>
                <w:rFonts w:ascii="Arial" w:eastAsia="Calibri" w:hAnsi="Arial" w:cs="Arial"/>
                <w:b/>
                <w:sz w:val="20"/>
              </w:rPr>
            </w:pPr>
            <w:r w:rsidRPr="00BB0618">
              <w:rPr>
                <w:rFonts w:ascii="Arial" w:eastAsia="Calibri" w:hAnsi="Arial" w:cs="Arial"/>
                <w:sz w:val="18"/>
              </w:rPr>
              <w:t>(mg/dL)</w:t>
            </w:r>
          </w:p>
        </w:tc>
        <w:tc>
          <w:tcPr>
            <w:tcW w:w="1963" w:type="dxa"/>
            <w:gridSpan w:val="2"/>
            <w:tcBorders>
              <w:top w:val="single" w:sz="2" w:space="0" w:color="000000"/>
              <w:left w:val="single" w:sz="2" w:space="0" w:color="FFFFFF"/>
              <w:bottom w:val="single" w:sz="12" w:space="0" w:color="auto"/>
              <w:right w:val="single" w:sz="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TG</w:t>
            </w:r>
          </w:p>
          <w:p w:rsidR="00082DDA" w:rsidRPr="00BB0618" w:rsidRDefault="00082DDA" w:rsidP="00776358">
            <w:pPr>
              <w:jc w:val="center"/>
              <w:rPr>
                <w:rFonts w:ascii="Arial" w:eastAsia="Calibri" w:hAnsi="Arial" w:cs="Arial"/>
                <w:b/>
                <w:sz w:val="20"/>
              </w:rPr>
            </w:pPr>
            <w:r w:rsidRPr="00BB0618">
              <w:rPr>
                <w:rFonts w:ascii="Arial" w:eastAsia="Calibri" w:hAnsi="Arial" w:cs="Arial"/>
                <w:sz w:val="18"/>
              </w:rPr>
              <w:t>(mg/dL)</w:t>
            </w:r>
          </w:p>
        </w:tc>
        <w:tc>
          <w:tcPr>
            <w:tcW w:w="1970" w:type="dxa"/>
            <w:gridSpan w:val="3"/>
            <w:tcBorders>
              <w:top w:val="single" w:sz="2" w:space="0" w:color="000000"/>
              <w:left w:val="single" w:sz="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Albumin</w:t>
            </w:r>
          </w:p>
          <w:p w:rsidR="00082DDA" w:rsidRPr="00BB0618" w:rsidRDefault="00082DDA" w:rsidP="00776358">
            <w:pPr>
              <w:jc w:val="center"/>
              <w:rPr>
                <w:rFonts w:ascii="Arial" w:eastAsia="Calibri" w:hAnsi="Arial" w:cs="Arial"/>
                <w:sz w:val="20"/>
              </w:rPr>
            </w:pPr>
            <w:r w:rsidRPr="00BB0618">
              <w:rPr>
                <w:rFonts w:ascii="Arial" w:eastAsia="Calibri" w:hAnsi="Arial" w:cs="Arial"/>
                <w:sz w:val="18"/>
              </w:rPr>
              <w:t>(g/dL)</w:t>
            </w:r>
          </w:p>
        </w:tc>
      </w:tr>
      <w:tr w:rsidR="00082DDA" w:rsidTr="00776358">
        <w:trPr>
          <w:gridAfter w:val="1"/>
          <w:wAfter w:w="36" w:type="dxa"/>
          <w:trHeight w:val="392"/>
        </w:trPr>
        <w:tc>
          <w:tcPr>
            <w:tcW w:w="1895" w:type="dxa"/>
            <w:vMerge w:val="restart"/>
            <w:tcBorders>
              <w:top w:val="single" w:sz="12" w:space="0" w:color="auto"/>
              <w:left w:val="single" w:sz="12" w:space="0" w:color="FFFFFF"/>
              <w:bottom w:val="single" w:sz="12" w:space="0" w:color="000000"/>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STUDY I</w:t>
            </w:r>
          </w:p>
        </w:tc>
        <w:tc>
          <w:tcPr>
            <w:tcW w:w="1964"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D1-MASLD</w:t>
            </w:r>
          </w:p>
        </w:tc>
        <w:tc>
          <w:tcPr>
            <w:tcW w:w="1963"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342.56</w:t>
            </w:r>
            <w:r w:rsidRPr="00BB0618">
              <w:rPr>
                <w:rFonts w:ascii="Arial" w:eastAsia="Calibri" w:hAnsi="Arial" w:cs="Arial"/>
                <w:sz w:val="18"/>
                <w:szCs w:val="18"/>
                <w:lang w:val="es-ES"/>
              </w:rPr>
              <w:t>±27.64</w:t>
            </w:r>
          </w:p>
        </w:tc>
        <w:tc>
          <w:tcPr>
            <w:tcW w:w="1958"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color w:val="000000"/>
                <w:sz w:val="18"/>
                <w:szCs w:val="18"/>
                <w:lang w:val="es-ES"/>
              </w:rPr>
            </w:pPr>
            <w:r w:rsidRPr="00BB0618">
              <w:rPr>
                <w:rFonts w:ascii="Arial" w:eastAsia="Calibri" w:hAnsi="Arial" w:cs="Arial"/>
                <w:color w:val="000000"/>
                <w:sz w:val="18"/>
                <w:szCs w:val="18"/>
                <w:lang w:val="es-ES"/>
              </w:rPr>
              <w:t>140.60</w:t>
            </w:r>
            <w:r w:rsidRPr="00BB0618">
              <w:rPr>
                <w:rFonts w:ascii="Arial" w:eastAsia="Calibri" w:hAnsi="Arial" w:cs="Arial"/>
                <w:sz w:val="18"/>
                <w:szCs w:val="18"/>
                <w:lang w:val="es-ES"/>
              </w:rPr>
              <w:t>±22.50</w:t>
            </w:r>
          </w:p>
        </w:tc>
        <w:tc>
          <w:tcPr>
            <w:tcW w:w="1957"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color w:val="000000"/>
                <w:sz w:val="18"/>
                <w:szCs w:val="18"/>
                <w:lang w:val="es-ES"/>
              </w:rPr>
            </w:pPr>
            <w:r w:rsidRPr="00BB0618">
              <w:rPr>
                <w:rFonts w:ascii="Arial" w:eastAsia="Calibri" w:hAnsi="Arial" w:cs="Arial"/>
                <w:color w:val="000000"/>
                <w:sz w:val="18"/>
                <w:szCs w:val="18"/>
                <w:lang w:val="es-ES"/>
              </w:rPr>
              <w:t>59.81</w:t>
            </w:r>
            <w:r w:rsidRPr="00BB0618">
              <w:rPr>
                <w:rFonts w:ascii="Arial" w:eastAsia="Calibri" w:hAnsi="Arial" w:cs="Arial"/>
                <w:sz w:val="18"/>
                <w:szCs w:val="18"/>
                <w:lang w:val="es-ES"/>
              </w:rPr>
              <w:t>±9.93</w:t>
            </w:r>
          </w:p>
        </w:tc>
        <w:tc>
          <w:tcPr>
            <w:tcW w:w="1957"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color w:val="000000"/>
                <w:sz w:val="18"/>
                <w:szCs w:val="18"/>
                <w:lang w:val="es-ES"/>
              </w:rPr>
            </w:pPr>
            <w:r w:rsidRPr="00BB0618">
              <w:rPr>
                <w:rFonts w:ascii="Arial" w:eastAsia="Calibri" w:hAnsi="Arial" w:cs="Arial"/>
                <w:color w:val="000000"/>
                <w:sz w:val="18"/>
                <w:szCs w:val="18"/>
                <w:lang w:val="es-ES"/>
              </w:rPr>
              <w:t>89.37</w:t>
            </w:r>
            <w:r w:rsidRPr="00BB0618">
              <w:rPr>
                <w:rFonts w:ascii="Arial" w:eastAsia="Calibri" w:hAnsi="Arial" w:cs="Arial"/>
                <w:sz w:val="18"/>
                <w:szCs w:val="18"/>
                <w:lang w:val="es-ES"/>
              </w:rPr>
              <w:t>±5.90</w:t>
            </w:r>
          </w:p>
        </w:tc>
        <w:tc>
          <w:tcPr>
            <w:tcW w:w="1957"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color w:val="000000"/>
                <w:sz w:val="18"/>
                <w:szCs w:val="18"/>
                <w:lang w:val="es-ES"/>
              </w:rPr>
            </w:pPr>
            <w:r w:rsidRPr="00BB0618">
              <w:rPr>
                <w:rFonts w:ascii="Arial" w:eastAsia="Calibri" w:hAnsi="Arial" w:cs="Arial"/>
                <w:color w:val="000000"/>
                <w:sz w:val="18"/>
                <w:szCs w:val="18"/>
                <w:lang w:val="es-ES"/>
              </w:rPr>
              <w:t>59.25</w:t>
            </w:r>
            <w:r w:rsidRPr="00BB0618">
              <w:rPr>
                <w:rFonts w:ascii="Arial" w:eastAsia="Calibri" w:hAnsi="Arial" w:cs="Arial"/>
                <w:sz w:val="18"/>
                <w:szCs w:val="18"/>
                <w:lang w:val="es-ES"/>
              </w:rPr>
              <w:t>±9.40</w:t>
            </w:r>
          </w:p>
        </w:tc>
        <w:tc>
          <w:tcPr>
            <w:tcW w:w="1957"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color w:val="000000"/>
                <w:sz w:val="18"/>
                <w:szCs w:val="18"/>
                <w:lang w:val="es-ES"/>
              </w:rPr>
            </w:pPr>
            <w:r w:rsidRPr="00BB0618">
              <w:rPr>
                <w:rFonts w:ascii="Arial" w:eastAsia="Calibri" w:hAnsi="Arial" w:cs="Arial"/>
                <w:color w:val="000000"/>
                <w:sz w:val="18"/>
                <w:szCs w:val="18"/>
                <w:lang w:val="es-ES"/>
              </w:rPr>
              <w:t>3.06</w:t>
            </w:r>
            <w:r w:rsidRPr="00BB0618">
              <w:rPr>
                <w:rFonts w:ascii="Arial" w:eastAsia="Calibri" w:hAnsi="Arial" w:cs="Arial"/>
                <w:sz w:val="18"/>
                <w:szCs w:val="18"/>
                <w:lang w:val="es-ES"/>
              </w:rPr>
              <w:t>±0.04</w:t>
            </w:r>
          </w:p>
        </w:tc>
      </w:tr>
      <w:tr w:rsidR="00082DDA" w:rsidTr="00776358">
        <w:trPr>
          <w:gridAfter w:val="1"/>
          <w:wAfter w:w="36" w:type="dxa"/>
          <w:trHeight w:val="392"/>
        </w:trPr>
        <w:tc>
          <w:tcPr>
            <w:tcW w:w="1895" w:type="dxa"/>
            <w:vMerge/>
            <w:tcBorders>
              <w:left w:val="single" w:sz="12" w:space="0" w:color="FFFFFF"/>
              <w:bottom w:val="single" w:sz="12" w:space="0" w:color="000000"/>
              <w:right w:val="single" w:sz="12" w:space="0" w:color="FFFFFF"/>
            </w:tcBorders>
          </w:tcPr>
          <w:p w:rsidR="00082DDA" w:rsidRPr="00BB0618" w:rsidRDefault="00082DDA" w:rsidP="00776358">
            <w:pPr>
              <w:rPr>
                <w:rFonts w:ascii="Arial" w:eastAsia="Calibri" w:hAnsi="Arial" w:cs="Arial"/>
                <w:sz w:val="20"/>
              </w:rPr>
            </w:pPr>
          </w:p>
        </w:tc>
        <w:tc>
          <w:tcPr>
            <w:tcW w:w="1964"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D1-MASLD+LPS</w:t>
            </w:r>
          </w:p>
        </w:tc>
        <w:tc>
          <w:tcPr>
            <w:tcW w:w="1963"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Cs/>
                <w:color w:val="000000"/>
                <w:sz w:val="18"/>
                <w:szCs w:val="18"/>
                <w:lang w:val="es-ES"/>
              </w:rPr>
            </w:pPr>
            <w:r w:rsidRPr="00BB0618">
              <w:rPr>
                <w:rFonts w:ascii="Arial" w:eastAsia="Calibri" w:hAnsi="Arial" w:cs="Arial"/>
                <w:bCs/>
                <w:color w:val="000000"/>
                <w:sz w:val="18"/>
                <w:szCs w:val="18"/>
                <w:lang w:val="es-ES"/>
              </w:rPr>
              <w:t>410.25</w:t>
            </w:r>
            <w:r w:rsidRPr="00BB0618">
              <w:rPr>
                <w:rFonts w:ascii="Arial" w:eastAsia="Calibri" w:hAnsi="Arial" w:cs="Arial"/>
                <w:sz w:val="18"/>
                <w:szCs w:val="18"/>
                <w:lang w:val="es-ES"/>
              </w:rPr>
              <w:t>±19.79</w:t>
            </w:r>
          </w:p>
        </w:tc>
        <w:tc>
          <w:tcPr>
            <w:tcW w:w="1958"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Cs/>
                <w:color w:val="000000"/>
                <w:sz w:val="18"/>
                <w:szCs w:val="18"/>
                <w:lang w:val="es-ES"/>
              </w:rPr>
            </w:pPr>
            <w:r w:rsidRPr="00BB0618">
              <w:rPr>
                <w:rFonts w:ascii="Arial" w:eastAsia="Calibri" w:hAnsi="Arial" w:cs="Arial"/>
                <w:bCs/>
                <w:color w:val="000000"/>
                <w:sz w:val="18"/>
                <w:szCs w:val="18"/>
                <w:lang w:val="es-ES"/>
              </w:rPr>
              <w:t>82.17</w:t>
            </w:r>
            <w:r w:rsidRPr="00BB0618">
              <w:rPr>
                <w:rFonts w:ascii="Arial" w:eastAsia="Calibri" w:hAnsi="Arial" w:cs="Arial"/>
                <w:sz w:val="18"/>
                <w:szCs w:val="18"/>
                <w:lang w:val="es-ES"/>
              </w:rPr>
              <w:t>±13.78</w:t>
            </w:r>
          </w:p>
        </w:tc>
        <w:tc>
          <w:tcPr>
            <w:tcW w:w="1957"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Cs/>
                <w:color w:val="000000"/>
                <w:sz w:val="18"/>
                <w:szCs w:val="18"/>
                <w:lang w:val="es-ES"/>
              </w:rPr>
            </w:pPr>
            <w:r w:rsidRPr="00BB0618">
              <w:rPr>
                <w:rFonts w:ascii="Arial" w:eastAsia="Calibri" w:hAnsi="Arial" w:cs="Arial"/>
                <w:bCs/>
                <w:color w:val="000000"/>
                <w:sz w:val="18"/>
                <w:szCs w:val="18"/>
                <w:lang w:val="es-ES"/>
              </w:rPr>
              <w:t>38.75</w:t>
            </w:r>
            <w:r w:rsidRPr="00BB0618">
              <w:rPr>
                <w:rFonts w:ascii="Arial" w:eastAsia="Calibri" w:hAnsi="Arial" w:cs="Arial"/>
                <w:sz w:val="18"/>
                <w:szCs w:val="18"/>
                <w:lang w:val="es-ES"/>
              </w:rPr>
              <w:t>±7.92</w:t>
            </w:r>
          </w:p>
        </w:tc>
        <w:tc>
          <w:tcPr>
            <w:tcW w:w="1957"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Cs/>
                <w:color w:val="000000"/>
                <w:sz w:val="18"/>
                <w:szCs w:val="18"/>
                <w:lang w:val="es-ES"/>
              </w:rPr>
            </w:pPr>
            <w:r w:rsidRPr="00BB0618">
              <w:rPr>
                <w:rFonts w:ascii="Arial" w:eastAsia="Calibri" w:hAnsi="Arial" w:cs="Arial"/>
                <w:bCs/>
                <w:color w:val="000000"/>
                <w:sz w:val="18"/>
                <w:szCs w:val="18"/>
                <w:lang w:val="es-ES"/>
              </w:rPr>
              <w:t>81.25</w:t>
            </w:r>
            <w:r w:rsidRPr="00BB0618">
              <w:rPr>
                <w:rFonts w:ascii="Arial" w:eastAsia="Calibri" w:hAnsi="Arial" w:cs="Arial"/>
                <w:sz w:val="18"/>
                <w:szCs w:val="18"/>
                <w:lang w:val="es-ES"/>
              </w:rPr>
              <w:t>±3.99</w:t>
            </w:r>
          </w:p>
        </w:tc>
        <w:tc>
          <w:tcPr>
            <w:tcW w:w="1957"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Cs/>
                <w:color w:val="000000"/>
                <w:sz w:val="18"/>
                <w:szCs w:val="18"/>
                <w:lang w:val="es-ES"/>
              </w:rPr>
            </w:pPr>
            <w:r w:rsidRPr="00BB0618">
              <w:rPr>
                <w:rFonts w:ascii="Arial" w:eastAsia="Calibri" w:hAnsi="Arial" w:cs="Arial"/>
                <w:bCs/>
                <w:color w:val="000000"/>
                <w:sz w:val="18"/>
                <w:szCs w:val="18"/>
                <w:lang w:val="es-ES"/>
              </w:rPr>
              <w:t>85.00</w:t>
            </w:r>
            <w:r w:rsidRPr="00BB0618">
              <w:rPr>
                <w:rFonts w:ascii="Arial" w:eastAsia="Calibri" w:hAnsi="Arial" w:cs="Arial"/>
                <w:sz w:val="18"/>
                <w:szCs w:val="18"/>
                <w:lang w:val="es-ES"/>
              </w:rPr>
              <w:t>±13.95</w:t>
            </w:r>
          </w:p>
        </w:tc>
        <w:tc>
          <w:tcPr>
            <w:tcW w:w="1957"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Cs/>
                <w:color w:val="000000"/>
                <w:sz w:val="18"/>
                <w:szCs w:val="18"/>
                <w:lang w:val="es-ES"/>
              </w:rPr>
            </w:pPr>
            <w:r w:rsidRPr="00BB0618">
              <w:rPr>
                <w:rFonts w:ascii="Arial" w:eastAsia="Calibri" w:hAnsi="Arial" w:cs="Arial"/>
                <w:bCs/>
                <w:color w:val="000000"/>
                <w:sz w:val="18"/>
                <w:szCs w:val="18"/>
                <w:lang w:val="es-ES"/>
              </w:rPr>
              <w:t>3.06</w:t>
            </w:r>
            <w:r w:rsidRPr="00BB0618">
              <w:rPr>
                <w:rFonts w:ascii="Arial" w:eastAsia="Calibri" w:hAnsi="Arial" w:cs="Arial"/>
                <w:sz w:val="18"/>
                <w:szCs w:val="18"/>
                <w:lang w:val="es-ES"/>
              </w:rPr>
              <w:t>±0.16</w:t>
            </w:r>
          </w:p>
        </w:tc>
      </w:tr>
      <w:tr w:rsidR="00082DDA" w:rsidTr="00776358">
        <w:trPr>
          <w:gridAfter w:val="14"/>
          <w:wAfter w:w="11918" w:type="dxa"/>
          <w:trHeight w:val="392"/>
        </w:trPr>
        <w:tc>
          <w:tcPr>
            <w:tcW w:w="1895" w:type="dxa"/>
            <w:tcBorders>
              <w:top w:val="single" w:sz="12" w:space="0" w:color="000000"/>
              <w:left w:val="single" w:sz="4" w:space="0" w:color="FFFFFF"/>
              <w:bottom w:val="single" w:sz="8" w:space="0" w:color="FFFFFF"/>
              <w:right w:val="single" w:sz="4" w:space="0" w:color="FFFFFF"/>
            </w:tcBorders>
            <w:shd w:val="clear" w:color="auto" w:fill="auto"/>
          </w:tcPr>
          <w:p w:rsidR="00082DDA" w:rsidRPr="00BB0618" w:rsidRDefault="00082DDA" w:rsidP="00776358">
            <w:pPr>
              <w:rPr>
                <w:rFonts w:ascii="Arial" w:eastAsia="Calibri" w:hAnsi="Arial" w:cs="Arial"/>
                <w:sz w:val="20"/>
                <w:lang w:val="es-ES"/>
              </w:rPr>
            </w:pPr>
          </w:p>
        </w:tc>
        <w:tc>
          <w:tcPr>
            <w:tcW w:w="1856" w:type="dxa"/>
            <w:tcBorders>
              <w:top w:val="single" w:sz="12" w:space="0" w:color="auto"/>
              <w:left w:val="single" w:sz="4" w:space="0" w:color="FFFFFF"/>
              <w:bottom w:val="single" w:sz="8" w:space="0" w:color="auto"/>
              <w:right w:val="single" w:sz="4" w:space="0" w:color="FFFFFF"/>
            </w:tcBorders>
          </w:tcPr>
          <w:p w:rsidR="00082DDA" w:rsidRPr="00BB0618" w:rsidRDefault="00082DDA" w:rsidP="00776358">
            <w:pPr>
              <w:jc w:val="center"/>
              <w:rPr>
                <w:rFonts w:ascii="Arial" w:eastAsia="Calibri" w:hAnsi="Arial" w:cs="Arial"/>
                <w:b/>
                <w:sz w:val="20"/>
                <w:lang w:val="es-ES"/>
              </w:rPr>
            </w:pPr>
          </w:p>
        </w:tc>
      </w:tr>
      <w:tr w:rsidR="00082DDA" w:rsidTr="00776358">
        <w:trPr>
          <w:trHeight w:val="392"/>
        </w:trPr>
        <w:tc>
          <w:tcPr>
            <w:tcW w:w="1895" w:type="dxa"/>
            <w:vMerge w:val="restart"/>
            <w:tcBorders>
              <w:top w:val="single" w:sz="12" w:space="0" w:color="auto"/>
              <w:left w:val="single" w:sz="12" w:space="0" w:color="FFFFFF"/>
              <w:bottom w:val="single" w:sz="12" w:space="0" w:color="000000"/>
              <w:right w:val="single" w:sz="12" w:space="0" w:color="FFFFFF"/>
            </w:tcBorders>
            <w:vAlign w:val="center"/>
          </w:tcPr>
          <w:p w:rsidR="00082DDA" w:rsidRPr="00BB0618" w:rsidRDefault="00082DDA" w:rsidP="00776358">
            <w:pPr>
              <w:jc w:val="center"/>
              <w:rPr>
                <w:rFonts w:ascii="Arial" w:eastAsia="Calibri" w:hAnsi="Arial" w:cs="Arial"/>
                <w:b/>
                <w:sz w:val="20"/>
                <w:lang w:val="es-ES"/>
              </w:rPr>
            </w:pPr>
            <w:r w:rsidRPr="00BB0618">
              <w:rPr>
                <w:rFonts w:ascii="Arial" w:eastAsia="Calibri" w:hAnsi="Arial" w:cs="Arial"/>
                <w:b/>
                <w:sz w:val="20"/>
                <w:lang w:val="es-ES"/>
              </w:rPr>
              <w:t>STUDY II</w:t>
            </w:r>
          </w:p>
        </w:tc>
        <w:tc>
          <w:tcPr>
            <w:tcW w:w="1964"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20"/>
                <w:lang w:val="es-ES"/>
              </w:rPr>
            </w:pPr>
            <w:r w:rsidRPr="00BB0618">
              <w:rPr>
                <w:rFonts w:ascii="Arial" w:eastAsia="Calibri" w:hAnsi="Arial" w:cs="Arial"/>
                <w:b/>
                <w:sz w:val="20"/>
                <w:lang w:val="es-ES"/>
              </w:rPr>
              <w:t>Control</w:t>
            </w:r>
          </w:p>
        </w:tc>
        <w:tc>
          <w:tcPr>
            <w:tcW w:w="1963"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lang w:val="es-ES"/>
              </w:rPr>
            </w:pPr>
            <w:r w:rsidRPr="00BB0618">
              <w:rPr>
                <w:rFonts w:ascii="Arial" w:eastAsia="Calibri" w:hAnsi="Arial" w:cs="Arial"/>
                <w:sz w:val="18"/>
                <w:lang w:val="es-ES"/>
              </w:rPr>
              <w:t>187.67±31.35</w:t>
            </w:r>
          </w:p>
        </w:tc>
        <w:tc>
          <w:tcPr>
            <w:tcW w:w="1963"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lang w:val="es-ES"/>
              </w:rPr>
            </w:pPr>
            <w:r w:rsidRPr="00BB0618">
              <w:rPr>
                <w:rFonts w:ascii="Arial" w:eastAsia="Calibri" w:hAnsi="Arial" w:cs="Arial"/>
                <w:sz w:val="18"/>
                <w:lang w:val="es-ES"/>
              </w:rPr>
              <w:t>95.50±26.50</w:t>
            </w:r>
          </w:p>
        </w:tc>
        <w:tc>
          <w:tcPr>
            <w:tcW w:w="1963"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lang w:val="es-ES"/>
              </w:rPr>
            </w:pPr>
            <w:r w:rsidRPr="00BB0618">
              <w:rPr>
                <w:rFonts w:ascii="Arial" w:eastAsia="Calibri" w:hAnsi="Arial" w:cs="Arial"/>
                <w:sz w:val="18"/>
                <w:lang w:val="es-ES"/>
              </w:rPr>
              <w:t>39.20±3.61</w:t>
            </w:r>
          </w:p>
        </w:tc>
        <w:tc>
          <w:tcPr>
            <w:tcW w:w="1963"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lang w:val="es-ES"/>
              </w:rPr>
            </w:pPr>
            <w:r w:rsidRPr="00BB0618">
              <w:rPr>
                <w:rFonts w:ascii="Arial" w:eastAsia="Calibri" w:hAnsi="Arial" w:cs="Arial"/>
                <w:sz w:val="18"/>
                <w:lang w:val="es-ES"/>
              </w:rPr>
              <w:t>62.33±5.09</w:t>
            </w:r>
          </w:p>
        </w:tc>
        <w:tc>
          <w:tcPr>
            <w:tcW w:w="1963"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lang w:val="es-ES"/>
              </w:rPr>
            </w:pPr>
            <w:r w:rsidRPr="00BB0618">
              <w:rPr>
                <w:rFonts w:ascii="Arial" w:eastAsia="Calibri" w:hAnsi="Arial" w:cs="Arial"/>
                <w:sz w:val="18"/>
                <w:lang w:val="es-ES"/>
              </w:rPr>
              <w:t>35.33±3.60</w:t>
            </w:r>
          </w:p>
        </w:tc>
        <w:tc>
          <w:tcPr>
            <w:tcW w:w="1970" w:type="dxa"/>
            <w:gridSpan w:val="3"/>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lang w:val="es-ES"/>
              </w:rPr>
            </w:pPr>
            <w:r w:rsidRPr="00BB0618">
              <w:rPr>
                <w:rFonts w:ascii="Arial" w:eastAsia="Calibri" w:hAnsi="Arial" w:cs="Arial"/>
                <w:sz w:val="18"/>
                <w:lang w:val="es-ES"/>
              </w:rPr>
              <w:t>3.58±0.08</w:t>
            </w:r>
          </w:p>
        </w:tc>
      </w:tr>
      <w:tr w:rsidR="00082DDA" w:rsidTr="00776358">
        <w:trPr>
          <w:trHeight w:val="392"/>
        </w:trPr>
        <w:tc>
          <w:tcPr>
            <w:tcW w:w="1895" w:type="dxa"/>
            <w:vMerge/>
            <w:tcBorders>
              <w:left w:val="single" w:sz="12" w:space="0" w:color="FFFFFF"/>
              <w:bottom w:val="single" w:sz="12" w:space="0" w:color="000000"/>
              <w:right w:val="single" w:sz="12" w:space="0" w:color="FFFFFF"/>
            </w:tcBorders>
          </w:tcPr>
          <w:p w:rsidR="00082DDA" w:rsidRPr="00BB0618" w:rsidRDefault="00082DDA" w:rsidP="00776358">
            <w:pPr>
              <w:rPr>
                <w:rFonts w:ascii="Arial" w:eastAsia="Calibri" w:hAnsi="Arial" w:cs="Arial"/>
                <w:sz w:val="20"/>
                <w:lang w:val="es-ES"/>
              </w:rPr>
            </w:pPr>
          </w:p>
        </w:tc>
        <w:tc>
          <w:tcPr>
            <w:tcW w:w="1964"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20"/>
                <w:lang w:val="es-ES"/>
              </w:rPr>
            </w:pPr>
            <w:r w:rsidRPr="00BB0618">
              <w:rPr>
                <w:rFonts w:ascii="Arial" w:eastAsia="Calibri" w:hAnsi="Arial" w:cs="Arial"/>
                <w:b/>
                <w:sz w:val="20"/>
                <w:lang w:val="es-ES"/>
              </w:rPr>
              <w:t>D2-MASLD</w:t>
            </w:r>
          </w:p>
        </w:tc>
        <w:tc>
          <w:tcPr>
            <w:tcW w:w="1963"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sz w:val="18"/>
                <w:lang w:val="es-ES"/>
              </w:rPr>
            </w:pPr>
            <w:r w:rsidRPr="00BB0618">
              <w:rPr>
                <w:rFonts w:ascii="Arial" w:eastAsia="Calibri" w:hAnsi="Arial" w:cs="Arial"/>
                <w:sz w:val="18"/>
                <w:lang w:val="es-ES"/>
              </w:rPr>
              <w:t>190.17±12.22</w:t>
            </w:r>
          </w:p>
        </w:tc>
        <w:tc>
          <w:tcPr>
            <w:tcW w:w="1963"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lang w:val="es-ES"/>
              </w:rPr>
            </w:pPr>
            <w:r w:rsidRPr="00BB0618">
              <w:rPr>
                <w:rFonts w:ascii="Arial" w:eastAsia="Calibri" w:hAnsi="Arial" w:cs="Arial"/>
                <w:b/>
                <w:sz w:val="18"/>
                <w:lang w:val="es-ES"/>
              </w:rPr>
              <w:t>371.00</w:t>
            </w:r>
            <w:r w:rsidRPr="00BB0618">
              <w:rPr>
                <w:rFonts w:ascii="Arial" w:eastAsia="Calibri" w:hAnsi="Arial" w:cs="Arial"/>
                <w:sz w:val="18"/>
                <w:lang w:val="es-ES"/>
              </w:rPr>
              <w:t>±</w:t>
            </w:r>
            <w:r w:rsidRPr="00BB0618">
              <w:rPr>
                <w:rFonts w:ascii="Arial" w:eastAsia="Calibri" w:hAnsi="Arial" w:cs="Arial"/>
                <w:b/>
                <w:sz w:val="18"/>
                <w:lang w:val="es-ES"/>
              </w:rPr>
              <w:t>33.15**</w:t>
            </w:r>
          </w:p>
        </w:tc>
        <w:tc>
          <w:tcPr>
            <w:tcW w:w="1963"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lang w:val="es-ES"/>
              </w:rPr>
            </w:pPr>
            <w:r w:rsidRPr="00BB0618">
              <w:rPr>
                <w:rFonts w:ascii="Arial" w:eastAsia="Calibri" w:hAnsi="Arial" w:cs="Arial"/>
                <w:b/>
                <w:sz w:val="18"/>
                <w:lang w:val="es-ES"/>
              </w:rPr>
              <w:t>157.42</w:t>
            </w:r>
            <w:r w:rsidRPr="00BB0618">
              <w:rPr>
                <w:rFonts w:ascii="Arial" w:eastAsia="Calibri" w:hAnsi="Arial" w:cs="Arial"/>
                <w:sz w:val="18"/>
                <w:lang w:val="es-ES"/>
              </w:rPr>
              <w:t>±</w:t>
            </w:r>
            <w:r w:rsidRPr="00BB0618">
              <w:rPr>
                <w:rFonts w:ascii="Arial" w:eastAsia="Calibri" w:hAnsi="Arial" w:cs="Arial"/>
                <w:b/>
                <w:sz w:val="18"/>
                <w:lang w:val="es-ES"/>
              </w:rPr>
              <w:t>19.68**</w:t>
            </w:r>
          </w:p>
        </w:tc>
        <w:tc>
          <w:tcPr>
            <w:tcW w:w="1963"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lang w:val="es-ES"/>
              </w:rPr>
            </w:pPr>
            <w:r w:rsidRPr="00BB0618">
              <w:rPr>
                <w:rFonts w:ascii="Arial" w:eastAsia="Calibri" w:hAnsi="Arial" w:cs="Arial"/>
                <w:b/>
                <w:sz w:val="18"/>
                <w:lang w:val="es-ES"/>
              </w:rPr>
              <w:t>129.17</w:t>
            </w:r>
            <w:r w:rsidRPr="00BB0618">
              <w:rPr>
                <w:rFonts w:ascii="Arial" w:eastAsia="Calibri" w:hAnsi="Arial" w:cs="Arial"/>
                <w:sz w:val="18"/>
                <w:lang w:val="es-ES"/>
              </w:rPr>
              <w:t>±</w:t>
            </w:r>
            <w:r w:rsidRPr="00BB0618">
              <w:rPr>
                <w:rFonts w:ascii="Arial" w:eastAsia="Calibri" w:hAnsi="Arial" w:cs="Arial"/>
                <w:b/>
                <w:sz w:val="18"/>
                <w:lang w:val="es-ES"/>
              </w:rPr>
              <w:t>5.74***</w:t>
            </w:r>
          </w:p>
        </w:tc>
        <w:tc>
          <w:tcPr>
            <w:tcW w:w="1963"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lang w:val="es-ES"/>
              </w:rPr>
            </w:pPr>
            <w:r w:rsidRPr="00BB0618">
              <w:rPr>
                <w:rFonts w:ascii="Arial" w:eastAsia="Calibri" w:hAnsi="Arial" w:cs="Arial"/>
                <w:b/>
                <w:sz w:val="18"/>
                <w:lang w:val="es-ES"/>
              </w:rPr>
              <w:t>24.17</w:t>
            </w:r>
            <w:r w:rsidRPr="00BB0618">
              <w:rPr>
                <w:rFonts w:ascii="Arial" w:eastAsia="Calibri" w:hAnsi="Arial" w:cs="Arial"/>
                <w:sz w:val="18"/>
                <w:lang w:val="es-ES"/>
              </w:rPr>
              <w:t>±</w:t>
            </w:r>
            <w:r w:rsidRPr="00BB0618">
              <w:rPr>
                <w:rFonts w:ascii="Arial" w:eastAsia="Calibri" w:hAnsi="Arial" w:cs="Arial"/>
                <w:b/>
                <w:sz w:val="18"/>
                <w:lang w:val="es-ES"/>
              </w:rPr>
              <w:t>2.53*</w:t>
            </w:r>
          </w:p>
        </w:tc>
        <w:tc>
          <w:tcPr>
            <w:tcW w:w="1970" w:type="dxa"/>
            <w:gridSpan w:val="3"/>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lang w:val="es-ES"/>
              </w:rPr>
            </w:pPr>
            <w:r w:rsidRPr="00BB0618">
              <w:rPr>
                <w:rFonts w:ascii="Arial" w:eastAsia="Calibri" w:hAnsi="Arial" w:cs="Arial"/>
                <w:b/>
                <w:sz w:val="18"/>
                <w:lang w:val="es-ES"/>
              </w:rPr>
              <w:t>4.08</w:t>
            </w:r>
            <w:r w:rsidRPr="00BB0618">
              <w:rPr>
                <w:rFonts w:ascii="Arial" w:eastAsia="Calibri" w:hAnsi="Arial" w:cs="Arial"/>
                <w:sz w:val="18"/>
                <w:lang w:val="es-ES"/>
              </w:rPr>
              <w:t>±</w:t>
            </w:r>
            <w:r w:rsidRPr="00BB0618">
              <w:rPr>
                <w:rFonts w:ascii="Arial" w:eastAsia="Calibri" w:hAnsi="Arial" w:cs="Arial"/>
                <w:b/>
                <w:sz w:val="18"/>
                <w:lang w:val="es-ES"/>
              </w:rPr>
              <w:t>0.06***</w:t>
            </w:r>
          </w:p>
        </w:tc>
      </w:tr>
      <w:tr w:rsidR="00082DDA" w:rsidTr="00776358">
        <w:trPr>
          <w:gridAfter w:val="2"/>
          <w:wAfter w:w="1918" w:type="dxa"/>
          <w:trHeight w:val="392"/>
        </w:trPr>
        <w:tc>
          <w:tcPr>
            <w:tcW w:w="1895" w:type="dxa"/>
            <w:tcBorders>
              <w:top w:val="single" w:sz="12" w:space="0" w:color="000000"/>
              <w:left w:val="single" w:sz="4" w:space="0" w:color="FFFFFF"/>
              <w:bottom w:val="single" w:sz="12" w:space="0" w:color="FFFFFF"/>
              <w:right w:val="single" w:sz="4" w:space="0" w:color="FFFFFF"/>
            </w:tcBorders>
          </w:tcPr>
          <w:p w:rsidR="00082DDA" w:rsidRPr="00BB0618" w:rsidRDefault="00082DDA" w:rsidP="00776358">
            <w:pPr>
              <w:rPr>
                <w:rFonts w:ascii="Arial" w:eastAsia="Calibri" w:hAnsi="Arial" w:cs="Arial"/>
                <w:sz w:val="20"/>
              </w:rPr>
            </w:pPr>
          </w:p>
        </w:tc>
        <w:tc>
          <w:tcPr>
            <w:tcW w:w="2605" w:type="dxa"/>
            <w:gridSpan w:val="3"/>
            <w:tcBorders>
              <w:top w:val="single" w:sz="12" w:space="0" w:color="000000"/>
              <w:left w:val="single" w:sz="4" w:space="0" w:color="FFFFFF"/>
              <w:bottom w:val="single" w:sz="2" w:space="0" w:color="000000"/>
              <w:right w:val="single" w:sz="12" w:space="0" w:color="FFFFFF"/>
            </w:tcBorders>
            <w:vAlign w:val="center"/>
          </w:tcPr>
          <w:p w:rsidR="00082DDA" w:rsidRPr="00BB0618" w:rsidRDefault="00082DDA" w:rsidP="00776358">
            <w:pPr>
              <w:jc w:val="center"/>
              <w:rPr>
                <w:rFonts w:ascii="Arial" w:eastAsia="Calibri" w:hAnsi="Arial" w:cs="Arial"/>
                <w:b/>
                <w:sz w:val="20"/>
              </w:rPr>
            </w:pPr>
          </w:p>
        </w:tc>
        <w:tc>
          <w:tcPr>
            <w:tcW w:w="1607" w:type="dxa"/>
            <w:gridSpan w:val="2"/>
            <w:tcBorders>
              <w:top w:val="single" w:sz="12" w:space="0" w:color="000000"/>
              <w:left w:val="single" w:sz="12" w:space="0" w:color="FFFFFF"/>
              <w:bottom w:val="single" w:sz="2" w:space="0" w:color="000000"/>
              <w:right w:val="single" w:sz="12" w:space="0" w:color="FFFFFF"/>
            </w:tcBorders>
            <w:vAlign w:val="center"/>
          </w:tcPr>
          <w:p w:rsidR="00082DDA" w:rsidRPr="00BB0618" w:rsidRDefault="00082DDA" w:rsidP="00776358">
            <w:pPr>
              <w:jc w:val="center"/>
              <w:rPr>
                <w:rFonts w:ascii="Arial" w:eastAsia="Calibri" w:hAnsi="Arial" w:cs="Arial"/>
                <w:sz w:val="20"/>
              </w:rPr>
            </w:pPr>
          </w:p>
        </w:tc>
        <w:tc>
          <w:tcPr>
            <w:tcW w:w="1884" w:type="dxa"/>
            <w:gridSpan w:val="2"/>
            <w:tcBorders>
              <w:top w:val="single" w:sz="12" w:space="0" w:color="000000"/>
              <w:left w:val="single" w:sz="12" w:space="0" w:color="FFFFFF"/>
              <w:bottom w:val="single" w:sz="2" w:space="0" w:color="000000"/>
              <w:right w:val="single" w:sz="12" w:space="0" w:color="FFFFFF"/>
            </w:tcBorders>
            <w:vAlign w:val="center"/>
          </w:tcPr>
          <w:p w:rsidR="00082DDA" w:rsidRPr="00BB0618" w:rsidRDefault="00082DDA" w:rsidP="00776358">
            <w:pPr>
              <w:jc w:val="center"/>
              <w:rPr>
                <w:rFonts w:ascii="Arial" w:eastAsia="Calibri" w:hAnsi="Arial" w:cs="Arial"/>
                <w:sz w:val="20"/>
              </w:rPr>
            </w:pPr>
          </w:p>
        </w:tc>
        <w:tc>
          <w:tcPr>
            <w:tcW w:w="1888" w:type="dxa"/>
            <w:gridSpan w:val="2"/>
            <w:tcBorders>
              <w:top w:val="single" w:sz="12" w:space="0" w:color="000000"/>
              <w:left w:val="single" w:sz="12" w:space="0" w:color="FFFFFF"/>
              <w:bottom w:val="single" w:sz="2" w:space="0" w:color="000000"/>
              <w:right w:val="single" w:sz="12" w:space="0" w:color="FFFFFF"/>
            </w:tcBorders>
            <w:vAlign w:val="center"/>
          </w:tcPr>
          <w:p w:rsidR="00082DDA" w:rsidRPr="00BB0618" w:rsidRDefault="00082DDA" w:rsidP="00776358">
            <w:pPr>
              <w:jc w:val="center"/>
              <w:rPr>
                <w:rFonts w:ascii="Arial" w:eastAsia="Calibri" w:hAnsi="Arial" w:cs="Arial"/>
                <w:sz w:val="20"/>
              </w:rPr>
            </w:pPr>
          </w:p>
        </w:tc>
        <w:tc>
          <w:tcPr>
            <w:tcW w:w="1966" w:type="dxa"/>
            <w:gridSpan w:val="2"/>
            <w:tcBorders>
              <w:top w:val="single" w:sz="12" w:space="0" w:color="000000"/>
              <w:left w:val="single" w:sz="12" w:space="0" w:color="FFFFFF"/>
              <w:bottom w:val="single" w:sz="2" w:space="0" w:color="000000"/>
              <w:right w:val="single" w:sz="12" w:space="0" w:color="FFFFFF"/>
            </w:tcBorders>
            <w:vAlign w:val="center"/>
          </w:tcPr>
          <w:p w:rsidR="00082DDA" w:rsidRPr="00BB0618" w:rsidRDefault="00082DDA" w:rsidP="00776358">
            <w:pPr>
              <w:jc w:val="center"/>
              <w:rPr>
                <w:rFonts w:ascii="Arial" w:eastAsia="Calibri" w:hAnsi="Arial" w:cs="Arial"/>
                <w:sz w:val="20"/>
              </w:rPr>
            </w:pPr>
          </w:p>
        </w:tc>
        <w:tc>
          <w:tcPr>
            <w:tcW w:w="1906" w:type="dxa"/>
            <w:gridSpan w:val="2"/>
            <w:tcBorders>
              <w:top w:val="single" w:sz="12" w:space="0" w:color="000000"/>
              <w:left w:val="single" w:sz="12" w:space="0" w:color="FFFFFF"/>
              <w:bottom w:val="single" w:sz="2" w:space="0" w:color="000000"/>
              <w:right w:val="single" w:sz="12" w:space="0" w:color="FFFFFF"/>
            </w:tcBorders>
            <w:vAlign w:val="center"/>
          </w:tcPr>
          <w:p w:rsidR="00082DDA" w:rsidRPr="00BB0618" w:rsidRDefault="00082DDA" w:rsidP="00776358">
            <w:pPr>
              <w:jc w:val="center"/>
              <w:rPr>
                <w:rFonts w:ascii="Arial" w:eastAsia="Calibri" w:hAnsi="Arial" w:cs="Arial"/>
                <w:sz w:val="20"/>
              </w:rPr>
            </w:pPr>
          </w:p>
        </w:tc>
      </w:tr>
      <w:tr w:rsidR="00082DDA" w:rsidTr="00776358">
        <w:trPr>
          <w:gridAfter w:val="1"/>
          <w:wAfter w:w="36" w:type="dxa"/>
          <w:trHeight w:val="392"/>
        </w:trPr>
        <w:tc>
          <w:tcPr>
            <w:tcW w:w="1895" w:type="dxa"/>
            <w:vMerge w:val="restart"/>
            <w:tcBorders>
              <w:top w:val="single" w:sz="12" w:space="0" w:color="auto"/>
              <w:left w:val="single" w:sz="12" w:space="0" w:color="FFFFFF"/>
              <w:bottom w:val="single" w:sz="12" w:space="0" w:color="000000"/>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STUDY III</w:t>
            </w:r>
          </w:p>
        </w:tc>
        <w:tc>
          <w:tcPr>
            <w:tcW w:w="1959"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Control</w:t>
            </w:r>
          </w:p>
        </w:tc>
        <w:tc>
          <w:tcPr>
            <w:tcW w:w="1959"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188.14</w:t>
            </w:r>
            <w:r w:rsidRPr="00BB0618">
              <w:rPr>
                <w:rFonts w:ascii="Arial" w:eastAsia="Calibri" w:hAnsi="Arial" w:cs="Arial"/>
                <w:sz w:val="18"/>
                <w:szCs w:val="18"/>
                <w:lang w:val="es-ES"/>
              </w:rPr>
              <w:t>±20.47</w:t>
            </w:r>
          </w:p>
        </w:tc>
        <w:tc>
          <w:tcPr>
            <w:tcW w:w="1959"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126.20</w:t>
            </w:r>
            <w:r w:rsidRPr="00BB0618">
              <w:rPr>
                <w:rFonts w:ascii="Arial" w:eastAsia="Calibri" w:hAnsi="Arial" w:cs="Arial"/>
                <w:sz w:val="18"/>
                <w:szCs w:val="18"/>
                <w:lang w:val="es-ES"/>
              </w:rPr>
              <w:t>±23.77</w:t>
            </w:r>
          </w:p>
        </w:tc>
        <w:tc>
          <w:tcPr>
            <w:tcW w:w="1959"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41.38</w:t>
            </w:r>
            <w:r w:rsidRPr="00BB0618">
              <w:rPr>
                <w:rFonts w:ascii="Arial" w:eastAsia="Calibri" w:hAnsi="Arial" w:cs="Arial"/>
                <w:sz w:val="18"/>
                <w:szCs w:val="18"/>
                <w:lang w:val="es-ES"/>
              </w:rPr>
              <w:t>±1.65</w:t>
            </w:r>
          </w:p>
        </w:tc>
        <w:tc>
          <w:tcPr>
            <w:tcW w:w="1959"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62.20</w:t>
            </w:r>
            <w:r w:rsidRPr="00BB0618">
              <w:rPr>
                <w:rFonts w:ascii="Arial" w:eastAsia="Calibri" w:hAnsi="Arial" w:cs="Arial"/>
                <w:sz w:val="18"/>
                <w:szCs w:val="18"/>
                <w:lang w:val="es-ES"/>
              </w:rPr>
              <w:t>±6.48</w:t>
            </w:r>
          </w:p>
        </w:tc>
        <w:tc>
          <w:tcPr>
            <w:tcW w:w="1959"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39.25</w:t>
            </w:r>
            <w:r w:rsidRPr="00BB0618">
              <w:rPr>
                <w:rFonts w:ascii="Arial" w:eastAsia="Calibri" w:hAnsi="Arial" w:cs="Arial"/>
                <w:sz w:val="18"/>
                <w:szCs w:val="18"/>
                <w:lang w:val="es-ES"/>
              </w:rPr>
              <w:t>±3.55</w:t>
            </w:r>
          </w:p>
        </w:tc>
        <w:tc>
          <w:tcPr>
            <w:tcW w:w="1959" w:type="dxa"/>
            <w:gridSpan w:val="2"/>
            <w:tcBorders>
              <w:top w:val="single" w:sz="12" w:space="0" w:color="auto"/>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3.41</w:t>
            </w:r>
            <w:r w:rsidRPr="00BB0618">
              <w:rPr>
                <w:rFonts w:ascii="Arial" w:eastAsia="Calibri" w:hAnsi="Arial" w:cs="Arial"/>
                <w:sz w:val="18"/>
                <w:szCs w:val="18"/>
                <w:lang w:val="es-ES"/>
              </w:rPr>
              <w:t>±0.07</w:t>
            </w:r>
          </w:p>
        </w:tc>
      </w:tr>
      <w:tr w:rsidR="00082DDA" w:rsidTr="00776358">
        <w:trPr>
          <w:gridAfter w:val="1"/>
          <w:wAfter w:w="36" w:type="dxa"/>
          <w:trHeight w:val="392"/>
        </w:trPr>
        <w:tc>
          <w:tcPr>
            <w:tcW w:w="1895" w:type="dxa"/>
            <w:vMerge/>
            <w:tcBorders>
              <w:left w:val="single" w:sz="12" w:space="0" w:color="FFFFFF"/>
              <w:bottom w:val="single" w:sz="12" w:space="0" w:color="000000"/>
              <w:right w:val="single" w:sz="12" w:space="0" w:color="FFFFFF"/>
            </w:tcBorders>
          </w:tcPr>
          <w:p w:rsidR="00082DDA" w:rsidRPr="00BB0618" w:rsidRDefault="00082DDA" w:rsidP="00776358">
            <w:pPr>
              <w:rPr>
                <w:rFonts w:ascii="Arial" w:eastAsia="Calibri" w:hAnsi="Arial" w:cs="Arial"/>
                <w:sz w:val="20"/>
              </w:rPr>
            </w:pP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D3-MASLD</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225.67</w:t>
            </w:r>
            <w:r w:rsidRPr="00BB0618">
              <w:rPr>
                <w:rFonts w:ascii="Arial" w:eastAsia="Calibri" w:hAnsi="Arial" w:cs="Arial"/>
                <w:sz w:val="18"/>
                <w:szCs w:val="18"/>
                <w:lang w:val="es-ES"/>
              </w:rPr>
              <w:t>±10.66</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301.80</w:t>
            </w:r>
            <w:r w:rsidRPr="00BB0618">
              <w:rPr>
                <w:rFonts w:ascii="Arial" w:eastAsia="Calibri" w:hAnsi="Arial" w:cs="Arial"/>
                <w:b/>
                <w:sz w:val="18"/>
                <w:szCs w:val="18"/>
                <w:lang w:val="es-ES"/>
              </w:rPr>
              <w:t>±14.63**</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107.40</w:t>
            </w:r>
            <w:r w:rsidRPr="00BB0618">
              <w:rPr>
                <w:rFonts w:ascii="Arial" w:eastAsia="Calibri" w:hAnsi="Arial" w:cs="Arial"/>
                <w:b/>
                <w:sz w:val="18"/>
                <w:szCs w:val="18"/>
                <w:lang w:val="es-ES"/>
              </w:rPr>
              <w:t>±11.09***</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220.40</w:t>
            </w:r>
            <w:r w:rsidRPr="00BB0618">
              <w:rPr>
                <w:rFonts w:ascii="Arial" w:eastAsia="Calibri" w:hAnsi="Arial" w:cs="Arial"/>
                <w:sz w:val="18"/>
                <w:szCs w:val="18"/>
                <w:lang w:val="es-ES"/>
              </w:rPr>
              <w:t>±</w:t>
            </w:r>
            <w:r w:rsidRPr="00BB0618">
              <w:rPr>
                <w:rFonts w:ascii="Arial" w:eastAsia="Calibri" w:hAnsi="Arial" w:cs="Arial"/>
                <w:b/>
                <w:sz w:val="18"/>
                <w:szCs w:val="18"/>
                <w:lang w:val="es-ES"/>
              </w:rPr>
              <w:t>47.22***</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32.83</w:t>
            </w:r>
            <w:r w:rsidRPr="00BB0618">
              <w:rPr>
                <w:rFonts w:ascii="Arial" w:eastAsia="Calibri" w:hAnsi="Arial" w:cs="Arial"/>
                <w:sz w:val="18"/>
                <w:szCs w:val="18"/>
                <w:lang w:val="es-ES"/>
              </w:rPr>
              <w:t>±2.96</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4.11</w:t>
            </w:r>
            <w:r w:rsidRPr="00BB0618">
              <w:rPr>
                <w:rFonts w:ascii="Arial" w:eastAsia="Calibri" w:hAnsi="Arial" w:cs="Arial"/>
                <w:sz w:val="18"/>
                <w:szCs w:val="18"/>
                <w:lang w:val="es-ES"/>
              </w:rPr>
              <w:t>±</w:t>
            </w:r>
            <w:r w:rsidRPr="00BB0618">
              <w:rPr>
                <w:rFonts w:ascii="Arial" w:eastAsia="Calibri" w:hAnsi="Arial" w:cs="Arial"/>
                <w:b/>
                <w:sz w:val="18"/>
                <w:szCs w:val="18"/>
                <w:lang w:val="es-ES"/>
              </w:rPr>
              <w:t>0.07***</w:t>
            </w:r>
          </w:p>
        </w:tc>
      </w:tr>
      <w:tr w:rsidR="00082DDA" w:rsidTr="00776358">
        <w:trPr>
          <w:gridAfter w:val="1"/>
          <w:wAfter w:w="36" w:type="dxa"/>
          <w:trHeight w:val="392"/>
        </w:trPr>
        <w:tc>
          <w:tcPr>
            <w:tcW w:w="1895" w:type="dxa"/>
            <w:vMerge/>
            <w:tcBorders>
              <w:left w:val="single" w:sz="12" w:space="0" w:color="FFFFFF"/>
              <w:bottom w:val="single" w:sz="12" w:space="0" w:color="000000"/>
              <w:right w:val="single" w:sz="12" w:space="0" w:color="FFFFFF"/>
            </w:tcBorders>
          </w:tcPr>
          <w:p w:rsidR="00082DDA" w:rsidRPr="00BB0618" w:rsidRDefault="00082DDA" w:rsidP="00776358">
            <w:pPr>
              <w:rPr>
                <w:rFonts w:ascii="Arial" w:eastAsia="Calibri" w:hAnsi="Arial" w:cs="Arial"/>
                <w:sz w:val="20"/>
              </w:rPr>
            </w:pP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20"/>
              </w:rPr>
            </w:pPr>
            <w:r w:rsidRPr="00BB0618">
              <w:rPr>
                <w:rFonts w:ascii="Arial" w:eastAsia="Calibri" w:hAnsi="Arial" w:cs="Arial"/>
                <w:b/>
                <w:sz w:val="20"/>
              </w:rPr>
              <w:t>D4-MASLD</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282.45</w:t>
            </w:r>
            <w:r w:rsidRPr="00BB0618">
              <w:rPr>
                <w:rFonts w:ascii="Arial" w:eastAsia="Calibri" w:hAnsi="Arial" w:cs="Arial"/>
                <w:b/>
                <w:sz w:val="18"/>
                <w:szCs w:val="18"/>
                <w:lang w:val="es-ES"/>
              </w:rPr>
              <w:t>±25.43*</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306.30</w:t>
            </w:r>
            <w:r w:rsidRPr="00BB0618">
              <w:rPr>
                <w:rFonts w:ascii="Arial" w:eastAsia="Calibri" w:hAnsi="Arial" w:cs="Arial"/>
                <w:b/>
                <w:sz w:val="18"/>
                <w:szCs w:val="18"/>
                <w:lang w:val="es-ES"/>
              </w:rPr>
              <w:t>±45.86*</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139.10</w:t>
            </w:r>
            <w:r w:rsidRPr="00BB0618">
              <w:rPr>
                <w:rFonts w:ascii="Arial" w:eastAsia="Calibri" w:hAnsi="Arial" w:cs="Arial"/>
                <w:b/>
                <w:sz w:val="18"/>
                <w:szCs w:val="18"/>
                <w:lang w:val="es-ES"/>
              </w:rPr>
              <w:t>±16.37***</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139.30</w:t>
            </w:r>
            <w:r w:rsidRPr="00BB0618">
              <w:rPr>
                <w:rFonts w:ascii="Arial" w:eastAsia="Calibri" w:hAnsi="Arial" w:cs="Arial"/>
                <w:b/>
                <w:sz w:val="18"/>
                <w:szCs w:val="18"/>
                <w:lang w:val="es-ES"/>
              </w:rPr>
              <w:t>±14.97***</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sz w:val="18"/>
                <w:szCs w:val="18"/>
              </w:rPr>
            </w:pPr>
            <w:r w:rsidRPr="00BB0618">
              <w:rPr>
                <w:rFonts w:ascii="Arial" w:eastAsia="Calibri" w:hAnsi="Arial" w:cs="Arial"/>
                <w:sz w:val="18"/>
                <w:szCs w:val="18"/>
              </w:rPr>
              <w:t>41.45</w:t>
            </w:r>
            <w:r w:rsidRPr="00BB0618">
              <w:rPr>
                <w:rFonts w:ascii="Arial" w:eastAsia="Calibri" w:hAnsi="Arial" w:cs="Arial"/>
                <w:sz w:val="18"/>
                <w:szCs w:val="18"/>
                <w:lang w:val="es-ES"/>
              </w:rPr>
              <w:t>±4.48</w:t>
            </w:r>
          </w:p>
        </w:tc>
        <w:tc>
          <w:tcPr>
            <w:tcW w:w="1959" w:type="dxa"/>
            <w:gridSpan w:val="2"/>
            <w:tcBorders>
              <w:top w:val="single" w:sz="12" w:space="0" w:color="FFFFFF"/>
              <w:left w:val="single" w:sz="12" w:space="0" w:color="FFFFFF"/>
              <w:bottom w:val="single" w:sz="12" w:space="0" w:color="FFFFFF"/>
              <w:right w:val="single" w:sz="12" w:space="0" w:color="FFFFFF"/>
            </w:tcBorders>
            <w:vAlign w:val="center"/>
          </w:tcPr>
          <w:p w:rsidR="00082DDA" w:rsidRPr="00BB0618" w:rsidRDefault="00082DDA" w:rsidP="00776358">
            <w:pPr>
              <w:jc w:val="center"/>
              <w:rPr>
                <w:rFonts w:ascii="Arial" w:eastAsia="Calibri" w:hAnsi="Arial" w:cs="Arial"/>
                <w:b/>
                <w:sz w:val="18"/>
                <w:szCs w:val="18"/>
              </w:rPr>
            </w:pPr>
            <w:r w:rsidRPr="00BB0618">
              <w:rPr>
                <w:rFonts w:ascii="Arial" w:eastAsia="Calibri" w:hAnsi="Arial" w:cs="Arial"/>
                <w:b/>
                <w:sz w:val="18"/>
                <w:szCs w:val="18"/>
              </w:rPr>
              <w:t>3.86</w:t>
            </w:r>
            <w:r w:rsidRPr="00BB0618">
              <w:rPr>
                <w:rFonts w:ascii="Arial" w:eastAsia="Calibri" w:hAnsi="Arial" w:cs="Arial"/>
                <w:sz w:val="18"/>
                <w:szCs w:val="18"/>
                <w:lang w:val="es-ES"/>
              </w:rPr>
              <w:t>±</w:t>
            </w:r>
            <w:r w:rsidRPr="00BB0618">
              <w:rPr>
                <w:rFonts w:ascii="Arial" w:eastAsia="Calibri" w:hAnsi="Arial" w:cs="Arial"/>
                <w:b/>
                <w:sz w:val="18"/>
                <w:szCs w:val="18"/>
                <w:lang w:val="es-ES"/>
              </w:rPr>
              <w:t>0.08**</w:t>
            </w:r>
          </w:p>
        </w:tc>
      </w:tr>
      <w:tr w:rsidR="00082DDA" w:rsidTr="00776358">
        <w:trPr>
          <w:gridAfter w:val="1"/>
          <w:wAfter w:w="36" w:type="dxa"/>
          <w:trHeight w:val="392"/>
        </w:trPr>
        <w:tc>
          <w:tcPr>
            <w:tcW w:w="1895" w:type="dxa"/>
            <w:vMerge/>
            <w:tcBorders>
              <w:left w:val="single" w:sz="12" w:space="0" w:color="FFFFFF"/>
              <w:bottom w:val="single" w:sz="12" w:space="0" w:color="000000"/>
              <w:right w:val="single" w:sz="12" w:space="0" w:color="FFFFFF"/>
            </w:tcBorders>
          </w:tcPr>
          <w:p w:rsidR="00082DDA" w:rsidRPr="00BB0618" w:rsidRDefault="00082DDA" w:rsidP="00776358">
            <w:pPr>
              <w:rPr>
                <w:rFonts w:ascii="Arial" w:eastAsia="Calibri" w:hAnsi="Arial" w:cs="Arial"/>
                <w:sz w:val="20"/>
              </w:rPr>
            </w:pPr>
          </w:p>
        </w:tc>
        <w:tc>
          <w:tcPr>
            <w:tcW w:w="1959"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20"/>
                <w:lang w:val="es-ES"/>
              </w:rPr>
            </w:pPr>
            <w:r w:rsidRPr="00BB0618">
              <w:rPr>
                <w:rFonts w:ascii="Arial" w:eastAsia="Calibri" w:hAnsi="Arial" w:cs="Arial"/>
                <w:b/>
                <w:sz w:val="20"/>
                <w:lang w:val="es-ES"/>
              </w:rPr>
              <w:t>D5-MASLD</w:t>
            </w:r>
          </w:p>
        </w:tc>
        <w:tc>
          <w:tcPr>
            <w:tcW w:w="1959"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szCs w:val="18"/>
                <w:lang w:val="es-ES"/>
              </w:rPr>
            </w:pPr>
            <w:r w:rsidRPr="00BB0618">
              <w:rPr>
                <w:rFonts w:ascii="Arial" w:eastAsia="Calibri" w:hAnsi="Arial" w:cs="Arial"/>
                <w:b/>
                <w:sz w:val="18"/>
                <w:szCs w:val="18"/>
                <w:lang w:val="es-ES"/>
              </w:rPr>
              <w:t>308.40</w:t>
            </w:r>
            <w:r w:rsidRPr="00BB0618">
              <w:rPr>
                <w:rFonts w:ascii="Arial" w:eastAsia="Calibri" w:hAnsi="Arial" w:cs="Arial"/>
                <w:sz w:val="18"/>
                <w:szCs w:val="18"/>
                <w:lang w:val="es-ES"/>
              </w:rPr>
              <w:t>±</w:t>
            </w:r>
            <w:r w:rsidRPr="00BB0618">
              <w:rPr>
                <w:rFonts w:ascii="Arial" w:eastAsia="Calibri" w:hAnsi="Arial" w:cs="Arial"/>
                <w:b/>
                <w:sz w:val="18"/>
                <w:szCs w:val="18"/>
                <w:lang w:val="es-ES"/>
              </w:rPr>
              <w:t>28.68**</w:t>
            </w:r>
          </w:p>
        </w:tc>
        <w:tc>
          <w:tcPr>
            <w:tcW w:w="1959"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sz w:val="18"/>
                <w:szCs w:val="18"/>
                <w:lang w:val="es-ES"/>
              </w:rPr>
            </w:pPr>
            <w:r w:rsidRPr="00BB0618">
              <w:rPr>
                <w:rFonts w:ascii="Arial" w:eastAsia="Calibri" w:hAnsi="Arial" w:cs="Arial"/>
                <w:sz w:val="18"/>
                <w:szCs w:val="18"/>
                <w:lang w:val="es-ES"/>
              </w:rPr>
              <w:t>213.00±31.40</w:t>
            </w:r>
          </w:p>
        </w:tc>
        <w:tc>
          <w:tcPr>
            <w:tcW w:w="1959"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szCs w:val="18"/>
                <w:lang w:val="es-ES"/>
              </w:rPr>
            </w:pPr>
            <w:r w:rsidRPr="00BB0618">
              <w:rPr>
                <w:rFonts w:ascii="Arial" w:eastAsia="Calibri" w:hAnsi="Arial" w:cs="Arial"/>
                <w:b/>
                <w:sz w:val="18"/>
                <w:szCs w:val="18"/>
                <w:lang w:val="es-ES"/>
              </w:rPr>
              <w:t>95.60±17.01*</w:t>
            </w:r>
          </w:p>
        </w:tc>
        <w:tc>
          <w:tcPr>
            <w:tcW w:w="1959"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szCs w:val="18"/>
                <w:lang w:val="es-ES"/>
              </w:rPr>
            </w:pPr>
            <w:r w:rsidRPr="00BB0618">
              <w:rPr>
                <w:rFonts w:ascii="Arial" w:eastAsia="Calibri" w:hAnsi="Arial" w:cs="Arial"/>
                <w:b/>
                <w:sz w:val="18"/>
                <w:szCs w:val="18"/>
                <w:lang w:val="es-ES"/>
              </w:rPr>
              <w:t>116.40±10.02***</w:t>
            </w:r>
          </w:p>
        </w:tc>
        <w:tc>
          <w:tcPr>
            <w:tcW w:w="1959"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sz w:val="18"/>
                <w:szCs w:val="18"/>
                <w:lang w:val="es-ES"/>
              </w:rPr>
            </w:pPr>
            <w:r w:rsidRPr="00BB0618">
              <w:rPr>
                <w:rFonts w:ascii="Arial" w:eastAsia="Calibri" w:hAnsi="Arial" w:cs="Arial"/>
                <w:sz w:val="18"/>
                <w:szCs w:val="18"/>
                <w:lang w:val="es-ES"/>
              </w:rPr>
              <w:t>29.80±4.12</w:t>
            </w:r>
          </w:p>
        </w:tc>
        <w:tc>
          <w:tcPr>
            <w:tcW w:w="1959" w:type="dxa"/>
            <w:gridSpan w:val="2"/>
            <w:tcBorders>
              <w:top w:val="single" w:sz="12" w:space="0" w:color="FFFFFF"/>
              <w:left w:val="single" w:sz="12" w:space="0" w:color="FFFFFF"/>
              <w:bottom w:val="single" w:sz="12" w:space="0" w:color="auto"/>
              <w:right w:val="single" w:sz="12" w:space="0" w:color="FFFFFF"/>
            </w:tcBorders>
            <w:vAlign w:val="center"/>
          </w:tcPr>
          <w:p w:rsidR="00082DDA" w:rsidRPr="00BB0618" w:rsidRDefault="00082DDA" w:rsidP="00776358">
            <w:pPr>
              <w:jc w:val="center"/>
              <w:rPr>
                <w:rFonts w:ascii="Arial" w:eastAsia="Calibri" w:hAnsi="Arial" w:cs="Arial"/>
                <w:b/>
                <w:sz w:val="18"/>
                <w:szCs w:val="18"/>
                <w:lang w:val="es-ES"/>
              </w:rPr>
            </w:pPr>
            <w:r w:rsidRPr="00BB0618">
              <w:rPr>
                <w:rFonts w:ascii="Arial" w:eastAsia="Calibri" w:hAnsi="Arial" w:cs="Arial"/>
                <w:b/>
                <w:sz w:val="18"/>
                <w:szCs w:val="18"/>
                <w:lang w:val="es-ES"/>
              </w:rPr>
              <w:t>3.83</w:t>
            </w:r>
            <w:r w:rsidRPr="00BB0618">
              <w:rPr>
                <w:rFonts w:ascii="Arial" w:eastAsia="Calibri" w:hAnsi="Arial" w:cs="Arial"/>
                <w:sz w:val="18"/>
                <w:szCs w:val="18"/>
                <w:lang w:val="es-ES"/>
              </w:rPr>
              <w:t>±</w:t>
            </w:r>
            <w:r w:rsidRPr="00BB0618">
              <w:rPr>
                <w:rFonts w:ascii="Arial" w:eastAsia="Calibri" w:hAnsi="Arial" w:cs="Arial"/>
                <w:b/>
                <w:sz w:val="18"/>
                <w:szCs w:val="18"/>
                <w:lang w:val="es-ES"/>
              </w:rPr>
              <w:t>0.11**</w:t>
            </w:r>
          </w:p>
        </w:tc>
      </w:tr>
    </w:tbl>
    <w:p w:rsidR="00082DDA" w:rsidRPr="00EF1462" w:rsidRDefault="00082DDA" w:rsidP="00082DDA">
      <w:pPr>
        <w:spacing w:line="276" w:lineRule="auto"/>
        <w:jc w:val="both"/>
        <w:rPr>
          <w:rFonts w:cstheme="minorHAnsi"/>
          <w:szCs w:val="20"/>
          <w:lang w:val="en-US"/>
        </w:rPr>
      </w:pPr>
    </w:p>
    <w:p w:rsidR="00082DDA" w:rsidRPr="00EF1462" w:rsidRDefault="00082DDA" w:rsidP="00082DDA">
      <w:pPr>
        <w:rPr>
          <w:rFonts w:cstheme="minorHAnsi"/>
          <w:szCs w:val="20"/>
          <w:lang w:val="en-US"/>
        </w:rPr>
      </w:pPr>
      <w:r w:rsidRPr="00EF1462">
        <w:rPr>
          <w:rFonts w:cstheme="minorHAnsi"/>
          <w:szCs w:val="20"/>
          <w:lang w:val="en-US"/>
        </w:rPr>
        <w:br w:type="page"/>
      </w:r>
    </w:p>
    <w:p w:rsidR="00082DDA" w:rsidRPr="00812BF6" w:rsidRDefault="00082DDA" w:rsidP="00082DDA">
      <w:pPr>
        <w:spacing w:line="276" w:lineRule="auto"/>
        <w:jc w:val="both"/>
        <w:rPr>
          <w:rFonts w:cstheme="minorHAnsi"/>
          <w:b/>
          <w:bCs/>
          <w:szCs w:val="20"/>
          <w:lang w:val="en-US"/>
        </w:rPr>
      </w:pPr>
      <w:r w:rsidRPr="00812BF6">
        <w:rPr>
          <w:rFonts w:cstheme="minorHAnsi"/>
          <w:b/>
          <w:bCs/>
          <w:szCs w:val="20"/>
          <w:lang w:val="en-US"/>
        </w:rPr>
        <w:lastRenderedPageBreak/>
        <w:t>ST3. Fibrosis stage according to the NASH-Clinical Research Network (CRN) system at the end of the model for Studies 2 and 3.</w:t>
      </w:r>
    </w:p>
    <w:p w:rsidR="00082DDA" w:rsidRPr="00EF1462" w:rsidRDefault="00082DDA" w:rsidP="00082DDA">
      <w:pPr>
        <w:spacing w:line="276" w:lineRule="auto"/>
        <w:jc w:val="both"/>
        <w:rPr>
          <w:rFonts w:cstheme="minorHAnsi"/>
          <w:szCs w:val="20"/>
          <w:lang w:val="en-US"/>
        </w:rPr>
      </w:pPr>
    </w:p>
    <w:p w:rsidR="00082DDA" w:rsidRDefault="00082DDA" w:rsidP="00082DDA">
      <w:pPr>
        <w:spacing w:line="276" w:lineRule="auto"/>
        <w:jc w:val="both"/>
        <w:rPr>
          <w:rFonts w:cstheme="minorHAnsi"/>
          <w:szCs w:val="20"/>
          <w:lang w:val="en-US"/>
        </w:rPr>
      </w:pPr>
    </w:p>
    <w:tbl>
      <w:tblPr>
        <w:tblW w:w="13984" w:type="dxa"/>
        <w:tblLayout w:type="fixed"/>
        <w:tblCellMar>
          <w:left w:w="10" w:type="dxa"/>
          <w:right w:w="10" w:type="dxa"/>
        </w:tblCellMar>
        <w:tblLook w:val="0000" w:firstRow="0" w:lastRow="0" w:firstColumn="0" w:lastColumn="0" w:noHBand="0" w:noVBand="0"/>
      </w:tblPr>
      <w:tblGrid>
        <w:gridCol w:w="1695"/>
        <w:gridCol w:w="2329"/>
        <w:gridCol w:w="1437"/>
        <w:gridCol w:w="215"/>
        <w:gridCol w:w="8"/>
        <w:gridCol w:w="1462"/>
        <w:gridCol w:w="185"/>
        <w:gridCol w:w="13"/>
        <w:gridCol w:w="1491"/>
        <w:gridCol w:w="151"/>
        <w:gridCol w:w="18"/>
        <w:gridCol w:w="1590"/>
        <w:gridCol w:w="70"/>
        <w:gridCol w:w="15"/>
        <w:gridCol w:w="1600"/>
        <w:gridCol w:w="45"/>
        <w:gridCol w:w="8"/>
        <w:gridCol w:w="1652"/>
      </w:tblGrid>
      <w:tr w:rsidR="00082DDA" w:rsidTr="00776358">
        <w:trPr>
          <w:trHeight w:val="397"/>
        </w:trPr>
        <w:tc>
          <w:tcPr>
            <w:tcW w:w="1695" w:type="dxa"/>
            <w:tcBorders>
              <w:top w:val="single" w:sz="12" w:space="0" w:color="FFFFFF"/>
              <w:left w:val="single" w:sz="4" w:space="0" w:color="FFFFFF"/>
              <w:bottom w:val="single" w:sz="12" w:space="0" w:color="000000"/>
              <w:right w:val="single" w:sz="2" w:space="0" w:color="FFFFFF"/>
            </w:tcBorders>
            <w:shd w:val="clear" w:color="auto" w:fill="auto"/>
            <w:tcMar>
              <w:top w:w="0" w:type="dxa"/>
              <w:left w:w="108" w:type="dxa"/>
              <w:bottom w:w="0" w:type="dxa"/>
              <w:right w:w="108" w:type="dxa"/>
            </w:tcMar>
          </w:tcPr>
          <w:p w:rsidR="00082DDA" w:rsidRPr="00BB0618" w:rsidRDefault="00082DDA" w:rsidP="00776358">
            <w:pPr>
              <w:suppressAutoHyphens/>
              <w:autoSpaceDN w:val="0"/>
              <w:spacing w:after="0" w:line="240" w:lineRule="auto"/>
              <w:rPr>
                <w:rFonts w:ascii="Arial" w:eastAsia="Aptos" w:hAnsi="Arial" w:cs="Arial"/>
                <w:sz w:val="20"/>
              </w:rPr>
            </w:pPr>
          </w:p>
        </w:tc>
        <w:tc>
          <w:tcPr>
            <w:tcW w:w="12289" w:type="dxa"/>
            <w:gridSpan w:val="17"/>
            <w:tcBorders>
              <w:top w:val="single" w:sz="2" w:space="0" w:color="000000"/>
              <w:left w:val="single" w:sz="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ptos" w:eastAsia="Aptos" w:hAnsi="Aptos" w:cs="Times New Roman"/>
                <w:lang w:val="es-ES"/>
              </w:rPr>
            </w:pPr>
            <w:r w:rsidRPr="00BB0618">
              <w:rPr>
                <w:rFonts w:ascii="Arial" w:eastAsia="Aptos" w:hAnsi="Arial" w:cs="Arial"/>
                <w:b/>
              </w:rPr>
              <w:t xml:space="preserve"> Fibrosis Stage</w:t>
            </w:r>
            <w:r w:rsidRPr="00BB0618">
              <w:rPr>
                <w:rFonts w:ascii="Arial" w:eastAsia="Aptos" w:hAnsi="Arial" w:cs="Arial"/>
                <w:b/>
                <w:sz w:val="20"/>
              </w:rPr>
              <w:t xml:space="preserve"> </w:t>
            </w:r>
          </w:p>
        </w:tc>
      </w:tr>
      <w:tr w:rsidR="00082DDA" w:rsidTr="00776358">
        <w:trPr>
          <w:trHeight w:val="397"/>
        </w:trPr>
        <w:tc>
          <w:tcPr>
            <w:tcW w:w="1695" w:type="dxa"/>
            <w:tcBorders>
              <w:top w:val="single" w:sz="12" w:space="0" w:color="000000"/>
              <w:left w:val="single" w:sz="4" w:space="0" w:color="FFFFFF"/>
              <w:bottom w:val="single" w:sz="12" w:space="0" w:color="FFFFFF"/>
              <w:right w:val="single" w:sz="4" w:space="0" w:color="FFFFFF"/>
            </w:tcBorders>
            <w:shd w:val="clear" w:color="auto" w:fill="auto"/>
            <w:tcMar>
              <w:top w:w="0" w:type="dxa"/>
              <w:left w:w="108" w:type="dxa"/>
              <w:bottom w:w="0" w:type="dxa"/>
              <w:right w:w="108" w:type="dxa"/>
            </w:tcMar>
          </w:tcPr>
          <w:p w:rsidR="00082DDA" w:rsidRPr="00BB0618" w:rsidRDefault="00082DDA" w:rsidP="00776358">
            <w:pPr>
              <w:suppressAutoHyphens/>
              <w:autoSpaceDN w:val="0"/>
              <w:spacing w:after="0" w:line="240" w:lineRule="auto"/>
              <w:rPr>
                <w:rFonts w:ascii="Arial" w:eastAsia="Aptos" w:hAnsi="Arial" w:cs="Arial"/>
                <w:sz w:val="20"/>
                <w:lang w:val="es-ES"/>
              </w:rPr>
            </w:pPr>
          </w:p>
        </w:tc>
        <w:tc>
          <w:tcPr>
            <w:tcW w:w="12289" w:type="dxa"/>
            <w:gridSpan w:val="17"/>
            <w:tcBorders>
              <w:top w:val="single" w:sz="2" w:space="0" w:color="000000"/>
              <w:left w:val="single" w:sz="4" w:space="0" w:color="FFFFFF"/>
              <w:bottom w:val="single" w:sz="6"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p>
        </w:tc>
      </w:tr>
      <w:tr w:rsidR="00082DDA" w:rsidTr="00776358">
        <w:trPr>
          <w:trHeight w:val="397"/>
        </w:trPr>
        <w:tc>
          <w:tcPr>
            <w:tcW w:w="1695" w:type="dxa"/>
            <w:tcBorders>
              <w:top w:val="single" w:sz="12" w:space="0" w:color="FFFFFF"/>
              <w:left w:val="single" w:sz="4" w:space="0" w:color="FFFFFF"/>
              <w:bottom w:val="single" w:sz="12" w:space="0" w:color="000000"/>
              <w:right w:val="single" w:sz="4" w:space="0" w:color="FFFFFF"/>
            </w:tcBorders>
            <w:shd w:val="clear" w:color="auto" w:fill="auto"/>
            <w:tcMar>
              <w:top w:w="0" w:type="dxa"/>
              <w:left w:w="108" w:type="dxa"/>
              <w:bottom w:w="0" w:type="dxa"/>
              <w:right w:w="108" w:type="dxa"/>
            </w:tcMar>
          </w:tcPr>
          <w:p w:rsidR="00082DDA" w:rsidRPr="00BB0618" w:rsidRDefault="00082DDA" w:rsidP="00776358">
            <w:pPr>
              <w:suppressAutoHyphens/>
              <w:autoSpaceDN w:val="0"/>
              <w:spacing w:after="0" w:line="240" w:lineRule="auto"/>
              <w:rPr>
                <w:rFonts w:ascii="Arial" w:eastAsia="Aptos" w:hAnsi="Arial" w:cs="Arial"/>
                <w:sz w:val="20"/>
                <w:lang w:val="es-ES"/>
              </w:rPr>
            </w:pPr>
          </w:p>
        </w:tc>
        <w:tc>
          <w:tcPr>
            <w:tcW w:w="2329" w:type="dxa"/>
            <w:tcBorders>
              <w:top w:val="single" w:sz="6" w:space="0" w:color="000000"/>
              <w:left w:val="single" w:sz="4"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proofErr w:type="spellStart"/>
            <w:r w:rsidRPr="00BB0618">
              <w:rPr>
                <w:rFonts w:ascii="Arial" w:eastAsia="Aptos" w:hAnsi="Arial" w:cs="Arial"/>
                <w:b/>
                <w:sz w:val="20"/>
                <w:lang w:val="es-ES"/>
              </w:rPr>
              <w:t>Group</w:t>
            </w:r>
            <w:proofErr w:type="spellEnd"/>
          </w:p>
        </w:tc>
        <w:tc>
          <w:tcPr>
            <w:tcW w:w="1660" w:type="dxa"/>
            <w:gridSpan w:val="3"/>
            <w:tcBorders>
              <w:top w:val="single" w:sz="6"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0</w:t>
            </w:r>
          </w:p>
        </w:tc>
        <w:tc>
          <w:tcPr>
            <w:tcW w:w="1660" w:type="dxa"/>
            <w:gridSpan w:val="3"/>
            <w:tcBorders>
              <w:top w:val="single" w:sz="6"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1a</w:t>
            </w:r>
          </w:p>
        </w:tc>
        <w:tc>
          <w:tcPr>
            <w:tcW w:w="1660" w:type="dxa"/>
            <w:gridSpan w:val="3"/>
            <w:tcBorders>
              <w:top w:val="single" w:sz="6"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1b</w:t>
            </w:r>
          </w:p>
        </w:tc>
        <w:tc>
          <w:tcPr>
            <w:tcW w:w="1660" w:type="dxa"/>
            <w:gridSpan w:val="2"/>
            <w:tcBorders>
              <w:top w:val="single" w:sz="6"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2</w:t>
            </w:r>
          </w:p>
        </w:tc>
        <w:tc>
          <w:tcPr>
            <w:tcW w:w="1660" w:type="dxa"/>
            <w:gridSpan w:val="3"/>
            <w:tcBorders>
              <w:top w:val="single" w:sz="6"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3</w:t>
            </w:r>
          </w:p>
        </w:tc>
        <w:tc>
          <w:tcPr>
            <w:tcW w:w="1660" w:type="dxa"/>
            <w:gridSpan w:val="2"/>
            <w:tcBorders>
              <w:top w:val="single" w:sz="6"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4</w:t>
            </w:r>
          </w:p>
        </w:tc>
      </w:tr>
      <w:tr w:rsidR="00082DDA" w:rsidTr="00776358">
        <w:trPr>
          <w:trHeight w:val="397"/>
        </w:trPr>
        <w:tc>
          <w:tcPr>
            <w:tcW w:w="1695" w:type="dxa"/>
            <w:vMerge w:val="restart"/>
            <w:tcBorders>
              <w:top w:val="single" w:sz="12"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STUDY-2</w:t>
            </w:r>
          </w:p>
        </w:tc>
        <w:tc>
          <w:tcPr>
            <w:tcW w:w="2329" w:type="dxa"/>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CD</w:t>
            </w:r>
          </w:p>
        </w:tc>
        <w:tc>
          <w:tcPr>
            <w:tcW w:w="1660" w:type="dxa"/>
            <w:gridSpan w:val="3"/>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lang w:val="es-ES"/>
              </w:rPr>
            </w:pPr>
            <w:r w:rsidRPr="00BB0618">
              <w:rPr>
                <w:rFonts w:ascii="Arial" w:eastAsia="Aptos" w:hAnsi="Arial" w:cs="Arial"/>
                <w:b/>
                <w:sz w:val="18"/>
                <w:lang w:val="es-ES"/>
              </w:rPr>
              <w:t>5</w:t>
            </w:r>
          </w:p>
        </w:tc>
        <w:tc>
          <w:tcPr>
            <w:tcW w:w="1660" w:type="dxa"/>
            <w:gridSpan w:val="3"/>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lang w:val="es-ES"/>
              </w:rPr>
            </w:pPr>
            <w:r w:rsidRPr="00BB0618">
              <w:rPr>
                <w:rFonts w:ascii="Arial" w:eastAsia="Aptos" w:hAnsi="Arial" w:cs="Arial"/>
                <w:sz w:val="18"/>
                <w:lang w:val="es-ES"/>
              </w:rPr>
              <w:t>0</w:t>
            </w:r>
          </w:p>
        </w:tc>
        <w:tc>
          <w:tcPr>
            <w:tcW w:w="1660" w:type="dxa"/>
            <w:gridSpan w:val="3"/>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lang w:val="es-ES"/>
              </w:rPr>
            </w:pPr>
            <w:r w:rsidRPr="00BB0618">
              <w:rPr>
                <w:rFonts w:ascii="Arial" w:eastAsia="Aptos" w:hAnsi="Arial" w:cs="Arial"/>
                <w:sz w:val="18"/>
                <w:lang w:val="es-ES"/>
              </w:rPr>
              <w:t>0</w:t>
            </w:r>
          </w:p>
        </w:tc>
        <w:tc>
          <w:tcPr>
            <w:tcW w:w="1660" w:type="dxa"/>
            <w:gridSpan w:val="2"/>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lang w:val="es-ES"/>
              </w:rPr>
            </w:pPr>
            <w:r w:rsidRPr="00BB0618">
              <w:rPr>
                <w:rFonts w:ascii="Arial" w:eastAsia="Aptos" w:hAnsi="Arial" w:cs="Arial"/>
                <w:sz w:val="18"/>
                <w:lang w:val="es-ES"/>
              </w:rPr>
              <w:t>0</w:t>
            </w:r>
          </w:p>
        </w:tc>
        <w:tc>
          <w:tcPr>
            <w:tcW w:w="1660" w:type="dxa"/>
            <w:gridSpan w:val="3"/>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lang w:val="es-ES"/>
              </w:rPr>
            </w:pPr>
            <w:r w:rsidRPr="00BB0618">
              <w:rPr>
                <w:rFonts w:ascii="Arial" w:eastAsia="Aptos" w:hAnsi="Arial" w:cs="Arial"/>
                <w:sz w:val="18"/>
                <w:lang w:val="es-ES"/>
              </w:rPr>
              <w:t>0</w:t>
            </w:r>
          </w:p>
        </w:tc>
        <w:tc>
          <w:tcPr>
            <w:tcW w:w="1660" w:type="dxa"/>
            <w:gridSpan w:val="2"/>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lang w:val="es-ES"/>
              </w:rPr>
            </w:pPr>
            <w:r w:rsidRPr="00BB0618">
              <w:rPr>
                <w:rFonts w:ascii="Arial" w:eastAsia="Aptos" w:hAnsi="Arial" w:cs="Arial"/>
                <w:sz w:val="18"/>
                <w:lang w:val="es-ES"/>
              </w:rPr>
              <w:t>0</w:t>
            </w:r>
          </w:p>
        </w:tc>
      </w:tr>
      <w:tr w:rsidR="00082DDA" w:rsidTr="00776358">
        <w:trPr>
          <w:trHeight w:val="397"/>
        </w:trPr>
        <w:tc>
          <w:tcPr>
            <w:tcW w:w="1695" w:type="dxa"/>
            <w:vMerge/>
            <w:tcBorders>
              <w:top w:val="single" w:sz="12"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rPr>
                <w:rFonts w:ascii="Arial" w:eastAsia="Aptos" w:hAnsi="Arial" w:cs="Arial"/>
                <w:sz w:val="20"/>
                <w:lang w:val="es-ES"/>
              </w:rPr>
            </w:pPr>
          </w:p>
        </w:tc>
        <w:tc>
          <w:tcPr>
            <w:tcW w:w="2329" w:type="dxa"/>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D2-MASLD</w:t>
            </w:r>
          </w:p>
        </w:tc>
        <w:tc>
          <w:tcPr>
            <w:tcW w:w="1660"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lang w:val="es-ES"/>
              </w:rPr>
            </w:pPr>
            <w:r w:rsidRPr="00BB0618">
              <w:rPr>
                <w:rFonts w:ascii="Arial" w:eastAsia="Aptos" w:hAnsi="Arial" w:cs="Arial"/>
                <w:sz w:val="18"/>
                <w:lang w:val="es-ES"/>
              </w:rPr>
              <w:t>0</w:t>
            </w:r>
          </w:p>
        </w:tc>
        <w:tc>
          <w:tcPr>
            <w:tcW w:w="1660"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lang w:val="es-ES"/>
              </w:rPr>
            </w:pPr>
            <w:r w:rsidRPr="00BB0618">
              <w:rPr>
                <w:rFonts w:ascii="Arial" w:eastAsia="Aptos" w:hAnsi="Arial" w:cs="Arial"/>
                <w:b/>
                <w:sz w:val="18"/>
                <w:lang w:val="es-ES"/>
              </w:rPr>
              <w:t>2</w:t>
            </w:r>
          </w:p>
        </w:tc>
        <w:tc>
          <w:tcPr>
            <w:tcW w:w="1660"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lang w:val="es-ES"/>
              </w:rPr>
            </w:pPr>
            <w:r w:rsidRPr="00BB0618">
              <w:rPr>
                <w:rFonts w:ascii="Arial" w:eastAsia="Aptos" w:hAnsi="Arial" w:cs="Arial"/>
                <w:sz w:val="18"/>
                <w:lang w:val="es-ES"/>
              </w:rPr>
              <w:t>0</w:t>
            </w:r>
          </w:p>
        </w:tc>
        <w:tc>
          <w:tcPr>
            <w:tcW w:w="1660" w:type="dxa"/>
            <w:gridSpan w:val="2"/>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lang w:val="es-ES"/>
              </w:rPr>
            </w:pPr>
            <w:r w:rsidRPr="00BB0618">
              <w:rPr>
                <w:rFonts w:ascii="Arial" w:eastAsia="Aptos" w:hAnsi="Arial" w:cs="Arial"/>
                <w:b/>
                <w:sz w:val="18"/>
                <w:lang w:val="es-ES"/>
              </w:rPr>
              <w:t>3</w:t>
            </w:r>
          </w:p>
        </w:tc>
        <w:tc>
          <w:tcPr>
            <w:tcW w:w="1660"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lang w:val="es-ES"/>
              </w:rPr>
            </w:pPr>
            <w:r w:rsidRPr="00BB0618">
              <w:rPr>
                <w:rFonts w:ascii="Arial" w:eastAsia="Aptos" w:hAnsi="Arial" w:cs="Arial"/>
                <w:b/>
                <w:sz w:val="18"/>
                <w:lang w:val="es-ES"/>
              </w:rPr>
              <w:t>3</w:t>
            </w:r>
          </w:p>
        </w:tc>
        <w:tc>
          <w:tcPr>
            <w:tcW w:w="1660" w:type="dxa"/>
            <w:gridSpan w:val="2"/>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lang w:val="es-ES"/>
              </w:rPr>
            </w:pPr>
            <w:r w:rsidRPr="00BB0618">
              <w:rPr>
                <w:rFonts w:ascii="Arial" w:eastAsia="Aptos" w:hAnsi="Arial" w:cs="Arial"/>
                <w:b/>
                <w:sz w:val="18"/>
                <w:lang w:val="es-ES"/>
              </w:rPr>
              <w:t>1</w:t>
            </w:r>
          </w:p>
        </w:tc>
      </w:tr>
      <w:tr w:rsidR="00082DDA" w:rsidTr="00776358">
        <w:trPr>
          <w:trHeight w:val="397"/>
        </w:trPr>
        <w:tc>
          <w:tcPr>
            <w:tcW w:w="1695" w:type="dxa"/>
            <w:tcBorders>
              <w:top w:val="single" w:sz="12" w:space="0" w:color="000000"/>
              <w:left w:val="single" w:sz="4" w:space="0" w:color="FFFFFF"/>
              <w:bottom w:val="single" w:sz="12" w:space="0" w:color="FFFFFF"/>
              <w:right w:val="single" w:sz="4" w:space="0" w:color="FFFFFF"/>
            </w:tcBorders>
            <w:shd w:val="clear" w:color="auto" w:fill="auto"/>
            <w:tcMar>
              <w:top w:w="0" w:type="dxa"/>
              <w:left w:w="108" w:type="dxa"/>
              <w:bottom w:w="0" w:type="dxa"/>
              <w:right w:w="108" w:type="dxa"/>
            </w:tcMar>
          </w:tcPr>
          <w:p w:rsidR="00082DDA" w:rsidRPr="00BB0618" w:rsidRDefault="00082DDA" w:rsidP="00776358">
            <w:pPr>
              <w:suppressAutoHyphens/>
              <w:autoSpaceDN w:val="0"/>
              <w:spacing w:after="0" w:line="240" w:lineRule="auto"/>
              <w:rPr>
                <w:rFonts w:ascii="Arial" w:eastAsia="Aptos" w:hAnsi="Arial" w:cs="Arial"/>
                <w:sz w:val="20"/>
              </w:rPr>
            </w:pPr>
          </w:p>
        </w:tc>
        <w:tc>
          <w:tcPr>
            <w:tcW w:w="2329" w:type="dxa"/>
            <w:tcBorders>
              <w:top w:val="single" w:sz="12" w:space="0" w:color="000000"/>
              <w:left w:val="single" w:sz="4" w:space="0" w:color="FFFFFF"/>
              <w:bottom w:val="single" w:sz="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p>
        </w:tc>
        <w:tc>
          <w:tcPr>
            <w:tcW w:w="1437" w:type="dxa"/>
            <w:tcBorders>
              <w:top w:val="single" w:sz="12" w:space="0" w:color="000000"/>
              <w:left w:val="single" w:sz="12" w:space="0" w:color="FFFFFF"/>
              <w:bottom w:val="single" w:sz="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20"/>
              </w:rPr>
            </w:pPr>
          </w:p>
        </w:tc>
        <w:tc>
          <w:tcPr>
            <w:tcW w:w="1685" w:type="dxa"/>
            <w:gridSpan w:val="3"/>
            <w:tcBorders>
              <w:top w:val="single" w:sz="12" w:space="0" w:color="000000"/>
              <w:left w:val="single" w:sz="12" w:space="0" w:color="FFFFFF"/>
              <w:bottom w:val="single" w:sz="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20"/>
              </w:rPr>
            </w:pPr>
          </w:p>
        </w:tc>
        <w:tc>
          <w:tcPr>
            <w:tcW w:w="1689" w:type="dxa"/>
            <w:gridSpan w:val="3"/>
            <w:tcBorders>
              <w:top w:val="single" w:sz="12" w:space="0" w:color="000000"/>
              <w:left w:val="single" w:sz="12" w:space="0" w:color="FFFFFF"/>
              <w:bottom w:val="single" w:sz="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20"/>
              </w:rPr>
            </w:pPr>
          </w:p>
        </w:tc>
        <w:tc>
          <w:tcPr>
            <w:tcW w:w="1759" w:type="dxa"/>
            <w:gridSpan w:val="3"/>
            <w:tcBorders>
              <w:top w:val="single" w:sz="12" w:space="0" w:color="000000"/>
              <w:left w:val="single" w:sz="12" w:space="0" w:color="FFFFFF"/>
              <w:bottom w:val="single" w:sz="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20"/>
              </w:rPr>
            </w:pPr>
          </w:p>
        </w:tc>
        <w:tc>
          <w:tcPr>
            <w:tcW w:w="1685" w:type="dxa"/>
            <w:gridSpan w:val="3"/>
            <w:tcBorders>
              <w:top w:val="single" w:sz="12" w:space="0" w:color="000000"/>
              <w:left w:val="single" w:sz="12" w:space="0" w:color="FFFFFF"/>
              <w:bottom w:val="single" w:sz="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20"/>
              </w:rPr>
            </w:pPr>
          </w:p>
        </w:tc>
        <w:tc>
          <w:tcPr>
            <w:tcW w:w="1705" w:type="dxa"/>
            <w:gridSpan w:val="3"/>
            <w:tcBorders>
              <w:top w:val="single" w:sz="12" w:space="0" w:color="000000"/>
              <w:left w:val="single" w:sz="12" w:space="0" w:color="FFFFFF"/>
              <w:bottom w:val="single" w:sz="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20"/>
              </w:rPr>
            </w:pPr>
          </w:p>
        </w:tc>
      </w:tr>
      <w:tr w:rsidR="00082DDA" w:rsidTr="00776358">
        <w:trPr>
          <w:trHeight w:val="397"/>
        </w:trPr>
        <w:tc>
          <w:tcPr>
            <w:tcW w:w="1695" w:type="dxa"/>
            <w:tcBorders>
              <w:top w:val="single" w:sz="12" w:space="0" w:color="FFFFFF"/>
              <w:left w:val="single" w:sz="4" w:space="0" w:color="FFFFFF"/>
              <w:bottom w:val="single" w:sz="12" w:space="0" w:color="000000"/>
              <w:right w:val="single" w:sz="2" w:space="0" w:color="FFFFFF"/>
            </w:tcBorders>
            <w:shd w:val="clear" w:color="auto" w:fill="auto"/>
            <w:tcMar>
              <w:top w:w="0" w:type="dxa"/>
              <w:left w:w="108" w:type="dxa"/>
              <w:bottom w:w="0" w:type="dxa"/>
              <w:right w:w="108" w:type="dxa"/>
            </w:tcMar>
          </w:tcPr>
          <w:p w:rsidR="00082DDA" w:rsidRPr="00BB0618" w:rsidRDefault="00082DDA" w:rsidP="00776358">
            <w:pPr>
              <w:suppressAutoHyphens/>
              <w:autoSpaceDN w:val="0"/>
              <w:spacing w:after="0" w:line="240" w:lineRule="auto"/>
              <w:rPr>
                <w:rFonts w:ascii="Arial" w:eastAsia="Aptos" w:hAnsi="Arial" w:cs="Arial"/>
                <w:sz w:val="20"/>
              </w:rPr>
            </w:pPr>
          </w:p>
        </w:tc>
        <w:tc>
          <w:tcPr>
            <w:tcW w:w="2329" w:type="dxa"/>
            <w:tcBorders>
              <w:top w:val="single" w:sz="2" w:space="0" w:color="000000"/>
              <w:left w:val="single" w:sz="2" w:space="0" w:color="FFFFFF"/>
              <w:bottom w:val="single" w:sz="12" w:space="0" w:color="000000"/>
              <w:right w:val="single" w:sz="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Group</w:t>
            </w:r>
          </w:p>
        </w:tc>
        <w:tc>
          <w:tcPr>
            <w:tcW w:w="1660" w:type="dxa"/>
            <w:gridSpan w:val="3"/>
            <w:tcBorders>
              <w:top w:val="single" w:sz="2" w:space="0" w:color="000000"/>
              <w:left w:val="single" w:sz="2" w:space="0" w:color="FFFFFF"/>
              <w:bottom w:val="single" w:sz="12" w:space="0" w:color="000000"/>
              <w:right w:val="single" w:sz="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0</w:t>
            </w:r>
          </w:p>
        </w:tc>
        <w:tc>
          <w:tcPr>
            <w:tcW w:w="1660" w:type="dxa"/>
            <w:gridSpan w:val="3"/>
            <w:tcBorders>
              <w:top w:val="single" w:sz="2" w:space="0" w:color="000000"/>
              <w:left w:val="single" w:sz="2" w:space="0" w:color="FFFFFF"/>
              <w:bottom w:val="single" w:sz="12" w:space="0" w:color="000000"/>
              <w:right w:val="single" w:sz="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1a</w:t>
            </w:r>
          </w:p>
        </w:tc>
        <w:tc>
          <w:tcPr>
            <w:tcW w:w="1660" w:type="dxa"/>
            <w:gridSpan w:val="3"/>
            <w:tcBorders>
              <w:top w:val="single" w:sz="2" w:space="0" w:color="000000"/>
              <w:left w:val="single" w:sz="2" w:space="0" w:color="FFFFFF"/>
              <w:bottom w:val="single" w:sz="12" w:space="0" w:color="000000"/>
              <w:right w:val="single" w:sz="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1b</w:t>
            </w:r>
          </w:p>
        </w:tc>
        <w:tc>
          <w:tcPr>
            <w:tcW w:w="1660" w:type="dxa"/>
            <w:gridSpan w:val="2"/>
            <w:tcBorders>
              <w:top w:val="single" w:sz="2" w:space="0" w:color="000000"/>
              <w:left w:val="single" w:sz="2" w:space="0" w:color="FFFFFF"/>
              <w:bottom w:val="single" w:sz="12" w:space="0" w:color="000000"/>
              <w:right w:val="single" w:sz="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2</w:t>
            </w:r>
          </w:p>
        </w:tc>
        <w:tc>
          <w:tcPr>
            <w:tcW w:w="1660" w:type="dxa"/>
            <w:gridSpan w:val="3"/>
            <w:tcBorders>
              <w:top w:val="single" w:sz="2" w:space="0" w:color="000000"/>
              <w:left w:val="single" w:sz="2" w:space="0" w:color="FFFFFF"/>
              <w:bottom w:val="single" w:sz="12" w:space="0" w:color="000000"/>
              <w:right w:val="single" w:sz="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3</w:t>
            </w:r>
          </w:p>
        </w:tc>
        <w:tc>
          <w:tcPr>
            <w:tcW w:w="1660" w:type="dxa"/>
            <w:gridSpan w:val="2"/>
            <w:tcBorders>
              <w:top w:val="single" w:sz="2" w:space="0" w:color="000000"/>
              <w:left w:val="single" w:sz="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4</w:t>
            </w:r>
          </w:p>
        </w:tc>
      </w:tr>
      <w:tr w:rsidR="00082DDA" w:rsidTr="00776358">
        <w:trPr>
          <w:trHeight w:val="397"/>
        </w:trPr>
        <w:tc>
          <w:tcPr>
            <w:tcW w:w="1695" w:type="dxa"/>
            <w:vMerge w:val="restart"/>
            <w:tcBorders>
              <w:top w:val="single" w:sz="12"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STUDY-3</w:t>
            </w:r>
          </w:p>
        </w:tc>
        <w:tc>
          <w:tcPr>
            <w:tcW w:w="2329" w:type="dxa"/>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CD</w:t>
            </w:r>
          </w:p>
        </w:tc>
        <w:tc>
          <w:tcPr>
            <w:tcW w:w="1652" w:type="dxa"/>
            <w:gridSpan w:val="2"/>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8</w:t>
            </w:r>
          </w:p>
        </w:tc>
        <w:tc>
          <w:tcPr>
            <w:tcW w:w="1655" w:type="dxa"/>
            <w:gridSpan w:val="3"/>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c>
          <w:tcPr>
            <w:tcW w:w="1655" w:type="dxa"/>
            <w:gridSpan w:val="3"/>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c>
          <w:tcPr>
            <w:tcW w:w="1693" w:type="dxa"/>
            <w:gridSpan w:val="4"/>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c>
          <w:tcPr>
            <w:tcW w:w="1653" w:type="dxa"/>
            <w:gridSpan w:val="3"/>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c>
          <w:tcPr>
            <w:tcW w:w="1652" w:type="dxa"/>
            <w:tcBorders>
              <w:top w:val="single" w:sz="12" w:space="0" w:color="000000"/>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r>
      <w:tr w:rsidR="00082DDA" w:rsidTr="00776358">
        <w:trPr>
          <w:trHeight w:val="397"/>
        </w:trPr>
        <w:tc>
          <w:tcPr>
            <w:tcW w:w="1695" w:type="dxa"/>
            <w:vMerge/>
            <w:tcBorders>
              <w:top w:val="single" w:sz="12"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rPr>
                <w:rFonts w:ascii="Arial" w:eastAsia="Aptos" w:hAnsi="Arial" w:cs="Arial"/>
                <w:sz w:val="20"/>
              </w:rPr>
            </w:pPr>
          </w:p>
        </w:tc>
        <w:tc>
          <w:tcPr>
            <w:tcW w:w="2329" w:type="dxa"/>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D3-MASLD</w:t>
            </w:r>
          </w:p>
        </w:tc>
        <w:tc>
          <w:tcPr>
            <w:tcW w:w="1652" w:type="dxa"/>
            <w:gridSpan w:val="2"/>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4</w:t>
            </w:r>
          </w:p>
        </w:tc>
        <w:tc>
          <w:tcPr>
            <w:tcW w:w="1655"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5</w:t>
            </w:r>
          </w:p>
        </w:tc>
        <w:tc>
          <w:tcPr>
            <w:tcW w:w="1655"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1</w:t>
            </w:r>
          </w:p>
        </w:tc>
        <w:tc>
          <w:tcPr>
            <w:tcW w:w="1693" w:type="dxa"/>
            <w:gridSpan w:val="4"/>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1</w:t>
            </w:r>
          </w:p>
        </w:tc>
        <w:tc>
          <w:tcPr>
            <w:tcW w:w="1653"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1</w:t>
            </w:r>
          </w:p>
        </w:tc>
        <w:tc>
          <w:tcPr>
            <w:tcW w:w="1652" w:type="dxa"/>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r>
      <w:tr w:rsidR="00082DDA" w:rsidTr="00776358">
        <w:trPr>
          <w:trHeight w:val="397"/>
        </w:trPr>
        <w:tc>
          <w:tcPr>
            <w:tcW w:w="1695" w:type="dxa"/>
            <w:vMerge/>
            <w:tcBorders>
              <w:top w:val="single" w:sz="12"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rPr>
                <w:rFonts w:ascii="Arial" w:eastAsia="Aptos" w:hAnsi="Arial" w:cs="Arial"/>
                <w:sz w:val="20"/>
              </w:rPr>
            </w:pPr>
          </w:p>
        </w:tc>
        <w:tc>
          <w:tcPr>
            <w:tcW w:w="2329" w:type="dxa"/>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rPr>
            </w:pPr>
            <w:r w:rsidRPr="00BB0618">
              <w:rPr>
                <w:rFonts w:ascii="Arial" w:eastAsia="Aptos" w:hAnsi="Arial" w:cs="Arial"/>
                <w:b/>
                <w:sz w:val="20"/>
              </w:rPr>
              <w:t>D4-MASLD</w:t>
            </w:r>
          </w:p>
        </w:tc>
        <w:tc>
          <w:tcPr>
            <w:tcW w:w="1652" w:type="dxa"/>
            <w:gridSpan w:val="2"/>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6</w:t>
            </w:r>
          </w:p>
        </w:tc>
        <w:tc>
          <w:tcPr>
            <w:tcW w:w="1655"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1</w:t>
            </w:r>
          </w:p>
        </w:tc>
        <w:tc>
          <w:tcPr>
            <w:tcW w:w="1655"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c>
          <w:tcPr>
            <w:tcW w:w="1693" w:type="dxa"/>
            <w:gridSpan w:val="4"/>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c>
          <w:tcPr>
            <w:tcW w:w="1653" w:type="dxa"/>
            <w:gridSpan w:val="3"/>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rPr>
            </w:pPr>
            <w:r w:rsidRPr="00BB0618">
              <w:rPr>
                <w:rFonts w:ascii="Arial" w:eastAsia="Aptos" w:hAnsi="Arial" w:cs="Arial"/>
                <w:b/>
                <w:sz w:val="18"/>
                <w:szCs w:val="18"/>
              </w:rPr>
              <w:t>4</w:t>
            </w:r>
          </w:p>
        </w:tc>
        <w:tc>
          <w:tcPr>
            <w:tcW w:w="1652" w:type="dxa"/>
            <w:tcBorders>
              <w:top w:val="single" w:sz="12" w:space="0" w:color="FFFFFF"/>
              <w:left w:val="single" w:sz="12" w:space="0" w:color="FFFFFF"/>
              <w:bottom w:val="single" w:sz="12" w:space="0" w:color="FFFFFF"/>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rPr>
            </w:pPr>
            <w:r w:rsidRPr="00BB0618">
              <w:rPr>
                <w:rFonts w:ascii="Arial" w:eastAsia="Aptos" w:hAnsi="Arial" w:cs="Arial"/>
                <w:sz w:val="18"/>
                <w:szCs w:val="18"/>
              </w:rPr>
              <w:t>0</w:t>
            </w:r>
          </w:p>
        </w:tc>
      </w:tr>
      <w:tr w:rsidR="00082DDA" w:rsidTr="00776358">
        <w:trPr>
          <w:trHeight w:val="397"/>
        </w:trPr>
        <w:tc>
          <w:tcPr>
            <w:tcW w:w="1695" w:type="dxa"/>
            <w:vMerge/>
            <w:tcBorders>
              <w:top w:val="single" w:sz="12" w:space="0" w:color="000000"/>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rPr>
                <w:rFonts w:ascii="Arial" w:eastAsia="Aptos" w:hAnsi="Arial" w:cs="Arial"/>
                <w:sz w:val="20"/>
              </w:rPr>
            </w:pPr>
          </w:p>
        </w:tc>
        <w:tc>
          <w:tcPr>
            <w:tcW w:w="2329" w:type="dxa"/>
            <w:tcBorders>
              <w:top w:val="single" w:sz="12" w:space="0" w:color="FFFFFF"/>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20"/>
                <w:lang w:val="es-ES"/>
              </w:rPr>
            </w:pPr>
            <w:r w:rsidRPr="00BB0618">
              <w:rPr>
                <w:rFonts w:ascii="Arial" w:eastAsia="Aptos" w:hAnsi="Arial" w:cs="Arial"/>
                <w:b/>
                <w:sz w:val="20"/>
                <w:lang w:val="es-ES"/>
              </w:rPr>
              <w:t>D5-MASLD</w:t>
            </w:r>
          </w:p>
        </w:tc>
        <w:tc>
          <w:tcPr>
            <w:tcW w:w="1652" w:type="dxa"/>
            <w:gridSpan w:val="2"/>
            <w:tcBorders>
              <w:top w:val="single" w:sz="12" w:space="0" w:color="FFFFFF"/>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lang w:val="es-ES"/>
              </w:rPr>
            </w:pPr>
            <w:r w:rsidRPr="00BB0618">
              <w:rPr>
                <w:rFonts w:ascii="Arial" w:eastAsia="Aptos" w:hAnsi="Arial" w:cs="Arial"/>
                <w:b/>
                <w:sz w:val="18"/>
                <w:szCs w:val="18"/>
                <w:lang w:val="es-ES"/>
              </w:rPr>
              <w:t>4</w:t>
            </w:r>
          </w:p>
        </w:tc>
        <w:tc>
          <w:tcPr>
            <w:tcW w:w="1655" w:type="dxa"/>
            <w:gridSpan w:val="3"/>
            <w:tcBorders>
              <w:top w:val="single" w:sz="12" w:space="0" w:color="FFFFFF"/>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lang w:val="es-ES"/>
              </w:rPr>
            </w:pPr>
            <w:r w:rsidRPr="00BB0618">
              <w:rPr>
                <w:rFonts w:ascii="Arial" w:eastAsia="Aptos" w:hAnsi="Arial" w:cs="Arial"/>
                <w:b/>
                <w:sz w:val="18"/>
                <w:szCs w:val="18"/>
                <w:lang w:val="es-ES"/>
              </w:rPr>
              <w:t>1</w:t>
            </w:r>
          </w:p>
        </w:tc>
        <w:tc>
          <w:tcPr>
            <w:tcW w:w="1655" w:type="dxa"/>
            <w:gridSpan w:val="3"/>
            <w:tcBorders>
              <w:top w:val="single" w:sz="12" w:space="0" w:color="FFFFFF"/>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lang w:val="es-ES"/>
              </w:rPr>
            </w:pPr>
            <w:r w:rsidRPr="00BB0618">
              <w:rPr>
                <w:rFonts w:ascii="Arial" w:eastAsia="Aptos" w:hAnsi="Arial" w:cs="Arial"/>
                <w:sz w:val="18"/>
                <w:szCs w:val="18"/>
                <w:lang w:val="es-ES"/>
              </w:rPr>
              <w:t>0</w:t>
            </w:r>
          </w:p>
        </w:tc>
        <w:tc>
          <w:tcPr>
            <w:tcW w:w="1693" w:type="dxa"/>
            <w:gridSpan w:val="4"/>
            <w:tcBorders>
              <w:top w:val="single" w:sz="12" w:space="0" w:color="FFFFFF"/>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lang w:val="es-ES"/>
              </w:rPr>
            </w:pPr>
            <w:r w:rsidRPr="00BB0618">
              <w:rPr>
                <w:rFonts w:ascii="Arial" w:eastAsia="Aptos" w:hAnsi="Arial" w:cs="Arial"/>
                <w:b/>
                <w:sz w:val="18"/>
                <w:szCs w:val="18"/>
                <w:lang w:val="es-ES"/>
              </w:rPr>
              <w:t>2</w:t>
            </w:r>
          </w:p>
        </w:tc>
        <w:tc>
          <w:tcPr>
            <w:tcW w:w="1653" w:type="dxa"/>
            <w:gridSpan w:val="3"/>
            <w:tcBorders>
              <w:top w:val="single" w:sz="12" w:space="0" w:color="FFFFFF"/>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b/>
                <w:sz w:val="18"/>
                <w:szCs w:val="18"/>
                <w:lang w:val="es-ES"/>
              </w:rPr>
            </w:pPr>
            <w:r w:rsidRPr="00BB0618">
              <w:rPr>
                <w:rFonts w:ascii="Arial" w:eastAsia="Aptos" w:hAnsi="Arial" w:cs="Arial"/>
                <w:b/>
                <w:sz w:val="18"/>
                <w:szCs w:val="18"/>
                <w:lang w:val="es-ES"/>
              </w:rPr>
              <w:t>3</w:t>
            </w:r>
          </w:p>
        </w:tc>
        <w:tc>
          <w:tcPr>
            <w:tcW w:w="1652" w:type="dxa"/>
            <w:tcBorders>
              <w:top w:val="single" w:sz="12" w:space="0" w:color="FFFFFF"/>
              <w:left w:val="single" w:sz="12" w:space="0" w:color="FFFFFF"/>
              <w:bottom w:val="single" w:sz="12" w:space="0" w:color="000000"/>
              <w:right w:val="single" w:sz="12" w:space="0" w:color="FFFFFF"/>
            </w:tcBorders>
            <w:shd w:val="clear" w:color="auto" w:fill="auto"/>
            <w:tcMar>
              <w:top w:w="0" w:type="dxa"/>
              <w:left w:w="108" w:type="dxa"/>
              <w:bottom w:w="0" w:type="dxa"/>
              <w:right w:w="108" w:type="dxa"/>
            </w:tcMar>
            <w:vAlign w:val="center"/>
          </w:tcPr>
          <w:p w:rsidR="00082DDA" w:rsidRPr="00BB0618" w:rsidRDefault="00082DDA" w:rsidP="00776358">
            <w:pPr>
              <w:suppressAutoHyphens/>
              <w:autoSpaceDN w:val="0"/>
              <w:spacing w:after="0" w:line="240" w:lineRule="auto"/>
              <w:jc w:val="center"/>
              <w:rPr>
                <w:rFonts w:ascii="Arial" w:eastAsia="Aptos" w:hAnsi="Arial" w:cs="Arial"/>
                <w:sz w:val="18"/>
                <w:szCs w:val="18"/>
                <w:lang w:val="es-ES"/>
              </w:rPr>
            </w:pPr>
            <w:r w:rsidRPr="00BB0618">
              <w:rPr>
                <w:rFonts w:ascii="Arial" w:eastAsia="Aptos" w:hAnsi="Arial" w:cs="Arial"/>
                <w:sz w:val="18"/>
                <w:szCs w:val="18"/>
                <w:lang w:val="es-ES"/>
              </w:rPr>
              <w:t>0</w:t>
            </w:r>
          </w:p>
        </w:tc>
      </w:tr>
    </w:tbl>
    <w:p w:rsidR="00082DDA" w:rsidRPr="00EF1462" w:rsidRDefault="00082DDA" w:rsidP="00082DDA">
      <w:pPr>
        <w:spacing w:line="276" w:lineRule="auto"/>
        <w:jc w:val="both"/>
        <w:rPr>
          <w:rFonts w:cstheme="minorHAnsi"/>
          <w:szCs w:val="20"/>
          <w:lang w:val="en-US"/>
        </w:rPr>
        <w:sectPr w:rsidR="00082DDA" w:rsidRPr="00EF1462" w:rsidSect="005E4690">
          <w:pgSz w:w="16838" w:h="11906" w:orient="landscape"/>
          <w:pgMar w:top="1701" w:right="1417" w:bottom="1701" w:left="1417" w:header="708" w:footer="708" w:gutter="0"/>
          <w:cols w:space="708"/>
          <w:docGrid w:linePitch="360"/>
        </w:sectPr>
      </w:pPr>
    </w:p>
    <w:p w:rsidR="00082DDA" w:rsidRPr="00EF1462" w:rsidRDefault="00082DDA" w:rsidP="00082DDA">
      <w:pPr>
        <w:spacing w:line="276" w:lineRule="auto"/>
        <w:jc w:val="both"/>
        <w:rPr>
          <w:rFonts w:cstheme="minorHAnsi"/>
          <w:b/>
          <w:szCs w:val="20"/>
          <w:lang w:val="en-US"/>
        </w:rPr>
      </w:pPr>
      <w:r w:rsidRPr="00EF1462">
        <w:rPr>
          <w:rFonts w:cstheme="minorHAnsi"/>
          <w:b/>
          <w:szCs w:val="20"/>
          <w:lang w:val="en-US"/>
        </w:rPr>
        <w:lastRenderedPageBreak/>
        <w:t xml:space="preserve"> </w:t>
      </w:r>
    </w:p>
    <w:p w:rsidR="00082DDA" w:rsidRPr="00EF1462" w:rsidRDefault="00082DDA" w:rsidP="00082DDA">
      <w:pPr>
        <w:spacing w:line="276" w:lineRule="auto"/>
        <w:jc w:val="both"/>
        <w:rPr>
          <w:rFonts w:cstheme="minorHAnsi"/>
          <w:szCs w:val="20"/>
          <w:lang w:val="en-US"/>
        </w:rPr>
      </w:pPr>
      <w:r>
        <w:rPr>
          <w:rFonts w:cstheme="minorHAnsi"/>
          <w:noProof/>
          <w:szCs w:val="20"/>
          <w:lang w:val="es-ES" w:eastAsia="es-ES"/>
        </w:rPr>
        <w:drawing>
          <wp:inline distT="0" distB="0" distL="0" distR="0">
            <wp:extent cx="5391150" cy="6734175"/>
            <wp:effectExtent l="0" t="0" r="0" b="9525"/>
            <wp:docPr id="1" name="Imagen 1" descr="SP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 Figure 1"/>
                    <pic:cNvPicPr>
                      <a:picLocks noChangeAspect="1" noChangeArrowheads="1"/>
                    </pic:cNvPicPr>
                  </pic:nvPicPr>
                  <pic:blipFill>
                    <a:blip r:embed="rId6" cstate="print">
                      <a:extLst>
                        <a:ext uri="{28A0092B-C50C-407E-A947-70E740481C1C}">
                          <a14:useLocalDpi xmlns:a14="http://schemas.microsoft.com/office/drawing/2010/main" val="0"/>
                        </a:ext>
                      </a:extLst>
                    </a:blip>
                    <a:srcRect t="6364"/>
                    <a:stretch>
                      <a:fillRect/>
                    </a:stretch>
                  </pic:blipFill>
                  <pic:spPr bwMode="auto">
                    <a:xfrm>
                      <a:off x="0" y="0"/>
                      <a:ext cx="5391150" cy="6734175"/>
                    </a:xfrm>
                    <a:prstGeom prst="rect">
                      <a:avLst/>
                    </a:prstGeom>
                    <a:noFill/>
                    <a:ln>
                      <a:noFill/>
                    </a:ln>
                  </pic:spPr>
                </pic:pic>
              </a:graphicData>
            </a:graphic>
          </wp:inline>
        </w:drawing>
      </w:r>
    </w:p>
    <w:p w:rsidR="00992298" w:rsidRPr="00EF1462" w:rsidRDefault="00992298" w:rsidP="00992298">
      <w:pPr>
        <w:spacing w:line="240" w:lineRule="auto"/>
        <w:jc w:val="both"/>
        <w:rPr>
          <w:rFonts w:ascii="Times New Roman" w:eastAsia="Times New Roman" w:hAnsi="Times New Roman" w:cs="Times New Roman"/>
          <w:sz w:val="24"/>
          <w:szCs w:val="24"/>
          <w:lang w:val="en-US" w:eastAsia="ca-ES"/>
        </w:rPr>
      </w:pPr>
      <w:r w:rsidRPr="00EF1462">
        <w:rPr>
          <w:rFonts w:ascii="Calibri" w:eastAsia="Times New Roman" w:hAnsi="Calibri" w:cs="Calibri"/>
          <w:b/>
          <w:bCs/>
          <w:color w:val="000000"/>
          <w:lang w:val="en-US" w:eastAsia="ca-ES"/>
        </w:rPr>
        <w:t xml:space="preserve">Supplementary Figure 1. Body weight according to study groups. </w:t>
      </w:r>
      <w:r w:rsidRPr="00EF1462">
        <w:rPr>
          <w:rFonts w:ascii="Calibri" w:eastAsia="Times New Roman" w:hAnsi="Calibri" w:cs="Calibri"/>
          <w:color w:val="000000"/>
          <w:lang w:val="en-US" w:eastAsia="ca-ES"/>
        </w:rPr>
        <w:t xml:space="preserve">(A) Evolution of body weight per week of the dietary groups. (B) Bar diagrams representing the mean weight at the end of each study after 8h fasting before hemodynamic measurements. Values are expressed as mean ± SEM. </w:t>
      </w:r>
      <w:proofErr w:type="spellStart"/>
      <w:r w:rsidRPr="00EF1462">
        <w:rPr>
          <w:rFonts w:ascii="Calibri" w:eastAsia="Times New Roman" w:hAnsi="Calibri" w:cs="Calibri"/>
          <w:color w:val="000000"/>
          <w:lang w:val="en-US" w:eastAsia="ca-ES"/>
        </w:rPr>
        <w:t>λP</w:t>
      </w:r>
      <w:proofErr w:type="spellEnd"/>
      <w:r w:rsidRPr="00EF1462">
        <w:rPr>
          <w:rFonts w:ascii="Calibri" w:eastAsia="Times New Roman" w:hAnsi="Calibri" w:cs="Calibri"/>
          <w:color w:val="000000"/>
          <w:lang w:val="en-US" w:eastAsia="ca-ES"/>
        </w:rPr>
        <w:t xml:space="preserve"> ≤ 0.05 </w:t>
      </w:r>
      <w:r w:rsidRPr="00EF1462">
        <w:rPr>
          <w:rFonts w:ascii="vesrus" w:eastAsia="Times New Roman" w:hAnsi="vesrus" w:cs="Times New Roman"/>
          <w:i/>
          <w:iCs/>
          <w:color w:val="000000"/>
          <w:lang w:val="en-US" w:eastAsia="ca-ES"/>
        </w:rPr>
        <w:t>versus</w:t>
      </w:r>
      <w:r w:rsidRPr="00EF1462">
        <w:rPr>
          <w:rFonts w:ascii="Calibri" w:eastAsia="Times New Roman" w:hAnsi="Calibri" w:cs="Calibri"/>
          <w:color w:val="000000"/>
          <w:lang w:val="en-US" w:eastAsia="ca-ES"/>
        </w:rPr>
        <w:t xml:space="preserve"> D1-MASLD; #P ≤ 0.05 D3-MASLD </w:t>
      </w:r>
      <w:r w:rsidRPr="00EF1462">
        <w:rPr>
          <w:rFonts w:ascii="vesrus" w:eastAsia="Times New Roman" w:hAnsi="vesrus" w:cs="Times New Roman"/>
          <w:i/>
          <w:iCs/>
          <w:color w:val="000000"/>
          <w:lang w:val="en-US" w:eastAsia="ca-ES"/>
        </w:rPr>
        <w:t>versus</w:t>
      </w:r>
      <w:r w:rsidRPr="00EF1462">
        <w:rPr>
          <w:rFonts w:ascii="Calibri" w:eastAsia="Times New Roman" w:hAnsi="Calibri" w:cs="Calibri"/>
          <w:color w:val="000000"/>
          <w:lang w:val="en-US" w:eastAsia="ca-ES"/>
        </w:rPr>
        <w:t xml:space="preserve"> D4-MASLD; </w:t>
      </w:r>
      <w:proofErr w:type="spellStart"/>
      <w:r w:rsidRPr="00EF1462">
        <w:rPr>
          <w:rFonts w:ascii="Calibri" w:eastAsia="Times New Roman" w:hAnsi="Calibri" w:cs="Calibri"/>
          <w:color w:val="000000"/>
          <w:lang w:val="en-US" w:eastAsia="ca-ES"/>
        </w:rPr>
        <w:t>φP</w:t>
      </w:r>
      <w:proofErr w:type="spellEnd"/>
      <w:r w:rsidRPr="00EF1462">
        <w:rPr>
          <w:rFonts w:ascii="Calibri" w:eastAsia="Times New Roman" w:hAnsi="Calibri" w:cs="Calibri"/>
          <w:color w:val="000000"/>
          <w:lang w:val="en-US" w:eastAsia="ca-ES"/>
        </w:rPr>
        <w:t xml:space="preserve"> ≤ 0.05 D3-MASLD </w:t>
      </w:r>
      <w:r w:rsidRPr="00EF1462">
        <w:rPr>
          <w:rFonts w:ascii="vesrus" w:eastAsia="Times New Roman" w:hAnsi="vesrus" w:cs="Times New Roman"/>
          <w:i/>
          <w:iCs/>
          <w:color w:val="000000"/>
          <w:lang w:val="en-US" w:eastAsia="ca-ES"/>
        </w:rPr>
        <w:t>versus</w:t>
      </w:r>
      <w:r w:rsidRPr="00EF1462">
        <w:rPr>
          <w:rFonts w:ascii="Calibri" w:eastAsia="Times New Roman" w:hAnsi="Calibri" w:cs="Calibri"/>
          <w:color w:val="000000"/>
          <w:lang w:val="en-US" w:eastAsia="ca-ES"/>
        </w:rPr>
        <w:t xml:space="preserve"> D5-MASLD. CD: Control; HFGFD: High Fat Glucose Fructose Diet; LPS: Lipopolysaccharide; Chol: Cholesterol; CA: Colic acid; D1-MASLD: HFGFD; D1-MASLD + LPS: HFGFD + LPS; D2-MASLD: HFGFD + 2% Chol + 0.5% CA; D3-MASLD: HFGFD + 0.5% Chol + 0.5% CA; D4-MASLD: HFGFD + 2% Chol; D5-MASLD: HFGFD + 2% Chol + 0.1% CA.</w:t>
      </w:r>
    </w:p>
    <w:p w:rsidR="00082DDA" w:rsidRPr="00EF1462" w:rsidRDefault="00082DDA" w:rsidP="00082DDA">
      <w:pPr>
        <w:rPr>
          <w:rFonts w:cstheme="minorHAnsi"/>
          <w:szCs w:val="20"/>
          <w:lang w:val="en-US"/>
        </w:rPr>
      </w:pPr>
      <w:r w:rsidRPr="00EF1462">
        <w:rPr>
          <w:rFonts w:cstheme="minorHAnsi"/>
          <w:szCs w:val="20"/>
          <w:lang w:val="en-US"/>
        </w:rPr>
        <w:br w:type="page"/>
      </w:r>
    </w:p>
    <w:p w:rsidR="00082DDA" w:rsidRPr="00EF1462" w:rsidRDefault="00992298" w:rsidP="00082DDA">
      <w:pPr>
        <w:spacing w:line="276" w:lineRule="auto"/>
        <w:jc w:val="both"/>
        <w:rPr>
          <w:rFonts w:cstheme="minorHAnsi"/>
          <w:b/>
          <w:szCs w:val="20"/>
          <w:lang w:val="en-US"/>
        </w:rPr>
      </w:pPr>
      <w:r>
        <w:rPr>
          <w:rFonts w:cstheme="minorHAnsi"/>
          <w:b/>
          <w:noProof/>
          <w:szCs w:val="20"/>
          <w:lang w:val="es-ES" w:eastAsia="es-ES"/>
        </w:rPr>
        <w:lastRenderedPageBreak/>
        <w:drawing>
          <wp:anchor distT="0" distB="0" distL="114300" distR="114300" simplePos="0" relativeHeight="251659264" behindDoc="0" locked="0" layoutInCell="1" allowOverlap="1" wp14:anchorId="55F90EB8" wp14:editId="4EB68DB2">
            <wp:simplePos x="0" y="0"/>
            <wp:positionH relativeFrom="margin">
              <wp:posOffset>-777533</wp:posOffset>
            </wp:positionH>
            <wp:positionV relativeFrom="paragraph">
              <wp:posOffset>331128</wp:posOffset>
            </wp:positionV>
            <wp:extent cx="6952615" cy="3220085"/>
            <wp:effectExtent l="0" t="0" r="63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 Figure 2.jpg"/>
                    <pic:cNvPicPr/>
                  </pic:nvPicPr>
                  <pic:blipFill>
                    <a:blip r:embed="rId7" cstate="print">
                      <a:extLst>
                        <a:ext uri="{28A0092B-C50C-407E-A947-70E740481C1C}">
                          <a14:useLocalDpi xmlns:a14="http://schemas.microsoft.com/office/drawing/2010/main" val="0"/>
                        </a:ext>
                      </a:extLst>
                    </a:blip>
                    <a:srcRect l="4187" t="18866" r="4253" b="1054"/>
                    <a:stretch>
                      <a:fillRect/>
                    </a:stretch>
                  </pic:blipFill>
                  <pic:spPr bwMode="auto">
                    <a:xfrm>
                      <a:off x="0" y="0"/>
                      <a:ext cx="6952615" cy="322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DDA" w:rsidRPr="00EF1462">
        <w:rPr>
          <w:rFonts w:cstheme="minorHAnsi"/>
          <w:b/>
          <w:szCs w:val="20"/>
          <w:lang w:val="en-US"/>
        </w:rPr>
        <w:t xml:space="preserve"> </w:t>
      </w:r>
    </w:p>
    <w:p w:rsidR="00992298" w:rsidRPr="00EF1462" w:rsidRDefault="00992298" w:rsidP="00992298">
      <w:pPr>
        <w:spacing w:line="240" w:lineRule="auto"/>
        <w:jc w:val="both"/>
        <w:rPr>
          <w:rFonts w:ascii="Times New Roman" w:eastAsia="Times New Roman" w:hAnsi="Times New Roman" w:cs="Times New Roman"/>
          <w:sz w:val="24"/>
          <w:szCs w:val="24"/>
          <w:lang w:val="en-US" w:eastAsia="ca-ES"/>
        </w:rPr>
      </w:pPr>
      <w:r w:rsidRPr="00EF1462">
        <w:rPr>
          <w:rFonts w:ascii="Calibri" w:eastAsia="Times New Roman" w:hAnsi="Calibri" w:cs="Calibri"/>
          <w:b/>
          <w:bCs/>
          <w:color w:val="000000"/>
          <w:lang w:val="en-US" w:eastAsia="ca-ES"/>
        </w:rPr>
        <w:t xml:space="preserve">Supplementary Figure 2. Assessment of systemic insulin resistance. </w:t>
      </w:r>
      <w:r w:rsidRPr="00EF1462">
        <w:rPr>
          <w:rFonts w:ascii="Calibri" w:eastAsia="Times New Roman" w:hAnsi="Calibri" w:cs="Calibri"/>
          <w:color w:val="000000"/>
          <w:lang w:val="en-US" w:eastAsia="ca-ES"/>
        </w:rPr>
        <w:t xml:space="preserve">Bar diagrams of the HOMA-IR (homeostasis assessment model of insulin resistance). Values are expressed as mean ± SEM. P ≤ 0.05; **P ≤ 0.01; ***P ≤ 0.001 </w:t>
      </w:r>
      <w:r w:rsidRPr="00EF1462">
        <w:rPr>
          <w:rFonts w:ascii="vesrus" w:eastAsia="Times New Roman" w:hAnsi="vesrus" w:cs="Times New Roman"/>
          <w:i/>
          <w:iCs/>
          <w:color w:val="000000"/>
          <w:lang w:val="en-US" w:eastAsia="ca-ES"/>
        </w:rPr>
        <w:t>versus</w:t>
      </w:r>
      <w:r w:rsidRPr="00EF1462">
        <w:rPr>
          <w:rFonts w:ascii="Calibri" w:eastAsia="Times New Roman" w:hAnsi="Calibri" w:cs="Calibri"/>
          <w:color w:val="000000"/>
          <w:lang w:val="en-US" w:eastAsia="ca-ES"/>
        </w:rPr>
        <w:t xml:space="preserve"> CD.</w:t>
      </w:r>
      <w:r w:rsidRPr="00EF1462">
        <w:rPr>
          <w:rFonts w:ascii="Calibri" w:eastAsia="Times New Roman" w:hAnsi="Calibri" w:cs="Calibri"/>
          <w:b/>
          <w:bCs/>
          <w:color w:val="000000"/>
          <w:lang w:val="en-US" w:eastAsia="ca-ES"/>
        </w:rPr>
        <w:t xml:space="preserve"> </w:t>
      </w:r>
      <w:r w:rsidRPr="00EF1462">
        <w:rPr>
          <w:rFonts w:ascii="Calibri" w:eastAsia="Times New Roman" w:hAnsi="Calibri" w:cs="Calibri"/>
          <w:color w:val="000000"/>
          <w:lang w:val="en-US" w:eastAsia="ca-ES"/>
        </w:rPr>
        <w:t>CD: Control; HFGFD: High Fat Glucose Fructose Diet; LPS: Lipopolysaccharide; Chol: Cholesterol; CA: Colic acid; D1-MASLD: HFGFD; D1-MASLD + LPS: HFGFD + LPS; D2-MASLD: HFGFD + 2% Chol + 0.5% CA; D3-MASLD: HFGFD + 0.5% Chol + 0.5% CA; D4-MASLD: HFGFD + 2% Chol; D5-MASLD: HFGFD + 2% Chol + 0.1% CA.</w:t>
      </w:r>
    </w:p>
    <w:p w:rsidR="00082DDA" w:rsidRPr="00EF1462" w:rsidRDefault="00082DDA" w:rsidP="00082DDA">
      <w:pPr>
        <w:rPr>
          <w:rFonts w:cstheme="minorHAnsi"/>
          <w:b/>
          <w:szCs w:val="20"/>
          <w:lang w:val="en-US"/>
        </w:rPr>
      </w:pPr>
    </w:p>
    <w:p w:rsidR="00082DDA" w:rsidRPr="00EF1462" w:rsidRDefault="00082DDA" w:rsidP="00082DDA">
      <w:pPr>
        <w:spacing w:line="276" w:lineRule="auto"/>
        <w:jc w:val="both"/>
        <w:rPr>
          <w:rFonts w:cstheme="minorHAnsi"/>
          <w:b/>
          <w:szCs w:val="20"/>
          <w:lang w:val="en-US"/>
        </w:rPr>
      </w:pPr>
      <w:r w:rsidRPr="00EF1462">
        <w:rPr>
          <w:rFonts w:cstheme="minorHAnsi"/>
          <w:b/>
          <w:szCs w:val="20"/>
          <w:lang w:val="en-US"/>
        </w:rPr>
        <w:t xml:space="preserve">. </w:t>
      </w:r>
    </w:p>
    <w:p w:rsidR="00082DDA" w:rsidRPr="00EF1462" w:rsidRDefault="00082DDA" w:rsidP="00082DDA">
      <w:pPr>
        <w:spacing w:line="276" w:lineRule="auto"/>
        <w:jc w:val="both"/>
        <w:rPr>
          <w:rFonts w:cstheme="minorHAnsi"/>
          <w:b/>
          <w:szCs w:val="20"/>
          <w:lang w:val="en-US"/>
        </w:rPr>
      </w:pPr>
    </w:p>
    <w:p w:rsidR="00992298" w:rsidRPr="00EF1462" w:rsidRDefault="00082DDA" w:rsidP="00992298">
      <w:pPr>
        <w:spacing w:line="240" w:lineRule="auto"/>
        <w:jc w:val="both"/>
        <w:rPr>
          <w:rFonts w:ascii="Times New Roman" w:eastAsia="Times New Roman" w:hAnsi="Times New Roman" w:cs="Times New Roman"/>
          <w:sz w:val="24"/>
          <w:szCs w:val="24"/>
          <w:lang w:val="en-US" w:eastAsia="ca-ES"/>
        </w:rPr>
      </w:pPr>
      <w:r>
        <w:rPr>
          <w:rFonts w:cstheme="minorHAnsi"/>
          <w:b/>
          <w:noProof/>
          <w:szCs w:val="20"/>
          <w:lang w:val="es-ES" w:eastAsia="es-ES"/>
        </w:rPr>
        <w:lastRenderedPageBreak/>
        <w:drawing>
          <wp:anchor distT="0" distB="0" distL="114300" distR="114300" simplePos="0" relativeHeight="251660288" behindDoc="0" locked="0" layoutInCell="1" allowOverlap="1" wp14:anchorId="4C66D23C" wp14:editId="1F9C2935">
            <wp:simplePos x="0" y="0"/>
            <wp:positionH relativeFrom="margin">
              <wp:align>left</wp:align>
            </wp:positionH>
            <wp:positionV relativeFrom="paragraph">
              <wp:posOffset>45085</wp:posOffset>
            </wp:positionV>
            <wp:extent cx="5238750" cy="760095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 Figure 3.jpg"/>
                    <pic:cNvPicPr/>
                  </pic:nvPicPr>
                  <pic:blipFill>
                    <a:blip r:embed="rId8" cstate="print">
                      <a:extLst>
                        <a:ext uri="{28A0092B-C50C-407E-A947-70E740481C1C}">
                          <a14:useLocalDpi xmlns:a14="http://schemas.microsoft.com/office/drawing/2010/main" val="0"/>
                        </a:ext>
                      </a:extLst>
                    </a:blip>
                    <a:srcRect t="6746" r="22919" b="9383"/>
                    <a:stretch>
                      <a:fillRect/>
                    </a:stretch>
                  </pic:blipFill>
                  <pic:spPr bwMode="auto">
                    <a:xfrm>
                      <a:off x="0" y="0"/>
                      <a:ext cx="5238750"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298" w:rsidRPr="00EF1462">
        <w:rPr>
          <w:rFonts w:ascii="Calibri" w:eastAsia="Times New Roman" w:hAnsi="Calibri" w:cs="Calibri"/>
          <w:b/>
          <w:bCs/>
          <w:color w:val="000000"/>
          <w:lang w:val="en-US" w:eastAsia="ca-ES"/>
        </w:rPr>
        <w:t xml:space="preserve">Supplementary Figure 3. </w:t>
      </w:r>
      <w:proofErr w:type="spellStart"/>
      <w:r w:rsidR="00992298" w:rsidRPr="00EF1462">
        <w:rPr>
          <w:rFonts w:cstheme="minorHAnsi"/>
          <w:b/>
          <w:szCs w:val="20"/>
          <w:lang w:val="en-US"/>
        </w:rPr>
        <w:t>Haematoxylin</w:t>
      </w:r>
      <w:proofErr w:type="spellEnd"/>
      <w:r w:rsidR="00992298" w:rsidRPr="00EF1462">
        <w:rPr>
          <w:rFonts w:cstheme="minorHAnsi"/>
          <w:b/>
          <w:szCs w:val="20"/>
          <w:lang w:val="en-US"/>
        </w:rPr>
        <w:t xml:space="preserve"> &amp; eosin-stained liver sections for histological evaluation.</w:t>
      </w:r>
      <w:r w:rsidR="00992298" w:rsidRPr="00EF1462">
        <w:rPr>
          <w:rFonts w:ascii="Calibri" w:eastAsia="Times New Roman" w:hAnsi="Calibri" w:cs="Calibri"/>
          <w:b/>
          <w:bCs/>
          <w:color w:val="000000"/>
          <w:lang w:val="en-US" w:eastAsia="ca-ES"/>
        </w:rPr>
        <w:t xml:space="preserve"> </w:t>
      </w:r>
      <w:r w:rsidR="00992298" w:rsidRPr="00EF1462">
        <w:rPr>
          <w:rFonts w:ascii="Calibri" w:eastAsia="Times New Roman" w:hAnsi="Calibri" w:cs="Calibri"/>
          <w:color w:val="000000"/>
          <w:lang w:val="en-US" w:eastAsia="ca-ES"/>
        </w:rPr>
        <w:t>Evaluation followed the NASH-Clinical Research Network system. The scored bar diagrams represent the percentage of individuals presenting (A) steatosis and (B) inflammation in the different studies. CD: Control; HFGFD: High Fat Glucose Fructose Diet; LPS: Lipopolysaccharide; Chol: Cholesterol; CA: Colic acid; D1-MASLD: HFGFD; D1-MASLD + LPS: HFGFD + LPS; D2-MASLD: HFGFD + 2% Chol + 0.5% CA; D3-MASLD: HFGFD + 0.5% Chol + 0.5% CA; D4-MASLD: HFGFD + 2% Chol; D5-MASLD: HFGFD + 2% Chol + 0.1% CA.</w:t>
      </w:r>
    </w:p>
    <w:p w:rsidR="00082DDA" w:rsidRPr="00EF1462" w:rsidRDefault="00082DDA" w:rsidP="00082DDA">
      <w:pPr>
        <w:spacing w:line="276" w:lineRule="auto"/>
        <w:jc w:val="both"/>
        <w:rPr>
          <w:rFonts w:cstheme="minorHAnsi"/>
          <w:b/>
          <w:szCs w:val="20"/>
          <w:lang w:val="en-US"/>
        </w:rPr>
      </w:pPr>
      <w:r>
        <w:rPr>
          <w:rFonts w:cstheme="minorHAnsi"/>
          <w:b/>
          <w:noProof/>
          <w:szCs w:val="20"/>
          <w:lang w:val="es-ES" w:eastAsia="es-ES"/>
        </w:rPr>
        <w:lastRenderedPageBreak/>
        <w:drawing>
          <wp:anchor distT="0" distB="0" distL="114300" distR="114300" simplePos="0" relativeHeight="251661312" behindDoc="0" locked="0" layoutInCell="1" allowOverlap="1" wp14:anchorId="44E58ED3" wp14:editId="35A513D0">
            <wp:simplePos x="0" y="0"/>
            <wp:positionH relativeFrom="margin">
              <wp:posOffset>-375285</wp:posOffset>
            </wp:positionH>
            <wp:positionV relativeFrom="paragraph">
              <wp:posOffset>300355</wp:posOffset>
            </wp:positionV>
            <wp:extent cx="6305550" cy="3117215"/>
            <wp:effectExtent l="0" t="0" r="0" b="698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 Figure 4.jpg"/>
                    <pic:cNvPicPr/>
                  </pic:nvPicPr>
                  <pic:blipFill>
                    <a:blip r:embed="rId9" cstate="print">
                      <a:extLst>
                        <a:ext uri="{28A0092B-C50C-407E-A947-70E740481C1C}">
                          <a14:useLocalDpi xmlns:a14="http://schemas.microsoft.com/office/drawing/2010/main" val="0"/>
                        </a:ext>
                      </a:extLst>
                    </a:blip>
                    <a:srcRect t="17345" r="14982"/>
                    <a:stretch>
                      <a:fillRect/>
                    </a:stretch>
                  </pic:blipFill>
                  <pic:spPr bwMode="auto">
                    <a:xfrm>
                      <a:off x="0" y="0"/>
                      <a:ext cx="6305550" cy="311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2DDA" w:rsidRPr="00EF1462" w:rsidRDefault="00082DDA" w:rsidP="00082DDA">
      <w:pPr>
        <w:spacing w:line="276" w:lineRule="auto"/>
        <w:jc w:val="both"/>
        <w:rPr>
          <w:rFonts w:cstheme="minorHAnsi"/>
          <w:b/>
          <w:szCs w:val="20"/>
          <w:lang w:val="en-US"/>
        </w:rPr>
      </w:pPr>
    </w:p>
    <w:p w:rsidR="00992298" w:rsidRPr="00EF1462" w:rsidRDefault="00992298" w:rsidP="00992298">
      <w:pPr>
        <w:spacing w:line="240" w:lineRule="auto"/>
        <w:jc w:val="both"/>
        <w:rPr>
          <w:rFonts w:ascii="Times New Roman" w:eastAsia="Times New Roman" w:hAnsi="Times New Roman" w:cs="Times New Roman"/>
          <w:sz w:val="24"/>
          <w:szCs w:val="24"/>
          <w:lang w:val="en-US" w:eastAsia="ca-ES"/>
        </w:rPr>
      </w:pPr>
      <w:r w:rsidRPr="00EF1462">
        <w:rPr>
          <w:rFonts w:ascii="Calibri" w:eastAsia="Times New Roman" w:hAnsi="Calibri" w:cs="Calibri"/>
          <w:b/>
          <w:bCs/>
          <w:color w:val="000000"/>
          <w:lang w:val="en-US" w:eastAsia="ca-ES"/>
        </w:rPr>
        <w:t xml:space="preserve">Supplementary Figure 4. Comparison between study-2 models at 16 and 24 weeks. </w:t>
      </w:r>
      <w:r w:rsidRPr="00EF1462">
        <w:rPr>
          <w:rFonts w:ascii="Calibri" w:eastAsia="Times New Roman" w:hAnsi="Calibri" w:cs="Calibri"/>
          <w:color w:val="000000"/>
          <w:lang w:val="en-US" w:eastAsia="ca-ES"/>
        </w:rPr>
        <w:t>(A) Bar diagrams of HOMA-IR (homeostasis assessment model of insulin resistance); (B) portal pressure and (C) quantification of the hepatic fibrotic area (%) at 16 and 24 weeks. Values are expressed as mean ± SEM. HFGFD: High Fat Glucose Fructose Diet; D2-MASLD: HFGFD + 2% Chol + 0.5% CA; 16w:16 weeks; 24w:24 weeks.</w:t>
      </w:r>
    </w:p>
    <w:p w:rsidR="00082DDA" w:rsidRPr="00EF1462" w:rsidRDefault="00082DDA" w:rsidP="00082DDA">
      <w:pPr>
        <w:rPr>
          <w:rFonts w:cstheme="minorHAnsi"/>
          <w:b/>
          <w:szCs w:val="20"/>
          <w:lang w:val="en-US"/>
        </w:rPr>
      </w:pPr>
      <w:r w:rsidRPr="00EF1462">
        <w:rPr>
          <w:rFonts w:cstheme="minorHAnsi"/>
          <w:b/>
          <w:szCs w:val="20"/>
          <w:lang w:val="en-US"/>
        </w:rPr>
        <w:br w:type="page"/>
      </w:r>
    </w:p>
    <w:p w:rsidR="00082DDA" w:rsidRPr="00EF1462" w:rsidRDefault="00082DDA" w:rsidP="00082DDA">
      <w:pPr>
        <w:spacing w:line="276" w:lineRule="auto"/>
        <w:jc w:val="both"/>
        <w:rPr>
          <w:rFonts w:cstheme="minorHAnsi"/>
          <w:b/>
          <w:szCs w:val="20"/>
          <w:lang w:val="en-US"/>
        </w:rPr>
      </w:pPr>
      <w:r>
        <w:rPr>
          <w:rFonts w:cstheme="minorHAnsi"/>
          <w:b/>
          <w:noProof/>
          <w:szCs w:val="20"/>
          <w:lang w:val="es-ES" w:eastAsia="es-ES"/>
        </w:rPr>
        <w:lastRenderedPageBreak/>
        <w:drawing>
          <wp:anchor distT="0" distB="0" distL="114300" distR="114300" simplePos="0" relativeHeight="251662336" behindDoc="0" locked="0" layoutInCell="1" allowOverlap="1" wp14:anchorId="18F5E044" wp14:editId="2BA9520B">
            <wp:simplePos x="0" y="0"/>
            <wp:positionH relativeFrom="margin">
              <wp:posOffset>-650240</wp:posOffset>
            </wp:positionH>
            <wp:positionV relativeFrom="paragraph">
              <wp:posOffset>452120</wp:posOffset>
            </wp:positionV>
            <wp:extent cx="6569710" cy="3377565"/>
            <wp:effectExtent l="0" t="0" r="254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 Figure 5.jpg"/>
                    <pic:cNvPicPr/>
                  </pic:nvPicPr>
                  <pic:blipFill>
                    <a:blip r:embed="rId10" cstate="print">
                      <a:extLst>
                        <a:ext uri="{28A0092B-C50C-407E-A947-70E740481C1C}">
                          <a14:useLocalDpi xmlns:a14="http://schemas.microsoft.com/office/drawing/2010/main" val="0"/>
                        </a:ext>
                      </a:extLst>
                    </a:blip>
                    <a:srcRect l="5266" t="16280" r="7914"/>
                    <a:stretch>
                      <a:fillRect/>
                    </a:stretch>
                  </pic:blipFill>
                  <pic:spPr bwMode="auto">
                    <a:xfrm>
                      <a:off x="0" y="0"/>
                      <a:ext cx="6569710" cy="337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2298" w:rsidRPr="00EF1462" w:rsidRDefault="00992298" w:rsidP="00992298">
      <w:pPr>
        <w:spacing w:line="240" w:lineRule="auto"/>
        <w:jc w:val="both"/>
        <w:rPr>
          <w:rFonts w:ascii="Times New Roman" w:eastAsia="Times New Roman" w:hAnsi="Times New Roman" w:cs="Times New Roman"/>
          <w:sz w:val="24"/>
          <w:szCs w:val="24"/>
          <w:lang w:val="en-US" w:eastAsia="ca-ES"/>
        </w:rPr>
      </w:pPr>
      <w:r w:rsidRPr="00EF1462">
        <w:rPr>
          <w:rFonts w:ascii="Calibri" w:eastAsia="Times New Roman" w:hAnsi="Calibri" w:cs="Calibri"/>
          <w:b/>
          <w:bCs/>
          <w:color w:val="000000"/>
          <w:lang w:val="en-US" w:eastAsia="ca-ES"/>
        </w:rPr>
        <w:t xml:space="preserve">Supplementary Figure 5. Western blot analysis of intrahepatic endothelial dysfunction markers. </w:t>
      </w:r>
      <w:r w:rsidRPr="00EF1462">
        <w:rPr>
          <w:rFonts w:ascii="Calibri" w:eastAsia="Times New Roman" w:hAnsi="Calibri" w:cs="Calibri"/>
          <w:color w:val="000000"/>
          <w:lang w:val="en-US" w:eastAsia="ca-ES"/>
        </w:rPr>
        <w:t>The bar graphs show the quantification of the KLF2 protein and the ratios of p-</w:t>
      </w:r>
      <w:proofErr w:type="spellStart"/>
      <w:r w:rsidRPr="00EF1462">
        <w:rPr>
          <w:rFonts w:ascii="Calibri" w:eastAsia="Times New Roman" w:hAnsi="Calibri" w:cs="Calibri"/>
          <w:color w:val="000000"/>
          <w:lang w:val="en-US" w:eastAsia="ca-ES"/>
        </w:rPr>
        <w:t>Akt</w:t>
      </w:r>
      <w:proofErr w:type="spellEnd"/>
      <w:r w:rsidRPr="00EF1462">
        <w:rPr>
          <w:rFonts w:ascii="Calibri" w:eastAsia="Times New Roman" w:hAnsi="Calibri" w:cs="Calibri"/>
          <w:color w:val="000000"/>
          <w:lang w:val="en-US" w:eastAsia="ca-ES"/>
        </w:rPr>
        <w:t>/</w:t>
      </w:r>
      <w:proofErr w:type="spellStart"/>
      <w:r w:rsidRPr="00EF1462">
        <w:rPr>
          <w:rFonts w:ascii="Calibri" w:eastAsia="Times New Roman" w:hAnsi="Calibri" w:cs="Calibri"/>
          <w:color w:val="000000"/>
          <w:lang w:val="en-US" w:eastAsia="ca-ES"/>
        </w:rPr>
        <w:t>Akt</w:t>
      </w:r>
      <w:proofErr w:type="spellEnd"/>
      <w:r w:rsidRPr="00EF1462">
        <w:rPr>
          <w:rFonts w:ascii="Calibri" w:eastAsia="Times New Roman" w:hAnsi="Calibri" w:cs="Calibri"/>
          <w:color w:val="000000"/>
          <w:lang w:val="en-US" w:eastAsia="ca-ES"/>
        </w:rPr>
        <w:t xml:space="preserve"> and p-</w:t>
      </w:r>
      <w:proofErr w:type="spellStart"/>
      <w:r w:rsidRPr="00EF1462">
        <w:rPr>
          <w:rFonts w:ascii="Calibri" w:eastAsia="Times New Roman" w:hAnsi="Calibri" w:cs="Calibri"/>
          <w:color w:val="000000"/>
          <w:lang w:val="en-US" w:eastAsia="ca-ES"/>
        </w:rPr>
        <w:t>eNOS</w:t>
      </w:r>
      <w:proofErr w:type="spellEnd"/>
      <w:r w:rsidRPr="00EF1462">
        <w:rPr>
          <w:rFonts w:ascii="Calibri" w:eastAsia="Times New Roman" w:hAnsi="Calibri" w:cs="Calibri"/>
          <w:color w:val="000000"/>
          <w:lang w:val="en-US" w:eastAsia="ca-ES"/>
        </w:rPr>
        <w:t>/</w:t>
      </w:r>
      <w:proofErr w:type="spellStart"/>
      <w:r w:rsidRPr="00EF1462">
        <w:rPr>
          <w:rFonts w:ascii="Calibri" w:eastAsia="Times New Roman" w:hAnsi="Calibri" w:cs="Calibri"/>
          <w:color w:val="000000"/>
          <w:lang w:val="en-US" w:eastAsia="ca-ES"/>
        </w:rPr>
        <w:t>eNOS</w:t>
      </w:r>
      <w:proofErr w:type="spellEnd"/>
      <w:r w:rsidRPr="00EF1462">
        <w:rPr>
          <w:rFonts w:ascii="Calibri" w:eastAsia="Times New Roman" w:hAnsi="Calibri" w:cs="Calibri"/>
          <w:color w:val="000000"/>
          <w:lang w:val="en-US" w:eastAsia="ca-ES"/>
        </w:rPr>
        <w:t xml:space="preserve"> in each group of the different studies. GAPDH was used as loading control and all proteins were normalized to the control group. Protein levels are expressed as mean ± SEM. P ≤ 0.05; **P ≤ 0.01; ***P ≤ 0.001 </w:t>
      </w:r>
      <w:r w:rsidRPr="00EF1462">
        <w:rPr>
          <w:rFonts w:ascii="vesrus" w:eastAsia="Times New Roman" w:hAnsi="vesrus" w:cs="Times New Roman"/>
          <w:i/>
          <w:iCs/>
          <w:color w:val="000000"/>
          <w:lang w:val="en-US" w:eastAsia="ca-ES"/>
        </w:rPr>
        <w:t>versus</w:t>
      </w:r>
      <w:r w:rsidRPr="00EF1462">
        <w:rPr>
          <w:rFonts w:ascii="Calibri" w:eastAsia="Times New Roman" w:hAnsi="Calibri" w:cs="Calibri"/>
          <w:color w:val="000000"/>
          <w:lang w:val="en-US" w:eastAsia="ca-ES"/>
        </w:rPr>
        <w:t xml:space="preserve"> CD. CD: Control; HFGFD: High Fat Glucose Fructose Diet; Chol: Cholesterol; CA: Colic acid; D2-MASLD: HFGFD + 2% Chol + 0.5% CA; D3-MASLD: HFGFD + 0.5% Chol + 0.5% CA; D4-MASLD: HFGFD + 2% Chol; D5-MASLD: HFGFD + 2% Chol + 0.1% CA.</w:t>
      </w:r>
    </w:p>
    <w:p w:rsidR="00082DDA" w:rsidRPr="00EF1462" w:rsidRDefault="00082DDA" w:rsidP="00082DDA">
      <w:pPr>
        <w:spacing w:line="276" w:lineRule="auto"/>
        <w:jc w:val="both"/>
        <w:rPr>
          <w:rFonts w:cstheme="minorHAnsi"/>
          <w:b/>
          <w:szCs w:val="20"/>
          <w:lang w:val="en-US"/>
        </w:rPr>
      </w:pPr>
    </w:p>
    <w:p w:rsidR="00992298" w:rsidRDefault="00992298" w:rsidP="00992298">
      <w:pPr>
        <w:rPr>
          <w:rFonts w:cstheme="minorHAnsi"/>
          <w:b/>
          <w:noProof/>
          <w:szCs w:val="20"/>
          <w:lang w:val="es-ES" w:eastAsia="es-ES"/>
        </w:rPr>
      </w:pPr>
    </w:p>
    <w:p w:rsidR="00992298" w:rsidRPr="00EF1462" w:rsidRDefault="00992298" w:rsidP="00992298">
      <w:pPr>
        <w:spacing w:line="240" w:lineRule="auto"/>
        <w:jc w:val="both"/>
        <w:rPr>
          <w:rFonts w:ascii="Times New Roman" w:eastAsia="Times New Roman" w:hAnsi="Times New Roman" w:cs="Times New Roman"/>
          <w:sz w:val="24"/>
          <w:szCs w:val="24"/>
          <w:lang w:val="en-US" w:eastAsia="ca-ES"/>
        </w:rPr>
      </w:pPr>
      <w:r>
        <w:rPr>
          <w:rFonts w:cstheme="minorHAnsi"/>
          <w:b/>
          <w:noProof/>
          <w:szCs w:val="20"/>
          <w:lang w:val="es-ES" w:eastAsia="es-ES"/>
        </w:rPr>
        <w:lastRenderedPageBreak/>
        <w:drawing>
          <wp:anchor distT="0" distB="0" distL="114300" distR="114300" simplePos="0" relativeHeight="251663360" behindDoc="0" locked="0" layoutInCell="1" allowOverlap="1" wp14:anchorId="19BD3276" wp14:editId="0A4590C4">
            <wp:simplePos x="0" y="0"/>
            <wp:positionH relativeFrom="margin">
              <wp:posOffset>-119331</wp:posOffset>
            </wp:positionH>
            <wp:positionV relativeFrom="paragraph">
              <wp:posOffset>0</wp:posOffset>
            </wp:positionV>
            <wp:extent cx="4471670" cy="7479030"/>
            <wp:effectExtent l="0" t="0" r="5080" b="762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 Figure 6.jpg"/>
                    <pic:cNvPicPr/>
                  </pic:nvPicPr>
                  <pic:blipFill rotWithShape="1">
                    <a:blip r:embed="rId11" cstate="print">
                      <a:extLst>
                        <a:ext uri="{28A0092B-C50C-407E-A947-70E740481C1C}">
                          <a14:useLocalDpi xmlns:a14="http://schemas.microsoft.com/office/drawing/2010/main" val="0"/>
                        </a:ext>
                      </a:extLst>
                    </a:blip>
                    <a:srcRect t="7790" r="33686" b="9033"/>
                    <a:stretch/>
                  </pic:blipFill>
                  <pic:spPr bwMode="auto">
                    <a:xfrm>
                      <a:off x="0" y="0"/>
                      <a:ext cx="4471670" cy="7479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2298">
        <w:rPr>
          <w:rFonts w:ascii="Calibri" w:eastAsia="Times New Roman" w:hAnsi="Calibri" w:cs="Calibri"/>
          <w:b/>
          <w:bCs/>
          <w:color w:val="000000"/>
          <w:lang w:val="en-US" w:eastAsia="ca-ES"/>
        </w:rPr>
        <w:t xml:space="preserve"> </w:t>
      </w:r>
      <w:r w:rsidRPr="00EF1462">
        <w:rPr>
          <w:rFonts w:ascii="Calibri" w:eastAsia="Times New Roman" w:hAnsi="Calibri" w:cs="Calibri"/>
          <w:b/>
          <w:bCs/>
          <w:color w:val="000000"/>
          <w:lang w:val="en-US" w:eastAsia="ca-ES"/>
        </w:rPr>
        <w:t xml:space="preserve">Supplementary Figure 6. Immunohistochemistry analysis of ductular reaction with CK-7. </w:t>
      </w:r>
      <w:r w:rsidRPr="00EF1462">
        <w:rPr>
          <w:rFonts w:ascii="Calibri" w:eastAsia="Times New Roman" w:hAnsi="Calibri" w:cs="Calibri"/>
          <w:color w:val="000000"/>
          <w:lang w:val="en-US" w:eastAsia="ca-ES"/>
        </w:rPr>
        <w:t>(A) Representative images of liver section stained with CK-7 (10X magnification) and (B) Bar diagrams showing the quantification of CK-7 positive area (%). Values are expressed as mean ± SEM. CD: Control; HFGFD: High Fat Glucose Fructose Diet; Chol: Cholesterol; CA: Colic acid; D2-MASLD: HFGFD + 2% Chol + 0.5% CA; D3-MASLD: HFGFD + 0.5% Chol + 0.5% CA; D4-MASLD: HFGFD + 2% Chol; D5-MASLD: HFGFD + 2% Chol + 0.1% CA.</w:t>
      </w:r>
    </w:p>
    <w:p w:rsidR="00082DDA" w:rsidRPr="00EF1462" w:rsidRDefault="00082DDA" w:rsidP="00082DDA">
      <w:pPr>
        <w:rPr>
          <w:rFonts w:cstheme="minorHAnsi"/>
          <w:b/>
          <w:szCs w:val="20"/>
          <w:lang w:val="en-US"/>
        </w:rPr>
      </w:pPr>
      <w:r>
        <w:rPr>
          <w:rFonts w:cstheme="minorHAnsi"/>
          <w:b/>
          <w:noProof/>
          <w:szCs w:val="20"/>
          <w:lang w:val="es-ES" w:eastAsia="es-ES"/>
        </w:rPr>
        <w:lastRenderedPageBreak/>
        <w:drawing>
          <wp:anchor distT="0" distB="0" distL="114300" distR="114300" simplePos="0" relativeHeight="251664384" behindDoc="0" locked="0" layoutInCell="1" allowOverlap="1" wp14:anchorId="29CF7603" wp14:editId="16EF1D85">
            <wp:simplePos x="0" y="0"/>
            <wp:positionH relativeFrom="margin">
              <wp:posOffset>-775384</wp:posOffset>
            </wp:positionH>
            <wp:positionV relativeFrom="paragraph">
              <wp:posOffset>391</wp:posOffset>
            </wp:positionV>
            <wp:extent cx="6868160" cy="7924800"/>
            <wp:effectExtent l="0" t="0" r="889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 Figure 7.jpg"/>
                    <pic:cNvPicPr/>
                  </pic:nvPicPr>
                  <pic:blipFill rotWithShape="1">
                    <a:blip r:embed="rId12" cstate="print">
                      <a:extLst>
                        <a:ext uri="{28A0092B-C50C-407E-A947-70E740481C1C}">
                          <a14:useLocalDpi xmlns:a14="http://schemas.microsoft.com/office/drawing/2010/main" val="0"/>
                        </a:ext>
                      </a:extLst>
                    </a:blip>
                    <a:srcRect t="8216" b="5268"/>
                    <a:stretch/>
                  </pic:blipFill>
                  <pic:spPr bwMode="auto">
                    <a:xfrm>
                      <a:off x="0" y="0"/>
                      <a:ext cx="6868160" cy="79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2298" w:rsidRPr="00EF1462" w:rsidRDefault="00082DDA" w:rsidP="00992298">
      <w:pPr>
        <w:spacing w:after="0" w:line="240" w:lineRule="auto"/>
        <w:jc w:val="both"/>
        <w:rPr>
          <w:rFonts w:ascii="Times New Roman" w:eastAsia="Times New Roman" w:hAnsi="Times New Roman" w:cs="Times New Roman"/>
          <w:sz w:val="24"/>
          <w:szCs w:val="24"/>
          <w:lang w:val="en-US" w:eastAsia="ca-ES"/>
        </w:rPr>
      </w:pPr>
      <w:r w:rsidRPr="00EF1462">
        <w:rPr>
          <w:rFonts w:cstheme="minorHAnsi"/>
          <w:b/>
          <w:szCs w:val="20"/>
          <w:lang w:val="en-US"/>
        </w:rPr>
        <w:br w:type="page"/>
      </w:r>
      <w:r w:rsidR="00992298" w:rsidRPr="00EF1462">
        <w:rPr>
          <w:rFonts w:ascii="Calibri" w:eastAsia="Times New Roman" w:hAnsi="Calibri" w:cs="Calibri"/>
          <w:b/>
          <w:bCs/>
          <w:color w:val="000000"/>
          <w:lang w:val="en-US" w:eastAsia="ca-ES"/>
        </w:rPr>
        <w:lastRenderedPageBreak/>
        <w:t>Supplementary Figure 7. Diet Effect: differences with respect to controls and between diets.</w:t>
      </w:r>
      <w:r w:rsidR="00992298" w:rsidRPr="00EF1462">
        <w:rPr>
          <w:rFonts w:ascii="Calibri" w:eastAsia="Times New Roman" w:hAnsi="Calibri" w:cs="Calibri"/>
          <w:color w:val="000000"/>
          <w:lang w:val="en-US" w:eastAsia="ca-ES"/>
        </w:rPr>
        <w:t> (A) Principal component analysis (PCA) displays a scatter plot of the samples along the first two principal components, calculated using all the analyzed genes. The first component accounts for 38.5% of the total variance, while the second component accounts for 9.8%. Samples from the CD group are mainly located on the left side of the plot, whereas samples from D4-MASLD and D5-MASLD appear on the right, with no clear separation between the two groups. (B) Heatmap of the expression profiles showing 39 differentially expressed genes from the comparison between D5-MASLD and D4-MASLD, using a p-value &lt; 0.01 and a log2 fold change ≥ 1. HFGFD: high-fat glucose-fructose diet; Chol: cholesterol; CA: cholic acid; D4-MASLD: HFGFD + 2% Chol; D5-MASLD: HFGFD + 2% Chol + 0.5% CA.</w:t>
      </w:r>
    </w:p>
    <w:p w:rsidR="00082DDA" w:rsidRPr="00EF1462" w:rsidRDefault="00082DDA" w:rsidP="00082DDA">
      <w:pPr>
        <w:rPr>
          <w:rFonts w:cstheme="minorHAnsi"/>
          <w:b/>
          <w:szCs w:val="20"/>
          <w:lang w:val="en-US"/>
        </w:rPr>
      </w:pPr>
      <w:r w:rsidRPr="00EF1462">
        <w:rPr>
          <w:rFonts w:cstheme="minorHAnsi"/>
          <w:b/>
          <w:szCs w:val="20"/>
          <w:lang w:val="en-US"/>
        </w:rPr>
        <w:t xml:space="preserve"> </w:t>
      </w:r>
    </w:p>
    <w:p w:rsidR="00992298" w:rsidRDefault="00992298" w:rsidP="00082DDA">
      <w:pPr>
        <w:spacing w:line="276" w:lineRule="auto"/>
        <w:jc w:val="both"/>
        <w:rPr>
          <w:rFonts w:cstheme="minorHAnsi"/>
          <w:b/>
          <w:szCs w:val="20"/>
          <w:lang w:val="en-US"/>
        </w:rPr>
      </w:pPr>
    </w:p>
    <w:p w:rsidR="00992298" w:rsidRDefault="00992298" w:rsidP="00082DDA">
      <w:pPr>
        <w:spacing w:line="276" w:lineRule="auto"/>
        <w:jc w:val="both"/>
        <w:rPr>
          <w:rFonts w:cstheme="minorHAnsi"/>
          <w:b/>
          <w:szCs w:val="20"/>
          <w:lang w:val="en-US"/>
        </w:rPr>
      </w:pPr>
    </w:p>
    <w:p w:rsidR="00082DDA" w:rsidRPr="00EF1462" w:rsidRDefault="00082DDA" w:rsidP="00082DDA">
      <w:pPr>
        <w:spacing w:line="276" w:lineRule="auto"/>
        <w:jc w:val="both"/>
        <w:rPr>
          <w:rFonts w:cstheme="minorHAnsi"/>
          <w:b/>
          <w:szCs w:val="20"/>
          <w:lang w:val="en-US"/>
        </w:rPr>
      </w:pPr>
      <w:r>
        <w:rPr>
          <w:rFonts w:cstheme="minorHAnsi"/>
          <w:b/>
          <w:noProof/>
          <w:szCs w:val="20"/>
          <w:lang w:val="es-ES" w:eastAsia="es-ES"/>
        </w:rPr>
        <w:lastRenderedPageBreak/>
        <w:drawing>
          <wp:anchor distT="0" distB="0" distL="114300" distR="114300" simplePos="0" relativeHeight="251665408" behindDoc="0" locked="0" layoutInCell="1" allowOverlap="1" wp14:anchorId="6E4C3548" wp14:editId="7CA4ED4F">
            <wp:simplePos x="0" y="0"/>
            <wp:positionH relativeFrom="margin">
              <wp:posOffset>-199390</wp:posOffset>
            </wp:positionH>
            <wp:positionV relativeFrom="paragraph">
              <wp:posOffset>586</wp:posOffset>
            </wp:positionV>
            <wp:extent cx="5301615" cy="7957820"/>
            <wp:effectExtent l="0" t="0" r="0" b="508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 Figure 8.jpg"/>
                    <pic:cNvPicPr/>
                  </pic:nvPicPr>
                  <pic:blipFill>
                    <a:blip r:embed="rId13" cstate="print">
                      <a:extLst>
                        <a:ext uri="{28A0092B-C50C-407E-A947-70E740481C1C}">
                          <a14:useLocalDpi xmlns:a14="http://schemas.microsoft.com/office/drawing/2010/main" val="0"/>
                        </a:ext>
                      </a:extLst>
                    </a:blip>
                    <a:srcRect l="9392" t="6937" r="7931"/>
                    <a:stretch>
                      <a:fillRect/>
                    </a:stretch>
                  </pic:blipFill>
                  <pic:spPr bwMode="auto">
                    <a:xfrm>
                      <a:off x="0" y="0"/>
                      <a:ext cx="5301615" cy="795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2DDA" w:rsidRDefault="00082DDA" w:rsidP="00082DDA">
      <w:pPr>
        <w:rPr>
          <w:rFonts w:cstheme="minorHAnsi"/>
          <w:b/>
          <w:szCs w:val="20"/>
          <w:lang w:val="en-US"/>
        </w:rPr>
      </w:pPr>
    </w:p>
    <w:p w:rsidR="00992298" w:rsidRDefault="00992298" w:rsidP="00082DDA">
      <w:pPr>
        <w:rPr>
          <w:rFonts w:cstheme="minorHAnsi"/>
          <w:b/>
          <w:szCs w:val="20"/>
          <w:lang w:val="en-US"/>
        </w:rPr>
      </w:pPr>
    </w:p>
    <w:p w:rsidR="00992298" w:rsidRPr="00EF1462" w:rsidRDefault="00992298" w:rsidP="00992298">
      <w:pPr>
        <w:spacing w:after="0" w:line="240" w:lineRule="auto"/>
        <w:jc w:val="both"/>
        <w:rPr>
          <w:rFonts w:ascii="Times New Roman" w:eastAsia="Times New Roman" w:hAnsi="Times New Roman" w:cs="Times New Roman"/>
          <w:sz w:val="24"/>
          <w:szCs w:val="24"/>
          <w:lang w:val="en-US" w:eastAsia="ca-ES"/>
        </w:rPr>
      </w:pPr>
      <w:bookmarkStart w:id="1" w:name="_Hlk182304731"/>
      <w:r>
        <w:rPr>
          <w:rFonts w:cstheme="minorHAnsi"/>
          <w:b/>
          <w:noProof/>
          <w:szCs w:val="20"/>
          <w:lang w:val="es-ES" w:eastAsia="es-ES"/>
        </w:rPr>
        <w:lastRenderedPageBreak/>
        <w:drawing>
          <wp:anchor distT="0" distB="0" distL="114300" distR="114300" simplePos="0" relativeHeight="251666432" behindDoc="0" locked="0" layoutInCell="1" allowOverlap="1" wp14:anchorId="5E30EE1A" wp14:editId="162B45C5">
            <wp:simplePos x="0" y="0"/>
            <wp:positionH relativeFrom="margin">
              <wp:align>center</wp:align>
            </wp:positionH>
            <wp:positionV relativeFrom="paragraph">
              <wp:posOffset>293</wp:posOffset>
            </wp:positionV>
            <wp:extent cx="5932805" cy="427228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 Figure 8.2.jpg"/>
                    <pic:cNvPicPr/>
                  </pic:nvPicPr>
                  <pic:blipFill>
                    <a:blip r:embed="rId14" cstate="print">
                      <a:extLst>
                        <a:ext uri="{28A0092B-C50C-407E-A947-70E740481C1C}">
                          <a14:useLocalDpi xmlns:a14="http://schemas.microsoft.com/office/drawing/2010/main" val="0"/>
                        </a:ext>
                      </a:extLst>
                    </a:blip>
                    <a:srcRect t="6404" b="39597"/>
                    <a:stretch>
                      <a:fillRect/>
                    </a:stretch>
                  </pic:blipFill>
                  <pic:spPr bwMode="auto">
                    <a:xfrm>
                      <a:off x="0" y="0"/>
                      <a:ext cx="5932805" cy="427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1462">
        <w:rPr>
          <w:rFonts w:ascii="Calibri" w:eastAsia="Times New Roman" w:hAnsi="Calibri" w:cs="Calibri"/>
          <w:b/>
          <w:bCs/>
          <w:color w:val="000000"/>
          <w:lang w:val="en-US" w:eastAsia="ca-ES"/>
        </w:rPr>
        <w:t xml:space="preserve">Supplementary Figure 8. Analysis of the biological significance of pathway activation changes induced by MASLD Diets. </w:t>
      </w:r>
      <w:r w:rsidRPr="00EF1462">
        <w:rPr>
          <w:rFonts w:ascii="Calibri" w:eastAsia="Times New Roman" w:hAnsi="Calibri" w:cs="Calibri"/>
          <w:color w:val="000000"/>
          <w:lang w:val="en-US" w:eastAsia="ca-ES"/>
        </w:rPr>
        <w:t>Enrichment analysis produced dot plots of the top 15 GO-BP terms of activated and suppressed pathways based on significantly differentially expressed genes in: D4-MASLD (A), D5-MASLD (B), and D5-MASLD compared with D4-MASLD (C). The size of the dots represents the number of genes associated with each pathway, while the color indicates the significance level. The gene ratio refers to the proportion of genes in the dataset that belong to a given pathway compared to the total number of genes in that pathway.  GO-BP: Gene Ontology-Biological Process; CD: control diet; HFGFD: high-fat glucose-fructose diet; Chol: cholesterol; CA: cholic acid; D4-MASLD: HFGFD + 2% Chol; D5-MASLD: HFGFD + 2% Chol + 0.5% CA.</w:t>
      </w:r>
    </w:p>
    <w:bookmarkEnd w:id="1"/>
    <w:p w:rsidR="00082DDA" w:rsidRDefault="00992298" w:rsidP="00082DDA">
      <w:pPr>
        <w:rPr>
          <w:rFonts w:cstheme="minorHAnsi"/>
          <w:b/>
          <w:szCs w:val="20"/>
          <w:lang w:val="en-US"/>
        </w:rPr>
      </w:pPr>
      <w:r>
        <w:rPr>
          <w:rFonts w:cstheme="minorHAnsi"/>
          <w:b/>
          <w:szCs w:val="20"/>
          <w:lang w:val="en-US"/>
        </w:rPr>
        <w:br w:type="page"/>
      </w:r>
    </w:p>
    <w:p w:rsidR="00992298" w:rsidRDefault="00992298" w:rsidP="00082DDA">
      <w:pPr>
        <w:rPr>
          <w:rFonts w:cstheme="minorHAnsi"/>
          <w:b/>
          <w:szCs w:val="20"/>
          <w:lang w:val="en-US"/>
        </w:rPr>
      </w:pPr>
      <w:r>
        <w:rPr>
          <w:rFonts w:cstheme="minorHAnsi"/>
          <w:b/>
          <w:noProof/>
          <w:szCs w:val="20"/>
          <w:lang w:val="es-ES" w:eastAsia="es-ES"/>
        </w:rPr>
        <w:lastRenderedPageBreak/>
        <w:drawing>
          <wp:anchor distT="0" distB="0" distL="114300" distR="114300" simplePos="0" relativeHeight="251667456" behindDoc="0" locked="0" layoutInCell="1" allowOverlap="1" wp14:anchorId="152066BE" wp14:editId="17124824">
            <wp:simplePos x="0" y="0"/>
            <wp:positionH relativeFrom="margin">
              <wp:align>left</wp:align>
            </wp:positionH>
            <wp:positionV relativeFrom="paragraph">
              <wp:posOffset>586</wp:posOffset>
            </wp:positionV>
            <wp:extent cx="5723255" cy="482854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 Figure 9.jpg"/>
                    <pic:cNvPicPr/>
                  </pic:nvPicPr>
                  <pic:blipFill>
                    <a:blip r:embed="rId15" cstate="print">
                      <a:extLst>
                        <a:ext uri="{28A0092B-C50C-407E-A947-70E740481C1C}">
                          <a14:useLocalDpi xmlns:a14="http://schemas.microsoft.com/office/drawing/2010/main" val="0"/>
                        </a:ext>
                      </a:extLst>
                    </a:blip>
                    <a:srcRect l="10584" t="14322" r="13054"/>
                    <a:stretch>
                      <a:fillRect/>
                    </a:stretch>
                  </pic:blipFill>
                  <pic:spPr bwMode="auto">
                    <a:xfrm>
                      <a:off x="0" y="0"/>
                      <a:ext cx="5723255" cy="482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2298" w:rsidRPr="00EF1462" w:rsidRDefault="00992298" w:rsidP="00992298">
      <w:pPr>
        <w:tabs>
          <w:tab w:val="left" w:pos="720"/>
        </w:tabs>
        <w:spacing w:after="0" w:line="240" w:lineRule="auto"/>
        <w:jc w:val="both"/>
        <w:rPr>
          <w:rFonts w:ascii="Calibri" w:eastAsia="Times New Roman" w:hAnsi="Calibri" w:cs="Calibri"/>
          <w:color w:val="000000"/>
          <w:lang w:val="en-US" w:eastAsia="ca-ES"/>
        </w:rPr>
      </w:pPr>
      <w:r w:rsidRPr="00EF1462">
        <w:rPr>
          <w:rFonts w:ascii="Calibri" w:eastAsia="Times New Roman" w:hAnsi="Calibri" w:cs="Calibri"/>
          <w:b/>
          <w:color w:val="000000"/>
          <w:lang w:val="en-US" w:eastAsia="ca-ES"/>
        </w:rPr>
        <w:t xml:space="preserve">Supplementary Figure </w:t>
      </w:r>
      <w:r>
        <w:rPr>
          <w:rFonts w:ascii="Calibri" w:eastAsia="Times New Roman" w:hAnsi="Calibri" w:cs="Calibri"/>
          <w:b/>
          <w:color w:val="000000"/>
          <w:lang w:val="en-US" w:eastAsia="ca-ES"/>
        </w:rPr>
        <w:t>9</w:t>
      </w:r>
      <w:r w:rsidRPr="00EF1462">
        <w:rPr>
          <w:rFonts w:ascii="Calibri" w:eastAsia="Times New Roman" w:hAnsi="Calibri" w:cs="Calibri"/>
          <w:b/>
          <w:color w:val="000000"/>
          <w:lang w:val="en-US" w:eastAsia="ca-ES"/>
        </w:rPr>
        <w:t xml:space="preserve">. </w:t>
      </w:r>
      <w:r w:rsidRPr="00EF1462">
        <w:rPr>
          <w:rFonts w:ascii="Calibri" w:eastAsia="Times New Roman" w:hAnsi="Calibri" w:cs="Calibri"/>
          <w:b/>
          <w:bCs/>
          <w:color w:val="000000"/>
          <w:lang w:val="en-US" w:eastAsia="ca-ES"/>
        </w:rPr>
        <w:t>Analysis of the biological significance of common changes in human samples from SLD Patients and MASLD diets in rats</w:t>
      </w:r>
      <w:r w:rsidRPr="00EF1462">
        <w:rPr>
          <w:rFonts w:ascii="Calibri" w:eastAsia="Times New Roman" w:hAnsi="Calibri" w:cs="Calibri"/>
          <w:color w:val="000000"/>
          <w:lang w:val="en-US" w:eastAsia="ca-ES"/>
        </w:rPr>
        <w:t>. Venn diagrams illustrate the comparison of significantly associated pathways in both human and rat samples, based on differentially expressed genes relative to their respective controls. Shared elements between humans and rats represent commonly altered GO-BP pathways, related to different disease stages (STEAT and MASH) and the effects of MASLD diets (D4-MASLD and D5-MASLD). GO-BP: Gene Ontology-Biological Process; CTL: healthy human controls; STEAT: human steatosis; MASH: human metabolic-associated steatohepatitis; CD: control diet; HFGFD: high-fat glucose-fructose diet; Chol: cholesterol; CA: cholic acid; D4-MASLD: HFGFD + 2% Chol; D5-MASLD: HFGFD + 2% Chol + 0.5% CA.</w:t>
      </w:r>
    </w:p>
    <w:p w:rsidR="00082DDA" w:rsidRDefault="00082DDA" w:rsidP="00082DDA">
      <w:pPr>
        <w:rPr>
          <w:rFonts w:cstheme="minorHAnsi"/>
          <w:b/>
          <w:szCs w:val="20"/>
          <w:lang w:val="en-US"/>
        </w:rPr>
      </w:pPr>
    </w:p>
    <w:p w:rsidR="00082DDA" w:rsidRDefault="00082DDA" w:rsidP="00082DDA">
      <w:pPr>
        <w:rPr>
          <w:rFonts w:cstheme="minorHAnsi"/>
          <w:b/>
          <w:szCs w:val="20"/>
          <w:lang w:val="en-US"/>
        </w:rPr>
      </w:pPr>
      <w:r w:rsidRPr="008633CA">
        <w:rPr>
          <w:rFonts w:cstheme="minorHAnsi"/>
          <w:b/>
          <w:noProof/>
          <w:szCs w:val="20"/>
          <w:lang w:val="en-US"/>
        </w:rPr>
        <w:lastRenderedPageBreak/>
        <w:drawing>
          <wp:inline distT="0" distB="0" distL="0" distR="0" wp14:anchorId="33663AA3" wp14:editId="73E44379">
            <wp:extent cx="5780840" cy="8015605"/>
            <wp:effectExtent l="0" t="0" r="0" b="4445"/>
            <wp:docPr id="115228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8674" name=""/>
                    <pic:cNvPicPr/>
                  </pic:nvPicPr>
                  <pic:blipFill>
                    <a:blip r:embed="rId16"/>
                    <a:stretch>
                      <a:fillRect/>
                    </a:stretch>
                  </pic:blipFill>
                  <pic:spPr>
                    <a:xfrm>
                      <a:off x="0" y="0"/>
                      <a:ext cx="5793840" cy="8033631"/>
                    </a:xfrm>
                    <a:prstGeom prst="rect">
                      <a:avLst/>
                    </a:prstGeom>
                  </pic:spPr>
                </pic:pic>
              </a:graphicData>
            </a:graphic>
          </wp:inline>
        </w:drawing>
      </w:r>
    </w:p>
    <w:p w:rsidR="00082DDA" w:rsidRDefault="00082DDA" w:rsidP="00082DDA">
      <w:pPr>
        <w:rPr>
          <w:rFonts w:cstheme="minorHAnsi"/>
          <w:b/>
          <w:szCs w:val="20"/>
          <w:lang w:val="en-US"/>
        </w:rPr>
      </w:pPr>
    </w:p>
    <w:p w:rsidR="00082DDA" w:rsidRDefault="00082DDA" w:rsidP="00082DDA">
      <w:pPr>
        <w:rPr>
          <w:rFonts w:cstheme="minorHAnsi"/>
          <w:b/>
          <w:szCs w:val="20"/>
          <w:lang w:val="en-US"/>
        </w:rPr>
      </w:pPr>
    </w:p>
    <w:p w:rsidR="00337696" w:rsidRDefault="00337696"/>
    <w:sectPr w:rsidR="0033769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esru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C2C17"/>
    <w:multiLevelType w:val="hybridMultilevel"/>
    <w:tmpl w:val="7C7C2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67859D1"/>
    <w:multiLevelType w:val="multilevel"/>
    <w:tmpl w:val="6C8CBDD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7B77E64"/>
    <w:multiLevelType w:val="hybridMultilevel"/>
    <w:tmpl w:val="C45447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96"/>
    <w:rsid w:val="00082DDA"/>
    <w:rsid w:val="001458F3"/>
    <w:rsid w:val="00337696"/>
    <w:rsid w:val="009304E5"/>
    <w:rsid w:val="00992298"/>
    <w:rsid w:val="00CF5DAA"/>
    <w:rsid w:val="00E453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D60F0"/>
  <w15:chartTrackingRefBased/>
  <w15:docId w15:val="{65ECC785-553B-4644-BABC-9171053F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7696"/>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7696"/>
    <w:pPr>
      <w:ind w:left="720"/>
      <w:contextualSpacing/>
    </w:pPr>
  </w:style>
  <w:style w:type="paragraph" w:styleId="Textodeglobo">
    <w:name w:val="Balloon Text"/>
    <w:basedOn w:val="Normal"/>
    <w:link w:val="TextodegloboCar"/>
    <w:uiPriority w:val="99"/>
    <w:semiHidden/>
    <w:unhideWhenUsed/>
    <w:rsid w:val="003376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7696"/>
    <w:rPr>
      <w:rFonts w:ascii="Segoe UI" w:hAnsi="Segoe UI" w:cs="Segoe UI"/>
      <w:sz w:val="18"/>
      <w:szCs w:val="18"/>
      <w:lang w:val="en-GB"/>
    </w:rPr>
  </w:style>
  <w:style w:type="paragraph" w:styleId="NormalWeb">
    <w:name w:val="Normal (Web)"/>
    <w:basedOn w:val="Normal"/>
    <w:uiPriority w:val="99"/>
    <w:semiHidden/>
    <w:unhideWhenUsed/>
    <w:rsid w:val="00082DDA"/>
    <w:pPr>
      <w:spacing w:before="100" w:beforeAutospacing="1" w:after="100" w:afterAutospacing="1" w:line="240" w:lineRule="auto"/>
    </w:pPr>
    <w:rPr>
      <w:rFonts w:ascii="Times New Roman" w:eastAsia="Times New Roman" w:hAnsi="Times New Roman" w:cs="Times New Roman"/>
      <w:sz w:val="24"/>
      <w:szCs w:val="24"/>
      <w:lang w:val="ca-ES" w:eastAsia="ca-ES"/>
    </w:rPr>
  </w:style>
  <w:style w:type="table" w:customStyle="1" w:styleId="Tablaconcuadrcula1">
    <w:name w:val="Tabla con cuadrícula1"/>
    <w:basedOn w:val="Tablanormal"/>
    <w:next w:val="Tablaconcuadrcula"/>
    <w:uiPriority w:val="39"/>
    <w:rsid w:val="00082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82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2277668A24340F5BB0F55E46085FE0D"/>
        <w:category>
          <w:name w:val="General"/>
          <w:gallery w:val="placeholder"/>
        </w:category>
        <w:types>
          <w:type w:val="bbPlcHdr"/>
        </w:types>
        <w:behaviors>
          <w:behavior w:val="content"/>
        </w:behaviors>
        <w:guid w:val="{5C3AEABF-1612-4C5B-AAB5-795ACEC0EA90}"/>
      </w:docPartPr>
      <w:docPartBody>
        <w:p w:rsidR="00536028" w:rsidRDefault="00455AE1" w:rsidP="00455AE1">
          <w:pPr>
            <w:pStyle w:val="12277668A24340F5BB0F55E46085FE0D"/>
          </w:pPr>
          <w:r w:rsidRPr="003C127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esru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E8"/>
    <w:rsid w:val="001D72E8"/>
    <w:rsid w:val="00430852"/>
    <w:rsid w:val="00434D95"/>
    <w:rsid w:val="00455AE1"/>
    <w:rsid w:val="00536028"/>
    <w:rsid w:val="009C181A"/>
    <w:rsid w:val="00CE61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55AE1"/>
    <w:rPr>
      <w:color w:val="808080"/>
    </w:rPr>
  </w:style>
  <w:style w:type="paragraph" w:customStyle="1" w:styleId="DD783775F28442C6A8F1413CB5BC5475">
    <w:name w:val="DD783775F28442C6A8F1413CB5BC5475"/>
    <w:rsid w:val="001D72E8"/>
  </w:style>
  <w:style w:type="paragraph" w:customStyle="1" w:styleId="12277668A24340F5BB0F55E46085FE0D">
    <w:name w:val="12277668A24340F5BB0F55E46085FE0D"/>
    <w:rsid w:val="00455A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6AEA9-05CC-4800-9843-23D302F7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2888</Words>
  <Characters>15884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Martell Perez-Alcalde, Maria Nieves</dc:creator>
  <cp:keywords/>
  <dc:description/>
  <cp:lastModifiedBy>Martell Perez-Alcalde, Maria Nieves</cp:lastModifiedBy>
  <cp:revision>5</cp:revision>
  <dcterms:created xsi:type="dcterms:W3CDTF">2025-04-04T09:33:00Z</dcterms:created>
  <dcterms:modified xsi:type="dcterms:W3CDTF">2025-04-04T14:07:00Z</dcterms:modified>
</cp:coreProperties>
</file>