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3D7F0">
      <w:pPr>
        <w:autoSpaceDE w:val="0"/>
        <w:autoSpaceDN w:val="0"/>
        <w:adjustRightInd w:val="0"/>
        <w:snapToGrid w:val="0"/>
        <w:jc w:val="left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b/>
          <w:sz w:val="18"/>
          <w:szCs w:val="18"/>
        </w:rPr>
        <w:t>S Table 1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Soil characteristics of each habitat</w:t>
      </w:r>
      <w:r>
        <w:rPr>
          <w:rFonts w:ascii="Times New Roman" w:hAnsi="Times New Roman" w:eastAsia="宋体" w:cs="Times New Roman"/>
          <w:sz w:val="18"/>
          <w:szCs w:val="18"/>
        </w:rPr>
        <w:t xml:space="preserve"> (mean ± SE)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07"/>
        <w:gridCol w:w="2032"/>
        <w:gridCol w:w="2414"/>
        <w:gridCol w:w="2483"/>
      </w:tblGrid>
      <w:tr w14:paraId="594754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4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5B73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6"/>
                <w:szCs w:val="16"/>
              </w:rPr>
              <w:t>P</w:t>
            </w: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lot</w:t>
            </w:r>
          </w:p>
        </w:tc>
        <w:tc>
          <w:tcPr>
            <w:tcW w:w="1219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37D44"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Soil moisture/%</w:t>
            </w:r>
          </w:p>
        </w:tc>
        <w:tc>
          <w:tcPr>
            <w:tcW w:w="1448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99F4E"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Soil compaction /Mpa</w:t>
            </w:r>
          </w:p>
        </w:tc>
        <w:tc>
          <w:tcPr>
            <w:tcW w:w="149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121B8"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Soil bulk densityg /cm</w:t>
            </w: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  <w:vertAlign w:val="superscript"/>
              </w:rPr>
              <w:t>3</w:t>
            </w:r>
          </w:p>
        </w:tc>
      </w:tr>
      <w:tr w14:paraId="7E98A7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F75A0">
            <w:pPr>
              <w:jc w:val="left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02FDF"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7.1±0.39</w:t>
            </w:r>
          </w:p>
        </w:tc>
        <w:tc>
          <w:tcPr>
            <w:tcW w:w="1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9796A"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0.24±0.01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3DE01"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0.63±0.01</w:t>
            </w:r>
          </w:p>
        </w:tc>
      </w:tr>
      <w:tr w14:paraId="2642E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1E775">
            <w:pPr>
              <w:jc w:val="left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95D3A"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4.02±0.46</w:t>
            </w:r>
          </w:p>
        </w:tc>
        <w:tc>
          <w:tcPr>
            <w:tcW w:w="1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A5F39"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0.17±0.01</w:t>
            </w: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3EFCA"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0.56±0.02</w:t>
            </w:r>
          </w:p>
        </w:tc>
      </w:tr>
      <w:tr w14:paraId="43F9C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4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D35C4">
            <w:pPr>
              <w:jc w:val="left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219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497A3"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2.9±0.08</w:t>
            </w:r>
          </w:p>
        </w:tc>
        <w:tc>
          <w:tcPr>
            <w:tcW w:w="1448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A36BC"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0.12±0.01</w:t>
            </w:r>
          </w:p>
        </w:tc>
        <w:tc>
          <w:tcPr>
            <w:tcW w:w="149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2A110">
            <w:pPr>
              <w:jc w:val="center"/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6"/>
                <w:szCs w:val="16"/>
              </w:rPr>
              <w:t>0.47±0.02</w:t>
            </w:r>
          </w:p>
        </w:tc>
      </w:tr>
    </w:tbl>
    <w:p w14:paraId="2681F2DD">
      <w:pPr>
        <w:autoSpaceDE w:val="0"/>
        <w:autoSpaceDN w:val="0"/>
        <w:rPr>
          <w:rFonts w:ascii="Times New Roman" w:hAnsi="Times New Roman" w:eastAsia="宋体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sz w:val="18"/>
          <w:szCs w:val="18"/>
        </w:rPr>
        <w:t xml:space="preserve">Different lowercase letters in the same column indicate significant differences among plots (p &lt; 0.05). I,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i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nterdunal depression area; II,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g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entle sand slope area, III, </w:t>
      </w: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sz w:val="18"/>
          <w:szCs w:val="18"/>
        </w:rPr>
        <w:t>lope crest area</w:t>
      </w:r>
      <w:r>
        <w:rPr>
          <w:rFonts w:ascii="Times New Roman" w:hAnsi="Times New Roman" w:eastAsia="宋体" w:cs="Times New Roman"/>
          <w:sz w:val="18"/>
          <w:szCs w:val="18"/>
        </w:rPr>
        <w:t>.</w:t>
      </w:r>
    </w:p>
    <w:p w14:paraId="19562C8F">
      <w:pPr>
        <w:autoSpaceDE w:val="0"/>
        <w:autoSpaceDN w:val="0"/>
        <w:rPr>
          <w:rFonts w:ascii="Times New Roman" w:hAnsi="Times New Roman" w:eastAsia="宋体" w:cs="Times New Roman"/>
          <w:b/>
          <w:szCs w:val="21"/>
        </w:rPr>
      </w:pPr>
    </w:p>
    <w:p w14:paraId="5164D2BA">
      <w:pPr>
        <w:rPr>
          <w:rFonts w:hint="eastAsia"/>
        </w:rPr>
      </w:pPr>
      <w:r>
        <w:rPr>
          <w:rFonts w:ascii="Times New Roman" w:hAnsi="Times New Roman" w:eastAsia="等线" w:cs="Times New Roman"/>
          <w:b/>
          <w:bCs/>
          <w:color w:val="000000"/>
          <w:kern w:val="0"/>
          <w:sz w:val="18"/>
          <w:szCs w:val="18"/>
        </w:rPr>
        <w:t xml:space="preserve">S Table 2 </w:t>
      </w:r>
      <w:r>
        <w:rPr>
          <w:rFonts w:hint="eastAsia" w:ascii="Times New Roman" w:hAnsi="Times New Roman" w:eastAsia="等线" w:cs="Times New Roman"/>
          <w:color w:val="000000"/>
          <w:kern w:val="0"/>
          <w:sz w:val="18"/>
          <w:szCs w:val="18"/>
        </w:rPr>
        <w:t xml:space="preserve">The population characteristics of </w:t>
      </w:r>
      <w:r>
        <w:rPr>
          <w:rFonts w:hint="eastAsia" w:ascii="Times New Roman" w:hAnsi="Times New Roman" w:eastAsia="等线" w:cs="Times New Roman"/>
          <w:i/>
          <w:iCs/>
          <w:color w:val="000000"/>
          <w:kern w:val="0"/>
          <w:sz w:val="18"/>
          <w:szCs w:val="18"/>
        </w:rPr>
        <w:t>Agriophyllum pungens</w:t>
      </w:r>
      <w:r>
        <w:rPr>
          <w:rFonts w:hint="eastAsia" w:ascii="Times New Roman" w:hAnsi="Times New Roman" w:eastAsia="等线" w:cs="Times New Roman"/>
          <w:color w:val="000000"/>
          <w:kern w:val="0"/>
          <w:sz w:val="18"/>
          <w:szCs w:val="18"/>
        </w:rPr>
        <w:t xml:space="preserve"> in each plot</w:t>
      </w:r>
      <w:r>
        <w:rPr>
          <w:rFonts w:ascii="Times New Roman" w:hAnsi="Times New Roman" w:eastAsia="等线" w:cs="Times New Roman"/>
          <w:color w:val="000000"/>
          <w:kern w:val="0"/>
          <w:sz w:val="18"/>
          <w:szCs w:val="18"/>
        </w:rPr>
        <w:t xml:space="preserve"> (mean ± SE)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2"/>
        <w:gridCol w:w="1646"/>
        <w:gridCol w:w="1555"/>
        <w:gridCol w:w="1567"/>
        <w:gridCol w:w="2056"/>
      </w:tblGrid>
      <w:tr w14:paraId="395AA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90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DF6B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Pot</w:t>
            </w:r>
          </w:p>
        </w:tc>
        <w:tc>
          <w:tcPr>
            <w:tcW w:w="98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E951C">
            <w:pPr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8"/>
                <w:rFonts w:eastAsia="等线"/>
              </w:rPr>
              <w:t>Anverage Height</w:t>
            </w:r>
            <w:r>
              <w:rPr>
                <w:rStyle w:val="9"/>
                <w:rFonts w:eastAsia="等线"/>
              </w:rPr>
              <w:t xml:space="preserve"> (cm)</w:t>
            </w:r>
          </w:p>
        </w:tc>
        <w:tc>
          <w:tcPr>
            <w:tcW w:w="93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B29B7">
            <w:pPr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8"/>
                <w:rFonts w:eastAsia="等线"/>
              </w:rPr>
              <w:t>Coverage</w:t>
            </w:r>
            <w:r>
              <w:rPr>
                <w:rStyle w:val="10"/>
                <w:rFonts w:eastAsia="等线"/>
              </w:rPr>
              <w:t xml:space="preserve"> (%)</w:t>
            </w:r>
          </w:p>
        </w:tc>
        <w:tc>
          <w:tcPr>
            <w:tcW w:w="94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C2373">
            <w:pPr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sz w:val="18"/>
                <w:szCs w:val="18"/>
              </w:rPr>
              <w:t>Root-shoot ratio</w:t>
            </w:r>
          </w:p>
        </w:tc>
        <w:tc>
          <w:tcPr>
            <w:tcW w:w="123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8E80B">
            <w:pPr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000000"/>
                <w:sz w:val="18"/>
                <w:szCs w:val="18"/>
              </w:rPr>
              <w:t>Root Depth(cm)</w:t>
            </w:r>
          </w:p>
        </w:tc>
      </w:tr>
      <w:tr w14:paraId="16D6F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B3EE9">
            <w:pP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54E7"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15.95 ± 0.15a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AD6BE"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15 ± 0.43c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D1309"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0.27 ± 0.01c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01C35">
            <w:pPr>
              <w:jc w:val="left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12.32 ± 0.19c</w:t>
            </w:r>
          </w:p>
        </w:tc>
      </w:tr>
      <w:tr w14:paraId="4EC7D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74DCC">
            <w:pP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063D3"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8.57 ± 0.38b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271E4"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20 ± 0.58b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8024F"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0.62 ± 0.01b</w:t>
            </w:r>
          </w:p>
        </w:tc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D594F">
            <w:pPr>
              <w:jc w:val="left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14.09± 0.25b</w:t>
            </w:r>
          </w:p>
        </w:tc>
      </w:tr>
      <w:tr w14:paraId="787524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90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7F25F">
            <w:pP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987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A11A9"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7.62 ± 0.20c</w:t>
            </w:r>
          </w:p>
        </w:tc>
        <w:tc>
          <w:tcPr>
            <w:tcW w:w="93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4507F"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21 ± 0.60b</w:t>
            </w:r>
          </w:p>
        </w:tc>
        <w:tc>
          <w:tcPr>
            <w:tcW w:w="940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0D248">
            <w:pPr>
              <w:jc w:val="center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1.19± 0.10a</w:t>
            </w:r>
          </w:p>
        </w:tc>
        <w:tc>
          <w:tcPr>
            <w:tcW w:w="1233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FEC33">
            <w:pPr>
              <w:jc w:val="left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  <w:t>22.03± 0.435a</w:t>
            </w:r>
          </w:p>
        </w:tc>
      </w:tr>
    </w:tbl>
    <w:p w14:paraId="01BE7777">
      <w:pPr>
        <w:adjustRightInd w:val="0"/>
        <w:snapToGrid w:val="0"/>
        <w:jc w:val="left"/>
        <w:rPr>
          <w:rFonts w:ascii="Times New Roman" w:hAnsi="Times New Roman" w:eastAsia="等线" w:cs="Times New Roman"/>
          <w:color w:val="000000"/>
          <w:kern w:val="0"/>
          <w:sz w:val="18"/>
          <w:szCs w:val="18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 w:val="18"/>
          <w:szCs w:val="18"/>
        </w:rPr>
        <w:t xml:space="preserve">Different lowercase letters in the same column indicate significant differences among plots (p &lt; 0.05).I, </w:t>
      </w:r>
      <w:r>
        <w:rPr>
          <w:rFonts w:hint="eastAsia" w:ascii="Times New Roman" w:hAnsi="Times New Roman" w:eastAsia="等线" w:cs="Times New Roman"/>
          <w:color w:val="000000"/>
          <w:kern w:val="0"/>
          <w:sz w:val="18"/>
          <w:szCs w:val="18"/>
          <w:lang w:val="en-US" w:eastAsia="zh-CN"/>
        </w:rPr>
        <w:t>i</w:t>
      </w:r>
      <w:r>
        <w:rPr>
          <w:rFonts w:hint="eastAsia" w:ascii="Times New Roman" w:hAnsi="Times New Roman" w:eastAsia="等线" w:cs="Times New Roman"/>
          <w:color w:val="000000"/>
          <w:kern w:val="0"/>
          <w:sz w:val="18"/>
          <w:szCs w:val="18"/>
        </w:rPr>
        <w:t xml:space="preserve">nterdunal depression area; II, </w:t>
      </w:r>
      <w:r>
        <w:rPr>
          <w:rFonts w:hint="eastAsia" w:ascii="Times New Roman" w:hAnsi="Times New Roman" w:eastAsia="等线" w:cs="Times New Roman"/>
          <w:color w:val="000000"/>
          <w:kern w:val="0"/>
          <w:sz w:val="18"/>
          <w:szCs w:val="18"/>
          <w:lang w:val="en-US" w:eastAsia="zh-CN"/>
        </w:rPr>
        <w:t>g</w:t>
      </w:r>
      <w:r>
        <w:rPr>
          <w:rFonts w:hint="eastAsia" w:ascii="Times New Roman" w:hAnsi="Times New Roman" w:eastAsia="等线" w:cs="Times New Roman"/>
          <w:color w:val="000000"/>
          <w:kern w:val="0"/>
          <w:sz w:val="18"/>
          <w:szCs w:val="18"/>
        </w:rPr>
        <w:t xml:space="preserve">entle sand slope area, III, </w:t>
      </w:r>
      <w:r>
        <w:rPr>
          <w:rFonts w:hint="eastAsia" w:ascii="Times New Roman" w:hAnsi="Times New Roman" w:eastAsia="等线" w:cs="Times New Roman"/>
          <w:color w:val="000000"/>
          <w:kern w:val="0"/>
          <w:sz w:val="18"/>
          <w:szCs w:val="18"/>
          <w:lang w:val="en-US" w:eastAsia="zh-CN"/>
        </w:rPr>
        <w:t>s</w:t>
      </w:r>
      <w:r>
        <w:rPr>
          <w:rFonts w:hint="eastAsia" w:ascii="Times New Roman" w:hAnsi="Times New Roman" w:eastAsia="等线" w:cs="Times New Roman"/>
          <w:color w:val="000000"/>
          <w:kern w:val="0"/>
          <w:sz w:val="18"/>
          <w:szCs w:val="18"/>
        </w:rPr>
        <w:t>lope crest area</w:t>
      </w:r>
      <w:r>
        <w:rPr>
          <w:rFonts w:ascii="Times New Roman" w:hAnsi="Times New Roman" w:eastAsia="等线" w:cs="Times New Roman"/>
          <w:color w:val="000000"/>
          <w:kern w:val="0"/>
          <w:sz w:val="18"/>
          <w:szCs w:val="18"/>
        </w:rPr>
        <w:t>.</w:t>
      </w:r>
    </w:p>
    <w:p w14:paraId="5212C222">
      <w:pPr>
        <w:adjustRightInd w:val="0"/>
        <w:snapToGrid w:val="0"/>
        <w:jc w:val="left"/>
        <w:rPr>
          <w:rFonts w:ascii="Times New Roman" w:hAnsi="Times New Roman" w:eastAsia="宋体" w:cs="Times New Roman"/>
        </w:rPr>
      </w:pPr>
    </w:p>
    <w:p w14:paraId="5C05463F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E5"/>
    <w:rsid w:val="00024E0B"/>
    <w:rsid w:val="00052DE5"/>
    <w:rsid w:val="00124A59"/>
    <w:rsid w:val="00197D9B"/>
    <w:rsid w:val="004D5889"/>
    <w:rsid w:val="00611ADA"/>
    <w:rsid w:val="0067795D"/>
    <w:rsid w:val="00680AC3"/>
    <w:rsid w:val="00693C5A"/>
    <w:rsid w:val="00967C67"/>
    <w:rsid w:val="009714B1"/>
    <w:rsid w:val="009F446D"/>
    <w:rsid w:val="009F7ACA"/>
    <w:rsid w:val="00A17198"/>
    <w:rsid w:val="00AC0D4B"/>
    <w:rsid w:val="00BA3420"/>
    <w:rsid w:val="00BB00ED"/>
    <w:rsid w:val="00BE6D75"/>
    <w:rsid w:val="00C30E26"/>
    <w:rsid w:val="00C64DF1"/>
    <w:rsid w:val="00CD220E"/>
    <w:rsid w:val="00D06FB3"/>
    <w:rsid w:val="00E61AA8"/>
    <w:rsid w:val="1A25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font21"/>
    <w:basedOn w:val="5"/>
    <w:qFormat/>
    <w:uiPriority w:val="0"/>
    <w:rPr>
      <w:rFonts w:hint="default" w:ascii="Times New Roman" w:hAnsi="Times New Roman" w:cs="Times New Roman"/>
      <w:i/>
      <w:iCs/>
      <w:color w:val="000000"/>
      <w:sz w:val="18"/>
      <w:szCs w:val="18"/>
      <w:u w:val="none"/>
    </w:rPr>
  </w:style>
  <w:style w:type="character" w:customStyle="1" w:styleId="9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0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324DE-E9F1-4D35-B075-92D9811215A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765</Characters>
  <Lines>6</Lines>
  <Paragraphs>1</Paragraphs>
  <TotalTime>23</TotalTime>
  <ScaleCrop>false</ScaleCrop>
  <LinksUpToDate>false</LinksUpToDate>
  <CharactersWithSpaces>874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2021-03-24T08:30:00Z</dcterms:created>
  <dc:creator>Administrator</dc:creator>
  <cp:lastModifiedBy>李群</cp:lastModifiedBy>
  <dcterms:modified xsi:type="dcterms:W3CDTF">2025-04-04T07:03:23Z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eyJoZGlkIjoiNjVlNWI2ODVkMzY4OGNmZTBjZmI4ZmM5Y2Y4ZGJmNGQiLCJ1c2VySWQiOiIxNTAwMjgzODM2In0=</vt:lpwstr>
  </property>
  <property fmtid="{D5CDD505-2E9C-101B-9397-08002B2CF9AE}" pid="3" name="KSOProductBuildVer">
    <vt:lpwstr>2052-12.1.0.20305</vt:lpwstr>
  </property>
  <property fmtid="{D5CDD505-2E9C-101B-9397-08002B2CF9AE}" pid="4" name="ICV">
    <vt:lpwstr>F2757C3C71AC417CA2368BD580A0B7B3_12</vt:lpwstr>
  </property>
</Properties>
</file>