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475BF" w14:textId="03B2DFDC" w:rsidR="00093843" w:rsidRPr="002348C0" w:rsidRDefault="00093843" w:rsidP="00093843">
      <w:pPr>
        <w:spacing w:before="100" w:beforeAutospacing="1" w:after="100" w:afterAutospacing="1" w:line="240" w:lineRule="auto"/>
        <w:rPr>
          <w:rFonts w:ascii="Times New Roman" w:eastAsia="Times New Roman" w:hAnsi="Times New Roman" w:cs="Times New Roman"/>
          <w:sz w:val="24"/>
          <w:szCs w:val="24"/>
        </w:rPr>
      </w:pPr>
      <w:r w:rsidRPr="002348C0">
        <w:rPr>
          <w:rFonts w:ascii="Times New Roman" w:eastAsia="Times New Roman" w:hAnsi="Times New Roman" w:cs="Times New Roman"/>
          <w:b/>
          <w:bCs/>
          <w:sz w:val="24"/>
          <w:szCs w:val="24"/>
        </w:rPr>
        <w:t>Supplementary Table S</w:t>
      </w:r>
      <w:r>
        <w:rPr>
          <w:rFonts w:ascii="Times New Roman" w:eastAsia="Times New Roman" w:hAnsi="Times New Roman" w:cs="Times New Roman"/>
          <w:b/>
          <w:bCs/>
          <w:sz w:val="24"/>
          <w:szCs w:val="24"/>
        </w:rPr>
        <w:t>2.</w:t>
      </w:r>
      <w:r w:rsidRPr="002348C0">
        <w:rPr>
          <w:rFonts w:ascii="Times New Roman" w:eastAsia="Times New Roman" w:hAnsi="Times New Roman" w:cs="Times New Roman"/>
          <w:b/>
          <w:bCs/>
          <w:sz w:val="24"/>
          <w:szCs w:val="24"/>
        </w:rPr>
        <w:t xml:space="preserve">1: </w:t>
      </w:r>
      <w:r w:rsidRPr="002348C0">
        <w:rPr>
          <w:rFonts w:ascii="Times New Roman" w:eastAsia="Times New Roman" w:hAnsi="Times New Roman" w:cs="Times New Roman"/>
          <w:sz w:val="24"/>
          <w:szCs w:val="24"/>
        </w:rPr>
        <w:t>Psychometric Properties of Study Variables</w:t>
      </w:r>
    </w:p>
    <w:tbl>
      <w:tblPr>
        <w:tblStyle w:val="TableGrid1"/>
        <w:tblW w:w="5000" w:type="pct"/>
        <w:tblLook w:val="04A0" w:firstRow="1" w:lastRow="0" w:firstColumn="1" w:lastColumn="0" w:noHBand="0" w:noVBand="1"/>
      </w:tblPr>
      <w:tblGrid>
        <w:gridCol w:w="3614"/>
        <w:gridCol w:w="2051"/>
        <w:gridCol w:w="1765"/>
        <w:gridCol w:w="961"/>
        <w:gridCol w:w="959"/>
      </w:tblGrid>
      <w:tr w:rsidR="00093843" w:rsidRPr="002348C0" w14:paraId="07FBF095" w14:textId="77777777" w:rsidTr="003C38E1">
        <w:tc>
          <w:tcPr>
            <w:tcW w:w="1932" w:type="pct"/>
            <w:hideMark/>
          </w:tcPr>
          <w:p w14:paraId="5FD5CA45" w14:textId="77777777" w:rsidR="00093843" w:rsidRPr="002348C0" w:rsidRDefault="00093843" w:rsidP="003C38E1">
            <w:pPr>
              <w:spacing w:line="480" w:lineRule="auto"/>
              <w:rPr>
                <w:rFonts w:ascii="Arial" w:hAnsi="Arial"/>
                <w:b/>
                <w:bCs/>
                <w:szCs w:val="24"/>
              </w:rPr>
            </w:pPr>
            <w:r w:rsidRPr="002348C0">
              <w:rPr>
                <w:rFonts w:ascii="Arial" w:hAnsi="Arial"/>
                <w:b/>
                <w:bCs/>
                <w:szCs w:val="24"/>
              </w:rPr>
              <w:t>Standards / Dimensions</w:t>
            </w:r>
          </w:p>
        </w:tc>
        <w:tc>
          <w:tcPr>
            <w:tcW w:w="1097" w:type="pct"/>
            <w:hideMark/>
          </w:tcPr>
          <w:p w14:paraId="27BDA783" w14:textId="77777777" w:rsidR="00093843" w:rsidRPr="002348C0" w:rsidRDefault="00093843" w:rsidP="003C38E1">
            <w:pPr>
              <w:spacing w:line="480" w:lineRule="auto"/>
              <w:rPr>
                <w:rFonts w:ascii="Arial" w:hAnsi="Arial"/>
                <w:b/>
                <w:bCs/>
                <w:szCs w:val="24"/>
              </w:rPr>
            </w:pPr>
            <w:r w:rsidRPr="002348C0">
              <w:rPr>
                <w:rFonts w:ascii="Arial" w:hAnsi="Arial"/>
                <w:b/>
                <w:bCs/>
                <w:szCs w:val="24"/>
              </w:rPr>
              <w:t>Number of Items (N)</w:t>
            </w:r>
          </w:p>
        </w:tc>
        <w:tc>
          <w:tcPr>
            <w:tcW w:w="944" w:type="pct"/>
            <w:hideMark/>
          </w:tcPr>
          <w:p w14:paraId="31D01C64" w14:textId="77777777" w:rsidR="00093843" w:rsidRPr="002348C0" w:rsidRDefault="00093843" w:rsidP="003C38E1">
            <w:pPr>
              <w:spacing w:line="480" w:lineRule="auto"/>
              <w:rPr>
                <w:rFonts w:ascii="Arial" w:hAnsi="Arial"/>
                <w:b/>
                <w:bCs/>
                <w:szCs w:val="24"/>
              </w:rPr>
            </w:pPr>
            <w:r w:rsidRPr="002348C0">
              <w:rPr>
                <w:rFonts w:ascii="Arial" w:hAnsi="Arial"/>
                <w:b/>
                <w:bCs/>
                <w:szCs w:val="24"/>
              </w:rPr>
              <w:t>Cronbach’s Alpha</w:t>
            </w:r>
          </w:p>
        </w:tc>
        <w:tc>
          <w:tcPr>
            <w:tcW w:w="514" w:type="pct"/>
            <w:hideMark/>
          </w:tcPr>
          <w:p w14:paraId="17DDECF7" w14:textId="77777777" w:rsidR="00093843" w:rsidRPr="002348C0" w:rsidRDefault="00093843" w:rsidP="003C38E1">
            <w:pPr>
              <w:spacing w:line="480" w:lineRule="auto"/>
              <w:rPr>
                <w:rFonts w:ascii="Arial" w:hAnsi="Arial"/>
                <w:b/>
                <w:bCs/>
                <w:szCs w:val="24"/>
              </w:rPr>
            </w:pPr>
            <w:r w:rsidRPr="002348C0">
              <w:rPr>
                <w:rFonts w:ascii="Arial" w:hAnsi="Arial"/>
                <w:b/>
                <w:bCs/>
                <w:szCs w:val="24"/>
              </w:rPr>
              <w:t>CR</w:t>
            </w:r>
          </w:p>
        </w:tc>
        <w:tc>
          <w:tcPr>
            <w:tcW w:w="514" w:type="pct"/>
            <w:hideMark/>
          </w:tcPr>
          <w:p w14:paraId="37D881E5" w14:textId="77777777" w:rsidR="00093843" w:rsidRPr="002348C0" w:rsidRDefault="00093843" w:rsidP="003C38E1">
            <w:pPr>
              <w:spacing w:line="480" w:lineRule="auto"/>
              <w:rPr>
                <w:rFonts w:ascii="Arial" w:hAnsi="Arial"/>
                <w:b/>
                <w:bCs/>
                <w:szCs w:val="24"/>
              </w:rPr>
            </w:pPr>
            <w:r w:rsidRPr="002348C0">
              <w:rPr>
                <w:rFonts w:ascii="Arial" w:hAnsi="Arial"/>
                <w:b/>
                <w:bCs/>
                <w:szCs w:val="24"/>
              </w:rPr>
              <w:t>AVE</w:t>
            </w:r>
          </w:p>
        </w:tc>
      </w:tr>
      <w:tr w:rsidR="00093843" w:rsidRPr="002348C0" w14:paraId="3805CA93" w14:textId="77777777" w:rsidTr="003C38E1">
        <w:tc>
          <w:tcPr>
            <w:tcW w:w="1932" w:type="pct"/>
            <w:hideMark/>
          </w:tcPr>
          <w:p w14:paraId="6749350E" w14:textId="77777777" w:rsidR="00093843" w:rsidRPr="002348C0" w:rsidRDefault="00093843" w:rsidP="003C38E1">
            <w:pPr>
              <w:spacing w:line="480" w:lineRule="auto"/>
              <w:rPr>
                <w:rFonts w:ascii="Arial" w:hAnsi="Arial"/>
                <w:b/>
                <w:bCs/>
                <w:szCs w:val="24"/>
              </w:rPr>
            </w:pPr>
            <w:r w:rsidRPr="002348C0">
              <w:rPr>
                <w:rFonts w:ascii="Arial" w:hAnsi="Arial"/>
                <w:b/>
                <w:bCs/>
                <w:szCs w:val="24"/>
              </w:rPr>
              <w:t>JCI Patient-Centered Standards</w:t>
            </w:r>
          </w:p>
        </w:tc>
        <w:tc>
          <w:tcPr>
            <w:tcW w:w="1097" w:type="pct"/>
            <w:hideMark/>
          </w:tcPr>
          <w:p w14:paraId="7E854B60" w14:textId="77777777" w:rsidR="00093843" w:rsidRPr="002348C0" w:rsidRDefault="00093843" w:rsidP="003C38E1">
            <w:pPr>
              <w:spacing w:line="480" w:lineRule="auto"/>
              <w:rPr>
                <w:rFonts w:ascii="Arial" w:hAnsi="Arial"/>
                <w:szCs w:val="24"/>
              </w:rPr>
            </w:pPr>
          </w:p>
        </w:tc>
        <w:tc>
          <w:tcPr>
            <w:tcW w:w="944" w:type="pct"/>
            <w:hideMark/>
          </w:tcPr>
          <w:p w14:paraId="5AA9944A" w14:textId="77777777" w:rsidR="00093843" w:rsidRPr="002348C0" w:rsidRDefault="00093843" w:rsidP="003C38E1">
            <w:pPr>
              <w:spacing w:line="480" w:lineRule="auto"/>
              <w:rPr>
                <w:rFonts w:ascii="Arial" w:hAnsi="Arial"/>
                <w:szCs w:val="24"/>
              </w:rPr>
            </w:pPr>
          </w:p>
        </w:tc>
        <w:tc>
          <w:tcPr>
            <w:tcW w:w="514" w:type="pct"/>
            <w:hideMark/>
          </w:tcPr>
          <w:p w14:paraId="36AAC2CF" w14:textId="77777777" w:rsidR="00093843" w:rsidRPr="002348C0" w:rsidRDefault="00093843" w:rsidP="003C38E1">
            <w:pPr>
              <w:spacing w:line="480" w:lineRule="auto"/>
              <w:rPr>
                <w:rFonts w:ascii="Arial" w:hAnsi="Arial"/>
                <w:szCs w:val="24"/>
              </w:rPr>
            </w:pPr>
          </w:p>
        </w:tc>
        <w:tc>
          <w:tcPr>
            <w:tcW w:w="514" w:type="pct"/>
            <w:hideMark/>
          </w:tcPr>
          <w:p w14:paraId="50005691" w14:textId="77777777" w:rsidR="00093843" w:rsidRPr="002348C0" w:rsidRDefault="00093843" w:rsidP="003C38E1">
            <w:pPr>
              <w:spacing w:line="480" w:lineRule="auto"/>
              <w:rPr>
                <w:rFonts w:ascii="Arial" w:hAnsi="Arial"/>
                <w:szCs w:val="24"/>
              </w:rPr>
            </w:pPr>
          </w:p>
        </w:tc>
      </w:tr>
      <w:tr w:rsidR="00093843" w:rsidRPr="002348C0" w14:paraId="776C46C3" w14:textId="77777777" w:rsidTr="003C38E1">
        <w:tc>
          <w:tcPr>
            <w:tcW w:w="1932" w:type="pct"/>
            <w:hideMark/>
          </w:tcPr>
          <w:p w14:paraId="51393155" w14:textId="77777777" w:rsidR="00093843" w:rsidRPr="002348C0" w:rsidRDefault="00093843" w:rsidP="003C38E1">
            <w:pPr>
              <w:spacing w:line="480" w:lineRule="auto"/>
              <w:rPr>
                <w:rFonts w:ascii="Arial" w:hAnsi="Arial"/>
                <w:szCs w:val="24"/>
              </w:rPr>
            </w:pPr>
            <w:r w:rsidRPr="002348C0">
              <w:rPr>
                <w:rFonts w:ascii="Arial" w:hAnsi="Arial"/>
                <w:szCs w:val="24"/>
              </w:rPr>
              <w:t>IPSG</w:t>
            </w:r>
          </w:p>
        </w:tc>
        <w:tc>
          <w:tcPr>
            <w:tcW w:w="1097" w:type="pct"/>
            <w:hideMark/>
          </w:tcPr>
          <w:p w14:paraId="1A26721B" w14:textId="77777777" w:rsidR="00093843" w:rsidRPr="002348C0" w:rsidRDefault="00093843" w:rsidP="003C38E1">
            <w:pPr>
              <w:spacing w:line="480" w:lineRule="auto"/>
              <w:rPr>
                <w:rFonts w:ascii="Arial" w:hAnsi="Arial"/>
                <w:szCs w:val="24"/>
              </w:rPr>
            </w:pPr>
            <w:r w:rsidRPr="002348C0">
              <w:rPr>
                <w:rFonts w:ascii="Arial" w:hAnsi="Arial"/>
                <w:szCs w:val="24"/>
              </w:rPr>
              <w:t>9</w:t>
            </w:r>
          </w:p>
        </w:tc>
        <w:tc>
          <w:tcPr>
            <w:tcW w:w="944" w:type="pct"/>
            <w:hideMark/>
          </w:tcPr>
          <w:p w14:paraId="4FF442AF" w14:textId="77777777" w:rsidR="00093843" w:rsidRPr="002348C0" w:rsidRDefault="00093843" w:rsidP="003C38E1">
            <w:pPr>
              <w:spacing w:line="480" w:lineRule="auto"/>
              <w:rPr>
                <w:rFonts w:ascii="Arial" w:hAnsi="Arial"/>
                <w:szCs w:val="24"/>
              </w:rPr>
            </w:pPr>
            <w:r w:rsidRPr="002348C0">
              <w:rPr>
                <w:rFonts w:ascii="Arial" w:hAnsi="Arial"/>
                <w:szCs w:val="24"/>
              </w:rPr>
              <w:t>0.925</w:t>
            </w:r>
          </w:p>
        </w:tc>
        <w:tc>
          <w:tcPr>
            <w:tcW w:w="514" w:type="pct"/>
            <w:hideMark/>
          </w:tcPr>
          <w:p w14:paraId="68AF1B59" w14:textId="77777777" w:rsidR="00093843" w:rsidRPr="002348C0" w:rsidRDefault="00093843" w:rsidP="003C38E1">
            <w:pPr>
              <w:spacing w:line="480" w:lineRule="auto"/>
              <w:rPr>
                <w:rFonts w:ascii="Arial" w:hAnsi="Arial"/>
                <w:szCs w:val="24"/>
              </w:rPr>
            </w:pPr>
            <w:r w:rsidRPr="002348C0">
              <w:rPr>
                <w:rFonts w:ascii="Arial" w:hAnsi="Arial"/>
                <w:szCs w:val="24"/>
              </w:rPr>
              <w:t>0.917</w:t>
            </w:r>
          </w:p>
        </w:tc>
        <w:tc>
          <w:tcPr>
            <w:tcW w:w="514" w:type="pct"/>
            <w:hideMark/>
          </w:tcPr>
          <w:p w14:paraId="20B91521" w14:textId="77777777" w:rsidR="00093843" w:rsidRPr="002348C0" w:rsidRDefault="00093843" w:rsidP="003C38E1">
            <w:pPr>
              <w:spacing w:line="480" w:lineRule="auto"/>
              <w:rPr>
                <w:rFonts w:ascii="Arial" w:hAnsi="Arial"/>
                <w:szCs w:val="24"/>
              </w:rPr>
            </w:pPr>
            <w:r w:rsidRPr="002348C0">
              <w:rPr>
                <w:rFonts w:ascii="Arial" w:hAnsi="Arial"/>
                <w:szCs w:val="24"/>
              </w:rPr>
              <w:t>0.553</w:t>
            </w:r>
          </w:p>
        </w:tc>
      </w:tr>
      <w:tr w:rsidR="00093843" w:rsidRPr="002348C0" w14:paraId="38112918" w14:textId="77777777" w:rsidTr="003C38E1">
        <w:tc>
          <w:tcPr>
            <w:tcW w:w="1932" w:type="pct"/>
            <w:hideMark/>
          </w:tcPr>
          <w:p w14:paraId="0FE39463" w14:textId="77777777" w:rsidR="00093843" w:rsidRPr="002348C0" w:rsidRDefault="00093843" w:rsidP="003C38E1">
            <w:pPr>
              <w:spacing w:line="480" w:lineRule="auto"/>
              <w:rPr>
                <w:rFonts w:ascii="Arial" w:hAnsi="Arial"/>
                <w:szCs w:val="24"/>
              </w:rPr>
            </w:pPr>
            <w:r w:rsidRPr="002348C0">
              <w:rPr>
                <w:rFonts w:ascii="Arial" w:hAnsi="Arial"/>
                <w:szCs w:val="24"/>
              </w:rPr>
              <w:t>ACC</w:t>
            </w:r>
          </w:p>
        </w:tc>
        <w:tc>
          <w:tcPr>
            <w:tcW w:w="1097" w:type="pct"/>
            <w:hideMark/>
          </w:tcPr>
          <w:p w14:paraId="28C06306" w14:textId="77777777" w:rsidR="00093843" w:rsidRPr="002348C0" w:rsidRDefault="00093843" w:rsidP="003C38E1">
            <w:pPr>
              <w:spacing w:line="480" w:lineRule="auto"/>
              <w:rPr>
                <w:rFonts w:ascii="Arial" w:hAnsi="Arial"/>
                <w:szCs w:val="24"/>
              </w:rPr>
            </w:pPr>
            <w:r w:rsidRPr="002348C0">
              <w:rPr>
                <w:rFonts w:ascii="Arial" w:hAnsi="Arial"/>
                <w:szCs w:val="24"/>
              </w:rPr>
              <w:t>7</w:t>
            </w:r>
          </w:p>
        </w:tc>
        <w:tc>
          <w:tcPr>
            <w:tcW w:w="944" w:type="pct"/>
            <w:hideMark/>
          </w:tcPr>
          <w:p w14:paraId="77A39479" w14:textId="77777777" w:rsidR="00093843" w:rsidRPr="002348C0" w:rsidRDefault="00093843" w:rsidP="003C38E1">
            <w:pPr>
              <w:spacing w:line="480" w:lineRule="auto"/>
              <w:rPr>
                <w:rFonts w:ascii="Arial" w:hAnsi="Arial"/>
                <w:szCs w:val="24"/>
              </w:rPr>
            </w:pPr>
            <w:r w:rsidRPr="002348C0">
              <w:rPr>
                <w:rFonts w:ascii="Arial" w:hAnsi="Arial"/>
                <w:szCs w:val="24"/>
              </w:rPr>
              <w:t>0.923</w:t>
            </w:r>
          </w:p>
        </w:tc>
        <w:tc>
          <w:tcPr>
            <w:tcW w:w="514" w:type="pct"/>
            <w:hideMark/>
          </w:tcPr>
          <w:p w14:paraId="5983E81B" w14:textId="77777777" w:rsidR="00093843" w:rsidRPr="002348C0" w:rsidRDefault="00093843" w:rsidP="003C38E1">
            <w:pPr>
              <w:spacing w:line="480" w:lineRule="auto"/>
              <w:rPr>
                <w:rFonts w:ascii="Arial" w:hAnsi="Arial"/>
                <w:szCs w:val="24"/>
              </w:rPr>
            </w:pPr>
            <w:r w:rsidRPr="002348C0">
              <w:rPr>
                <w:rFonts w:ascii="Arial" w:hAnsi="Arial"/>
                <w:szCs w:val="24"/>
              </w:rPr>
              <w:t>0.920</w:t>
            </w:r>
          </w:p>
        </w:tc>
        <w:tc>
          <w:tcPr>
            <w:tcW w:w="514" w:type="pct"/>
            <w:hideMark/>
          </w:tcPr>
          <w:p w14:paraId="346C4148" w14:textId="77777777" w:rsidR="00093843" w:rsidRPr="002348C0" w:rsidRDefault="00093843" w:rsidP="003C38E1">
            <w:pPr>
              <w:spacing w:line="480" w:lineRule="auto"/>
              <w:rPr>
                <w:rFonts w:ascii="Arial" w:hAnsi="Arial"/>
                <w:szCs w:val="24"/>
              </w:rPr>
            </w:pPr>
            <w:r w:rsidRPr="002348C0">
              <w:rPr>
                <w:rFonts w:ascii="Arial" w:hAnsi="Arial"/>
                <w:szCs w:val="24"/>
              </w:rPr>
              <w:t>0.622</w:t>
            </w:r>
          </w:p>
        </w:tc>
      </w:tr>
      <w:tr w:rsidR="00093843" w:rsidRPr="002348C0" w14:paraId="43F11FE0" w14:textId="77777777" w:rsidTr="003C38E1">
        <w:tc>
          <w:tcPr>
            <w:tcW w:w="1932" w:type="pct"/>
            <w:hideMark/>
          </w:tcPr>
          <w:p w14:paraId="05625191" w14:textId="77777777" w:rsidR="00093843" w:rsidRPr="002348C0" w:rsidRDefault="00093843" w:rsidP="003C38E1">
            <w:pPr>
              <w:spacing w:line="480" w:lineRule="auto"/>
              <w:rPr>
                <w:rFonts w:ascii="Arial" w:hAnsi="Arial"/>
                <w:szCs w:val="24"/>
              </w:rPr>
            </w:pPr>
            <w:r w:rsidRPr="002348C0">
              <w:rPr>
                <w:rFonts w:ascii="Arial" w:hAnsi="Arial"/>
                <w:szCs w:val="24"/>
              </w:rPr>
              <w:t>PCC</w:t>
            </w:r>
          </w:p>
        </w:tc>
        <w:tc>
          <w:tcPr>
            <w:tcW w:w="1097" w:type="pct"/>
            <w:hideMark/>
          </w:tcPr>
          <w:p w14:paraId="27DFE4F8" w14:textId="77777777" w:rsidR="00093843" w:rsidRPr="002348C0" w:rsidRDefault="00093843" w:rsidP="003C38E1">
            <w:pPr>
              <w:spacing w:line="480" w:lineRule="auto"/>
              <w:rPr>
                <w:rFonts w:ascii="Arial" w:hAnsi="Arial"/>
                <w:szCs w:val="24"/>
              </w:rPr>
            </w:pPr>
            <w:r w:rsidRPr="002348C0">
              <w:rPr>
                <w:rFonts w:ascii="Arial" w:hAnsi="Arial"/>
                <w:szCs w:val="24"/>
              </w:rPr>
              <w:t>7</w:t>
            </w:r>
          </w:p>
        </w:tc>
        <w:tc>
          <w:tcPr>
            <w:tcW w:w="944" w:type="pct"/>
            <w:hideMark/>
          </w:tcPr>
          <w:p w14:paraId="535FC7E6" w14:textId="77777777" w:rsidR="00093843" w:rsidRPr="002348C0" w:rsidRDefault="00093843" w:rsidP="003C38E1">
            <w:pPr>
              <w:spacing w:line="480" w:lineRule="auto"/>
              <w:rPr>
                <w:rFonts w:ascii="Arial" w:hAnsi="Arial"/>
                <w:szCs w:val="24"/>
              </w:rPr>
            </w:pPr>
            <w:r w:rsidRPr="002348C0">
              <w:rPr>
                <w:rFonts w:ascii="Arial" w:hAnsi="Arial"/>
                <w:szCs w:val="24"/>
              </w:rPr>
              <w:t>0.929</w:t>
            </w:r>
          </w:p>
        </w:tc>
        <w:tc>
          <w:tcPr>
            <w:tcW w:w="514" w:type="pct"/>
            <w:hideMark/>
          </w:tcPr>
          <w:p w14:paraId="1C84992D" w14:textId="77777777" w:rsidR="00093843" w:rsidRPr="002348C0" w:rsidRDefault="00093843" w:rsidP="003C38E1">
            <w:pPr>
              <w:spacing w:line="480" w:lineRule="auto"/>
              <w:rPr>
                <w:rFonts w:ascii="Arial" w:hAnsi="Arial"/>
                <w:szCs w:val="24"/>
              </w:rPr>
            </w:pPr>
            <w:r w:rsidRPr="002348C0">
              <w:rPr>
                <w:rFonts w:ascii="Arial" w:hAnsi="Arial"/>
                <w:szCs w:val="24"/>
              </w:rPr>
              <w:t>0.930</w:t>
            </w:r>
          </w:p>
        </w:tc>
        <w:tc>
          <w:tcPr>
            <w:tcW w:w="514" w:type="pct"/>
            <w:hideMark/>
          </w:tcPr>
          <w:p w14:paraId="25F505ED" w14:textId="77777777" w:rsidR="00093843" w:rsidRPr="002348C0" w:rsidRDefault="00093843" w:rsidP="003C38E1">
            <w:pPr>
              <w:spacing w:line="480" w:lineRule="auto"/>
              <w:rPr>
                <w:rFonts w:ascii="Arial" w:hAnsi="Arial"/>
                <w:szCs w:val="24"/>
              </w:rPr>
            </w:pPr>
            <w:r w:rsidRPr="002348C0">
              <w:rPr>
                <w:rFonts w:ascii="Arial" w:hAnsi="Arial"/>
                <w:szCs w:val="24"/>
              </w:rPr>
              <w:t>0.657</w:t>
            </w:r>
          </w:p>
        </w:tc>
      </w:tr>
      <w:tr w:rsidR="00093843" w:rsidRPr="002348C0" w14:paraId="43EE7E61" w14:textId="77777777" w:rsidTr="003C38E1">
        <w:tc>
          <w:tcPr>
            <w:tcW w:w="1932" w:type="pct"/>
            <w:hideMark/>
          </w:tcPr>
          <w:p w14:paraId="1460B8DB" w14:textId="77777777" w:rsidR="00093843" w:rsidRPr="002348C0" w:rsidRDefault="00093843" w:rsidP="003C38E1">
            <w:pPr>
              <w:spacing w:line="480" w:lineRule="auto"/>
              <w:rPr>
                <w:rFonts w:ascii="Arial" w:hAnsi="Arial"/>
                <w:szCs w:val="24"/>
              </w:rPr>
            </w:pPr>
            <w:r w:rsidRPr="002348C0">
              <w:rPr>
                <w:rFonts w:ascii="Arial" w:hAnsi="Arial"/>
                <w:szCs w:val="24"/>
              </w:rPr>
              <w:t>AOP</w:t>
            </w:r>
          </w:p>
        </w:tc>
        <w:tc>
          <w:tcPr>
            <w:tcW w:w="1097" w:type="pct"/>
            <w:hideMark/>
          </w:tcPr>
          <w:p w14:paraId="5DA07349" w14:textId="77777777" w:rsidR="00093843" w:rsidRPr="002348C0" w:rsidRDefault="00093843" w:rsidP="003C38E1">
            <w:pPr>
              <w:spacing w:line="480" w:lineRule="auto"/>
              <w:rPr>
                <w:rFonts w:ascii="Arial" w:hAnsi="Arial"/>
                <w:szCs w:val="24"/>
              </w:rPr>
            </w:pPr>
            <w:r w:rsidRPr="002348C0">
              <w:rPr>
                <w:rFonts w:ascii="Arial" w:hAnsi="Arial"/>
                <w:szCs w:val="24"/>
              </w:rPr>
              <w:t>5</w:t>
            </w:r>
          </w:p>
        </w:tc>
        <w:tc>
          <w:tcPr>
            <w:tcW w:w="944" w:type="pct"/>
            <w:hideMark/>
          </w:tcPr>
          <w:p w14:paraId="6F73AD87" w14:textId="77777777" w:rsidR="00093843" w:rsidRPr="002348C0" w:rsidRDefault="00093843" w:rsidP="003C38E1">
            <w:pPr>
              <w:spacing w:line="480" w:lineRule="auto"/>
              <w:rPr>
                <w:rFonts w:ascii="Arial" w:hAnsi="Arial"/>
                <w:szCs w:val="24"/>
              </w:rPr>
            </w:pPr>
            <w:r w:rsidRPr="002348C0">
              <w:rPr>
                <w:rFonts w:ascii="Arial" w:hAnsi="Arial"/>
                <w:szCs w:val="24"/>
              </w:rPr>
              <w:t>0.911</w:t>
            </w:r>
          </w:p>
        </w:tc>
        <w:tc>
          <w:tcPr>
            <w:tcW w:w="514" w:type="pct"/>
            <w:hideMark/>
          </w:tcPr>
          <w:p w14:paraId="43D51778" w14:textId="77777777" w:rsidR="00093843" w:rsidRPr="002348C0" w:rsidRDefault="00093843" w:rsidP="003C38E1">
            <w:pPr>
              <w:spacing w:line="480" w:lineRule="auto"/>
              <w:rPr>
                <w:rFonts w:ascii="Arial" w:hAnsi="Arial"/>
                <w:szCs w:val="24"/>
              </w:rPr>
            </w:pPr>
            <w:r w:rsidRPr="002348C0">
              <w:rPr>
                <w:rFonts w:ascii="Arial" w:hAnsi="Arial"/>
                <w:szCs w:val="24"/>
              </w:rPr>
              <w:t>0.919</w:t>
            </w:r>
          </w:p>
        </w:tc>
        <w:tc>
          <w:tcPr>
            <w:tcW w:w="514" w:type="pct"/>
            <w:hideMark/>
          </w:tcPr>
          <w:p w14:paraId="60F22125" w14:textId="77777777" w:rsidR="00093843" w:rsidRPr="002348C0" w:rsidRDefault="00093843" w:rsidP="003C38E1">
            <w:pPr>
              <w:spacing w:line="480" w:lineRule="auto"/>
              <w:rPr>
                <w:rFonts w:ascii="Arial" w:hAnsi="Arial"/>
                <w:szCs w:val="24"/>
              </w:rPr>
            </w:pPr>
            <w:r w:rsidRPr="002348C0">
              <w:rPr>
                <w:rFonts w:ascii="Arial" w:hAnsi="Arial"/>
                <w:szCs w:val="24"/>
              </w:rPr>
              <w:t>0.694</w:t>
            </w:r>
          </w:p>
        </w:tc>
      </w:tr>
      <w:tr w:rsidR="00093843" w:rsidRPr="002348C0" w14:paraId="27090517" w14:textId="77777777" w:rsidTr="003C38E1">
        <w:tc>
          <w:tcPr>
            <w:tcW w:w="1932" w:type="pct"/>
            <w:hideMark/>
          </w:tcPr>
          <w:p w14:paraId="2F732555" w14:textId="77777777" w:rsidR="00093843" w:rsidRPr="002348C0" w:rsidRDefault="00093843" w:rsidP="003C38E1">
            <w:pPr>
              <w:spacing w:line="480" w:lineRule="auto"/>
              <w:rPr>
                <w:rFonts w:ascii="Arial" w:hAnsi="Arial"/>
                <w:szCs w:val="24"/>
              </w:rPr>
            </w:pPr>
            <w:r w:rsidRPr="002348C0">
              <w:rPr>
                <w:rFonts w:ascii="Arial" w:hAnsi="Arial"/>
                <w:szCs w:val="24"/>
              </w:rPr>
              <w:t>COP</w:t>
            </w:r>
          </w:p>
        </w:tc>
        <w:tc>
          <w:tcPr>
            <w:tcW w:w="1097" w:type="pct"/>
            <w:hideMark/>
          </w:tcPr>
          <w:p w14:paraId="6F6BFC67" w14:textId="77777777" w:rsidR="00093843" w:rsidRPr="002348C0" w:rsidRDefault="00093843" w:rsidP="003C38E1">
            <w:pPr>
              <w:spacing w:line="480" w:lineRule="auto"/>
              <w:rPr>
                <w:rFonts w:ascii="Arial" w:hAnsi="Arial"/>
                <w:szCs w:val="24"/>
              </w:rPr>
            </w:pPr>
            <w:r w:rsidRPr="002348C0">
              <w:rPr>
                <w:rFonts w:ascii="Arial" w:hAnsi="Arial"/>
                <w:szCs w:val="24"/>
              </w:rPr>
              <w:t>8</w:t>
            </w:r>
          </w:p>
        </w:tc>
        <w:tc>
          <w:tcPr>
            <w:tcW w:w="944" w:type="pct"/>
            <w:hideMark/>
          </w:tcPr>
          <w:p w14:paraId="1CBEE30C" w14:textId="77777777" w:rsidR="00093843" w:rsidRPr="002348C0" w:rsidRDefault="00093843" w:rsidP="003C38E1">
            <w:pPr>
              <w:spacing w:line="480" w:lineRule="auto"/>
              <w:rPr>
                <w:rFonts w:ascii="Arial" w:hAnsi="Arial"/>
                <w:szCs w:val="24"/>
              </w:rPr>
            </w:pPr>
            <w:r w:rsidRPr="002348C0">
              <w:rPr>
                <w:rFonts w:ascii="Arial" w:hAnsi="Arial"/>
                <w:szCs w:val="24"/>
              </w:rPr>
              <w:t>0.932</w:t>
            </w:r>
          </w:p>
        </w:tc>
        <w:tc>
          <w:tcPr>
            <w:tcW w:w="514" w:type="pct"/>
            <w:hideMark/>
          </w:tcPr>
          <w:p w14:paraId="6218FEED" w14:textId="77777777" w:rsidR="00093843" w:rsidRPr="002348C0" w:rsidRDefault="00093843" w:rsidP="003C38E1">
            <w:pPr>
              <w:spacing w:line="480" w:lineRule="auto"/>
              <w:rPr>
                <w:rFonts w:ascii="Arial" w:hAnsi="Arial"/>
                <w:szCs w:val="24"/>
              </w:rPr>
            </w:pPr>
            <w:r w:rsidRPr="002348C0">
              <w:rPr>
                <w:rFonts w:ascii="Arial" w:hAnsi="Arial"/>
                <w:szCs w:val="24"/>
              </w:rPr>
              <w:t>0.932</w:t>
            </w:r>
          </w:p>
        </w:tc>
        <w:tc>
          <w:tcPr>
            <w:tcW w:w="514" w:type="pct"/>
            <w:hideMark/>
          </w:tcPr>
          <w:p w14:paraId="73F8B372" w14:textId="77777777" w:rsidR="00093843" w:rsidRPr="002348C0" w:rsidRDefault="00093843" w:rsidP="003C38E1">
            <w:pPr>
              <w:spacing w:line="480" w:lineRule="auto"/>
              <w:rPr>
                <w:rFonts w:ascii="Arial" w:hAnsi="Arial"/>
                <w:szCs w:val="24"/>
              </w:rPr>
            </w:pPr>
            <w:r w:rsidRPr="002348C0">
              <w:rPr>
                <w:rFonts w:ascii="Arial" w:hAnsi="Arial"/>
                <w:szCs w:val="24"/>
              </w:rPr>
              <w:t>0.631</w:t>
            </w:r>
          </w:p>
        </w:tc>
      </w:tr>
      <w:tr w:rsidR="00093843" w:rsidRPr="002348C0" w14:paraId="79FFC614" w14:textId="77777777" w:rsidTr="003C38E1">
        <w:tc>
          <w:tcPr>
            <w:tcW w:w="1932" w:type="pct"/>
            <w:hideMark/>
          </w:tcPr>
          <w:p w14:paraId="201513C1" w14:textId="77777777" w:rsidR="00093843" w:rsidRPr="002348C0" w:rsidRDefault="00093843" w:rsidP="003C38E1">
            <w:pPr>
              <w:spacing w:line="480" w:lineRule="auto"/>
              <w:rPr>
                <w:rFonts w:ascii="Arial" w:hAnsi="Arial"/>
                <w:szCs w:val="24"/>
              </w:rPr>
            </w:pPr>
            <w:r w:rsidRPr="002348C0">
              <w:rPr>
                <w:rFonts w:ascii="Arial" w:hAnsi="Arial"/>
                <w:szCs w:val="24"/>
              </w:rPr>
              <w:t>MMU</w:t>
            </w:r>
          </w:p>
        </w:tc>
        <w:tc>
          <w:tcPr>
            <w:tcW w:w="1097" w:type="pct"/>
            <w:hideMark/>
          </w:tcPr>
          <w:p w14:paraId="63A3A921" w14:textId="77777777" w:rsidR="00093843" w:rsidRPr="002348C0" w:rsidRDefault="00093843" w:rsidP="003C38E1">
            <w:pPr>
              <w:spacing w:line="480" w:lineRule="auto"/>
              <w:rPr>
                <w:rFonts w:ascii="Arial" w:hAnsi="Arial"/>
                <w:szCs w:val="24"/>
              </w:rPr>
            </w:pPr>
            <w:r w:rsidRPr="002348C0">
              <w:rPr>
                <w:rFonts w:ascii="Arial" w:hAnsi="Arial"/>
                <w:szCs w:val="24"/>
              </w:rPr>
              <w:t>6</w:t>
            </w:r>
          </w:p>
        </w:tc>
        <w:tc>
          <w:tcPr>
            <w:tcW w:w="944" w:type="pct"/>
            <w:hideMark/>
          </w:tcPr>
          <w:p w14:paraId="189C44E9" w14:textId="77777777" w:rsidR="00093843" w:rsidRPr="002348C0" w:rsidRDefault="00093843" w:rsidP="003C38E1">
            <w:pPr>
              <w:spacing w:line="480" w:lineRule="auto"/>
              <w:rPr>
                <w:rFonts w:ascii="Arial" w:hAnsi="Arial"/>
                <w:szCs w:val="24"/>
              </w:rPr>
            </w:pPr>
            <w:r w:rsidRPr="002348C0">
              <w:rPr>
                <w:rFonts w:ascii="Arial" w:hAnsi="Arial"/>
                <w:szCs w:val="24"/>
              </w:rPr>
              <w:t>0.930</w:t>
            </w:r>
          </w:p>
        </w:tc>
        <w:tc>
          <w:tcPr>
            <w:tcW w:w="514" w:type="pct"/>
            <w:hideMark/>
          </w:tcPr>
          <w:p w14:paraId="3E0C6407" w14:textId="77777777" w:rsidR="00093843" w:rsidRPr="002348C0" w:rsidRDefault="00093843" w:rsidP="003C38E1">
            <w:pPr>
              <w:spacing w:line="480" w:lineRule="auto"/>
              <w:rPr>
                <w:rFonts w:ascii="Arial" w:hAnsi="Arial"/>
                <w:szCs w:val="24"/>
              </w:rPr>
            </w:pPr>
            <w:r w:rsidRPr="002348C0">
              <w:rPr>
                <w:rFonts w:ascii="Arial" w:hAnsi="Arial"/>
                <w:szCs w:val="24"/>
              </w:rPr>
              <w:t>0.927</w:t>
            </w:r>
          </w:p>
        </w:tc>
        <w:tc>
          <w:tcPr>
            <w:tcW w:w="514" w:type="pct"/>
            <w:hideMark/>
          </w:tcPr>
          <w:p w14:paraId="7C664205" w14:textId="77777777" w:rsidR="00093843" w:rsidRPr="002348C0" w:rsidRDefault="00093843" w:rsidP="003C38E1">
            <w:pPr>
              <w:spacing w:line="480" w:lineRule="auto"/>
              <w:rPr>
                <w:rFonts w:ascii="Arial" w:hAnsi="Arial"/>
                <w:szCs w:val="24"/>
              </w:rPr>
            </w:pPr>
            <w:r w:rsidRPr="002348C0">
              <w:rPr>
                <w:rFonts w:ascii="Arial" w:hAnsi="Arial"/>
                <w:szCs w:val="24"/>
              </w:rPr>
              <w:t>0.681</w:t>
            </w:r>
          </w:p>
        </w:tc>
      </w:tr>
      <w:tr w:rsidR="00093843" w:rsidRPr="002348C0" w14:paraId="6C36F2F8" w14:textId="77777777" w:rsidTr="003C38E1">
        <w:tc>
          <w:tcPr>
            <w:tcW w:w="1932" w:type="pct"/>
            <w:hideMark/>
          </w:tcPr>
          <w:p w14:paraId="645EEEAA" w14:textId="77777777" w:rsidR="00093843" w:rsidRPr="002348C0" w:rsidRDefault="00093843" w:rsidP="003C38E1">
            <w:pPr>
              <w:spacing w:line="480" w:lineRule="auto"/>
              <w:rPr>
                <w:rFonts w:ascii="Arial" w:hAnsi="Arial"/>
                <w:b/>
                <w:bCs/>
                <w:szCs w:val="24"/>
              </w:rPr>
            </w:pPr>
            <w:r w:rsidRPr="002348C0">
              <w:rPr>
                <w:rFonts w:ascii="Arial" w:hAnsi="Arial"/>
                <w:b/>
                <w:bCs/>
                <w:szCs w:val="24"/>
              </w:rPr>
              <w:t>Total (JCI Standards)</w:t>
            </w:r>
          </w:p>
        </w:tc>
        <w:tc>
          <w:tcPr>
            <w:tcW w:w="1097" w:type="pct"/>
            <w:hideMark/>
          </w:tcPr>
          <w:p w14:paraId="28F6E446" w14:textId="77777777" w:rsidR="00093843" w:rsidRPr="002348C0" w:rsidRDefault="00093843" w:rsidP="003C38E1">
            <w:pPr>
              <w:spacing w:line="480" w:lineRule="auto"/>
              <w:rPr>
                <w:rFonts w:ascii="Arial" w:hAnsi="Arial"/>
                <w:b/>
                <w:bCs/>
                <w:szCs w:val="24"/>
              </w:rPr>
            </w:pPr>
            <w:r w:rsidRPr="002348C0">
              <w:rPr>
                <w:rFonts w:ascii="Arial" w:hAnsi="Arial"/>
                <w:b/>
                <w:bCs/>
                <w:szCs w:val="24"/>
              </w:rPr>
              <w:t>42</w:t>
            </w:r>
          </w:p>
        </w:tc>
        <w:tc>
          <w:tcPr>
            <w:tcW w:w="944" w:type="pct"/>
            <w:hideMark/>
          </w:tcPr>
          <w:p w14:paraId="22A01637" w14:textId="77777777" w:rsidR="00093843" w:rsidRPr="002348C0" w:rsidRDefault="00093843" w:rsidP="003C38E1">
            <w:pPr>
              <w:spacing w:line="480" w:lineRule="auto"/>
              <w:rPr>
                <w:rFonts w:ascii="Arial" w:hAnsi="Arial"/>
                <w:b/>
                <w:bCs/>
                <w:szCs w:val="24"/>
              </w:rPr>
            </w:pPr>
            <w:r w:rsidRPr="002348C0">
              <w:rPr>
                <w:rFonts w:ascii="Arial" w:hAnsi="Arial"/>
                <w:b/>
                <w:bCs/>
                <w:szCs w:val="24"/>
              </w:rPr>
              <w:t>0.980</w:t>
            </w:r>
          </w:p>
        </w:tc>
        <w:tc>
          <w:tcPr>
            <w:tcW w:w="514" w:type="pct"/>
            <w:hideMark/>
          </w:tcPr>
          <w:p w14:paraId="72810C13" w14:textId="77777777" w:rsidR="00093843" w:rsidRPr="002348C0" w:rsidRDefault="00093843" w:rsidP="003C38E1">
            <w:pPr>
              <w:spacing w:line="480" w:lineRule="auto"/>
              <w:rPr>
                <w:rFonts w:ascii="Arial" w:hAnsi="Arial"/>
                <w:szCs w:val="24"/>
              </w:rPr>
            </w:pPr>
            <w:r w:rsidRPr="002348C0">
              <w:rPr>
                <w:rFonts w:ascii="Arial" w:hAnsi="Arial"/>
                <w:szCs w:val="24"/>
              </w:rPr>
              <w:t>—</w:t>
            </w:r>
          </w:p>
        </w:tc>
        <w:tc>
          <w:tcPr>
            <w:tcW w:w="514" w:type="pct"/>
            <w:hideMark/>
          </w:tcPr>
          <w:p w14:paraId="5BB93BC6" w14:textId="77777777" w:rsidR="00093843" w:rsidRPr="002348C0" w:rsidRDefault="00093843" w:rsidP="003C38E1">
            <w:pPr>
              <w:spacing w:line="480" w:lineRule="auto"/>
              <w:rPr>
                <w:rFonts w:ascii="Arial" w:hAnsi="Arial"/>
                <w:szCs w:val="24"/>
              </w:rPr>
            </w:pPr>
            <w:r w:rsidRPr="002348C0">
              <w:rPr>
                <w:rFonts w:ascii="Arial" w:hAnsi="Arial"/>
                <w:szCs w:val="24"/>
              </w:rPr>
              <w:t>—</w:t>
            </w:r>
          </w:p>
        </w:tc>
      </w:tr>
      <w:tr w:rsidR="00093843" w:rsidRPr="002348C0" w14:paraId="0F72E6A1" w14:textId="77777777" w:rsidTr="003C38E1">
        <w:tc>
          <w:tcPr>
            <w:tcW w:w="1932" w:type="pct"/>
            <w:hideMark/>
          </w:tcPr>
          <w:p w14:paraId="1313FE58" w14:textId="77777777" w:rsidR="00093843" w:rsidRPr="002348C0" w:rsidRDefault="00093843" w:rsidP="003C38E1">
            <w:pPr>
              <w:spacing w:line="480" w:lineRule="auto"/>
              <w:rPr>
                <w:rFonts w:ascii="Arial" w:hAnsi="Arial"/>
                <w:b/>
                <w:bCs/>
                <w:szCs w:val="24"/>
              </w:rPr>
            </w:pPr>
            <w:r w:rsidRPr="002348C0">
              <w:rPr>
                <w:rFonts w:ascii="Arial" w:hAnsi="Arial"/>
                <w:b/>
                <w:bCs/>
                <w:szCs w:val="24"/>
              </w:rPr>
              <w:t>Nursing Performance</w:t>
            </w:r>
          </w:p>
        </w:tc>
        <w:tc>
          <w:tcPr>
            <w:tcW w:w="1097" w:type="pct"/>
            <w:hideMark/>
          </w:tcPr>
          <w:p w14:paraId="01113F54" w14:textId="77777777" w:rsidR="00093843" w:rsidRPr="002348C0" w:rsidRDefault="00093843" w:rsidP="003C38E1">
            <w:pPr>
              <w:spacing w:line="480" w:lineRule="auto"/>
              <w:rPr>
                <w:rFonts w:ascii="Arial" w:hAnsi="Arial"/>
                <w:szCs w:val="24"/>
              </w:rPr>
            </w:pPr>
          </w:p>
        </w:tc>
        <w:tc>
          <w:tcPr>
            <w:tcW w:w="944" w:type="pct"/>
            <w:hideMark/>
          </w:tcPr>
          <w:p w14:paraId="0DB72653" w14:textId="77777777" w:rsidR="00093843" w:rsidRPr="002348C0" w:rsidRDefault="00093843" w:rsidP="003C38E1">
            <w:pPr>
              <w:spacing w:line="480" w:lineRule="auto"/>
              <w:rPr>
                <w:rFonts w:ascii="Arial" w:hAnsi="Arial"/>
                <w:szCs w:val="24"/>
              </w:rPr>
            </w:pPr>
          </w:p>
        </w:tc>
        <w:tc>
          <w:tcPr>
            <w:tcW w:w="514" w:type="pct"/>
            <w:hideMark/>
          </w:tcPr>
          <w:p w14:paraId="46460975" w14:textId="77777777" w:rsidR="00093843" w:rsidRPr="002348C0" w:rsidRDefault="00093843" w:rsidP="003C38E1">
            <w:pPr>
              <w:spacing w:line="480" w:lineRule="auto"/>
              <w:rPr>
                <w:rFonts w:ascii="Arial" w:hAnsi="Arial"/>
                <w:szCs w:val="24"/>
              </w:rPr>
            </w:pPr>
          </w:p>
        </w:tc>
        <w:tc>
          <w:tcPr>
            <w:tcW w:w="514" w:type="pct"/>
            <w:hideMark/>
          </w:tcPr>
          <w:p w14:paraId="07E5A18A" w14:textId="77777777" w:rsidR="00093843" w:rsidRPr="002348C0" w:rsidRDefault="00093843" w:rsidP="003C38E1">
            <w:pPr>
              <w:spacing w:line="480" w:lineRule="auto"/>
              <w:rPr>
                <w:rFonts w:ascii="Arial" w:hAnsi="Arial"/>
                <w:szCs w:val="24"/>
              </w:rPr>
            </w:pPr>
          </w:p>
        </w:tc>
      </w:tr>
      <w:tr w:rsidR="00093843" w:rsidRPr="002348C0" w14:paraId="59E8400C" w14:textId="77777777" w:rsidTr="003C38E1">
        <w:tc>
          <w:tcPr>
            <w:tcW w:w="1932" w:type="pct"/>
            <w:hideMark/>
          </w:tcPr>
          <w:p w14:paraId="46066A81" w14:textId="77777777" w:rsidR="00093843" w:rsidRPr="002348C0" w:rsidRDefault="00093843" w:rsidP="003C38E1">
            <w:pPr>
              <w:spacing w:line="480" w:lineRule="auto"/>
              <w:rPr>
                <w:rFonts w:ascii="Arial" w:hAnsi="Arial"/>
                <w:szCs w:val="24"/>
              </w:rPr>
            </w:pPr>
            <w:r w:rsidRPr="002348C0">
              <w:rPr>
                <w:rFonts w:ascii="Arial" w:hAnsi="Arial"/>
                <w:szCs w:val="24"/>
              </w:rPr>
              <w:t>Performance Efficiency</w:t>
            </w:r>
          </w:p>
        </w:tc>
        <w:tc>
          <w:tcPr>
            <w:tcW w:w="1097" w:type="pct"/>
            <w:hideMark/>
          </w:tcPr>
          <w:p w14:paraId="7F30C3A8" w14:textId="77777777" w:rsidR="00093843" w:rsidRPr="002348C0" w:rsidRDefault="00093843" w:rsidP="003C38E1">
            <w:pPr>
              <w:spacing w:line="480" w:lineRule="auto"/>
              <w:rPr>
                <w:rFonts w:ascii="Arial" w:hAnsi="Arial"/>
                <w:szCs w:val="24"/>
              </w:rPr>
            </w:pPr>
            <w:r w:rsidRPr="002348C0">
              <w:rPr>
                <w:rFonts w:ascii="Arial" w:hAnsi="Arial"/>
                <w:szCs w:val="24"/>
              </w:rPr>
              <w:t>5</w:t>
            </w:r>
          </w:p>
        </w:tc>
        <w:tc>
          <w:tcPr>
            <w:tcW w:w="944" w:type="pct"/>
            <w:hideMark/>
          </w:tcPr>
          <w:p w14:paraId="0CCEFA59" w14:textId="77777777" w:rsidR="00093843" w:rsidRPr="002348C0" w:rsidRDefault="00093843" w:rsidP="003C38E1">
            <w:pPr>
              <w:spacing w:line="480" w:lineRule="auto"/>
              <w:rPr>
                <w:rFonts w:ascii="Arial" w:hAnsi="Arial"/>
                <w:szCs w:val="24"/>
              </w:rPr>
            </w:pPr>
            <w:r w:rsidRPr="002348C0">
              <w:rPr>
                <w:rFonts w:ascii="Arial" w:hAnsi="Arial"/>
                <w:szCs w:val="24"/>
              </w:rPr>
              <w:t>0.897</w:t>
            </w:r>
          </w:p>
        </w:tc>
        <w:tc>
          <w:tcPr>
            <w:tcW w:w="514" w:type="pct"/>
            <w:hideMark/>
          </w:tcPr>
          <w:p w14:paraId="7B66D49D" w14:textId="77777777" w:rsidR="00093843" w:rsidRPr="002348C0" w:rsidRDefault="00093843" w:rsidP="003C38E1">
            <w:pPr>
              <w:spacing w:line="480" w:lineRule="auto"/>
              <w:rPr>
                <w:rFonts w:ascii="Arial" w:hAnsi="Arial"/>
                <w:szCs w:val="24"/>
              </w:rPr>
            </w:pPr>
            <w:r w:rsidRPr="002348C0">
              <w:rPr>
                <w:rFonts w:ascii="Arial" w:hAnsi="Arial"/>
                <w:szCs w:val="24"/>
              </w:rPr>
              <w:t>0.885</w:t>
            </w:r>
          </w:p>
        </w:tc>
        <w:tc>
          <w:tcPr>
            <w:tcW w:w="514" w:type="pct"/>
            <w:hideMark/>
          </w:tcPr>
          <w:p w14:paraId="32F7724A" w14:textId="77777777" w:rsidR="00093843" w:rsidRPr="002348C0" w:rsidRDefault="00093843" w:rsidP="003C38E1">
            <w:pPr>
              <w:spacing w:line="480" w:lineRule="auto"/>
              <w:rPr>
                <w:rFonts w:ascii="Arial" w:hAnsi="Arial"/>
                <w:szCs w:val="24"/>
              </w:rPr>
            </w:pPr>
            <w:r w:rsidRPr="002348C0">
              <w:rPr>
                <w:rFonts w:ascii="Arial" w:hAnsi="Arial"/>
                <w:szCs w:val="24"/>
              </w:rPr>
              <w:t>0.606</w:t>
            </w:r>
          </w:p>
        </w:tc>
      </w:tr>
      <w:tr w:rsidR="00093843" w:rsidRPr="002348C0" w14:paraId="227EDD33" w14:textId="77777777" w:rsidTr="003C38E1">
        <w:tc>
          <w:tcPr>
            <w:tcW w:w="1932" w:type="pct"/>
            <w:hideMark/>
          </w:tcPr>
          <w:p w14:paraId="3DEDEAEB" w14:textId="77777777" w:rsidR="00093843" w:rsidRPr="002348C0" w:rsidRDefault="00093843" w:rsidP="003C38E1">
            <w:pPr>
              <w:spacing w:line="480" w:lineRule="auto"/>
              <w:rPr>
                <w:rFonts w:ascii="Arial" w:hAnsi="Arial"/>
                <w:szCs w:val="24"/>
              </w:rPr>
            </w:pPr>
            <w:r w:rsidRPr="002348C0">
              <w:rPr>
                <w:rFonts w:ascii="Arial" w:hAnsi="Arial"/>
                <w:szCs w:val="24"/>
              </w:rPr>
              <w:t>Performance Effectiveness</w:t>
            </w:r>
          </w:p>
        </w:tc>
        <w:tc>
          <w:tcPr>
            <w:tcW w:w="1097" w:type="pct"/>
            <w:hideMark/>
          </w:tcPr>
          <w:p w14:paraId="6B5A1C0D" w14:textId="77777777" w:rsidR="00093843" w:rsidRPr="002348C0" w:rsidRDefault="00093843" w:rsidP="003C38E1">
            <w:pPr>
              <w:spacing w:line="480" w:lineRule="auto"/>
              <w:rPr>
                <w:rFonts w:ascii="Arial" w:hAnsi="Arial"/>
                <w:szCs w:val="24"/>
              </w:rPr>
            </w:pPr>
            <w:r w:rsidRPr="002348C0">
              <w:rPr>
                <w:rFonts w:ascii="Arial" w:hAnsi="Arial"/>
                <w:szCs w:val="24"/>
              </w:rPr>
              <w:t>4</w:t>
            </w:r>
          </w:p>
        </w:tc>
        <w:tc>
          <w:tcPr>
            <w:tcW w:w="944" w:type="pct"/>
            <w:hideMark/>
          </w:tcPr>
          <w:p w14:paraId="7AF30106" w14:textId="77777777" w:rsidR="00093843" w:rsidRPr="002348C0" w:rsidRDefault="00093843" w:rsidP="003C38E1">
            <w:pPr>
              <w:spacing w:line="480" w:lineRule="auto"/>
              <w:rPr>
                <w:rFonts w:ascii="Arial" w:hAnsi="Arial"/>
                <w:szCs w:val="24"/>
              </w:rPr>
            </w:pPr>
            <w:r w:rsidRPr="002348C0">
              <w:rPr>
                <w:rFonts w:ascii="Arial" w:hAnsi="Arial"/>
                <w:szCs w:val="24"/>
              </w:rPr>
              <w:t>0.922</w:t>
            </w:r>
          </w:p>
        </w:tc>
        <w:tc>
          <w:tcPr>
            <w:tcW w:w="514" w:type="pct"/>
            <w:hideMark/>
          </w:tcPr>
          <w:p w14:paraId="577B4F5F" w14:textId="77777777" w:rsidR="00093843" w:rsidRPr="002348C0" w:rsidRDefault="00093843" w:rsidP="003C38E1">
            <w:pPr>
              <w:spacing w:line="480" w:lineRule="auto"/>
              <w:rPr>
                <w:rFonts w:ascii="Arial" w:hAnsi="Arial"/>
                <w:szCs w:val="24"/>
              </w:rPr>
            </w:pPr>
            <w:r w:rsidRPr="002348C0">
              <w:rPr>
                <w:rFonts w:ascii="Arial" w:hAnsi="Arial"/>
                <w:szCs w:val="24"/>
              </w:rPr>
              <w:t>0.922</w:t>
            </w:r>
          </w:p>
        </w:tc>
        <w:tc>
          <w:tcPr>
            <w:tcW w:w="514" w:type="pct"/>
            <w:hideMark/>
          </w:tcPr>
          <w:p w14:paraId="30A0C3A8" w14:textId="77777777" w:rsidR="00093843" w:rsidRPr="002348C0" w:rsidRDefault="00093843" w:rsidP="003C38E1">
            <w:pPr>
              <w:spacing w:line="480" w:lineRule="auto"/>
              <w:rPr>
                <w:rFonts w:ascii="Arial" w:hAnsi="Arial"/>
                <w:szCs w:val="24"/>
              </w:rPr>
            </w:pPr>
            <w:r w:rsidRPr="002348C0">
              <w:rPr>
                <w:rFonts w:ascii="Arial" w:hAnsi="Arial"/>
                <w:szCs w:val="24"/>
              </w:rPr>
              <w:t>0.749</w:t>
            </w:r>
          </w:p>
        </w:tc>
      </w:tr>
      <w:tr w:rsidR="00093843" w:rsidRPr="002348C0" w14:paraId="439C21A2" w14:textId="77777777" w:rsidTr="003C38E1">
        <w:tc>
          <w:tcPr>
            <w:tcW w:w="1932" w:type="pct"/>
            <w:hideMark/>
          </w:tcPr>
          <w:p w14:paraId="77F8A6D8" w14:textId="77777777" w:rsidR="00093843" w:rsidRPr="002348C0" w:rsidRDefault="00093843" w:rsidP="003C38E1">
            <w:pPr>
              <w:spacing w:line="480" w:lineRule="auto"/>
              <w:rPr>
                <w:rFonts w:ascii="Arial" w:hAnsi="Arial"/>
                <w:szCs w:val="24"/>
              </w:rPr>
            </w:pPr>
            <w:r w:rsidRPr="002348C0">
              <w:rPr>
                <w:rFonts w:ascii="Arial" w:hAnsi="Arial"/>
                <w:szCs w:val="24"/>
              </w:rPr>
              <w:t>Performance Indicators</w:t>
            </w:r>
          </w:p>
        </w:tc>
        <w:tc>
          <w:tcPr>
            <w:tcW w:w="1097" w:type="pct"/>
            <w:hideMark/>
          </w:tcPr>
          <w:p w14:paraId="1925AAF3" w14:textId="77777777" w:rsidR="00093843" w:rsidRPr="002348C0" w:rsidRDefault="00093843" w:rsidP="003C38E1">
            <w:pPr>
              <w:spacing w:line="480" w:lineRule="auto"/>
              <w:rPr>
                <w:rFonts w:ascii="Arial" w:hAnsi="Arial"/>
                <w:szCs w:val="24"/>
              </w:rPr>
            </w:pPr>
            <w:r w:rsidRPr="002348C0">
              <w:rPr>
                <w:rFonts w:ascii="Arial" w:hAnsi="Arial"/>
                <w:szCs w:val="24"/>
              </w:rPr>
              <w:t>15</w:t>
            </w:r>
          </w:p>
        </w:tc>
        <w:tc>
          <w:tcPr>
            <w:tcW w:w="944" w:type="pct"/>
            <w:hideMark/>
          </w:tcPr>
          <w:p w14:paraId="551BF721" w14:textId="77777777" w:rsidR="00093843" w:rsidRPr="002348C0" w:rsidRDefault="00093843" w:rsidP="003C38E1">
            <w:pPr>
              <w:spacing w:line="480" w:lineRule="auto"/>
              <w:rPr>
                <w:rFonts w:ascii="Arial" w:hAnsi="Arial"/>
                <w:szCs w:val="24"/>
              </w:rPr>
            </w:pPr>
            <w:r w:rsidRPr="002348C0">
              <w:rPr>
                <w:rFonts w:ascii="Arial" w:hAnsi="Arial"/>
                <w:szCs w:val="24"/>
              </w:rPr>
              <w:t>0.944</w:t>
            </w:r>
          </w:p>
        </w:tc>
        <w:tc>
          <w:tcPr>
            <w:tcW w:w="514" w:type="pct"/>
            <w:hideMark/>
          </w:tcPr>
          <w:p w14:paraId="2CE49870" w14:textId="77777777" w:rsidR="00093843" w:rsidRPr="002348C0" w:rsidRDefault="00093843" w:rsidP="003C38E1">
            <w:pPr>
              <w:spacing w:line="480" w:lineRule="auto"/>
              <w:rPr>
                <w:rFonts w:ascii="Arial" w:hAnsi="Arial"/>
                <w:szCs w:val="24"/>
              </w:rPr>
            </w:pPr>
            <w:r w:rsidRPr="002348C0">
              <w:rPr>
                <w:rFonts w:ascii="Arial" w:hAnsi="Arial"/>
                <w:szCs w:val="24"/>
              </w:rPr>
              <w:t>0.940</w:t>
            </w:r>
          </w:p>
        </w:tc>
        <w:tc>
          <w:tcPr>
            <w:tcW w:w="514" w:type="pct"/>
            <w:hideMark/>
          </w:tcPr>
          <w:p w14:paraId="58B8C64B" w14:textId="77777777" w:rsidR="00093843" w:rsidRPr="002348C0" w:rsidRDefault="00093843" w:rsidP="003C38E1">
            <w:pPr>
              <w:spacing w:line="480" w:lineRule="auto"/>
              <w:rPr>
                <w:rFonts w:ascii="Arial" w:hAnsi="Arial"/>
                <w:szCs w:val="24"/>
              </w:rPr>
            </w:pPr>
            <w:r w:rsidRPr="002348C0">
              <w:rPr>
                <w:rFonts w:ascii="Arial" w:hAnsi="Arial"/>
                <w:szCs w:val="24"/>
              </w:rPr>
              <w:t>0.513</w:t>
            </w:r>
          </w:p>
        </w:tc>
      </w:tr>
      <w:tr w:rsidR="00093843" w:rsidRPr="002348C0" w14:paraId="52C7CC22" w14:textId="77777777" w:rsidTr="003C38E1">
        <w:tc>
          <w:tcPr>
            <w:tcW w:w="1932" w:type="pct"/>
            <w:hideMark/>
          </w:tcPr>
          <w:p w14:paraId="57C31D64" w14:textId="77777777" w:rsidR="00093843" w:rsidRPr="002348C0" w:rsidRDefault="00093843" w:rsidP="003C38E1">
            <w:pPr>
              <w:spacing w:line="480" w:lineRule="auto"/>
              <w:rPr>
                <w:rFonts w:ascii="Arial" w:hAnsi="Arial"/>
                <w:b/>
                <w:bCs/>
                <w:szCs w:val="24"/>
              </w:rPr>
            </w:pPr>
            <w:r w:rsidRPr="002348C0">
              <w:rPr>
                <w:rFonts w:ascii="Arial" w:hAnsi="Arial"/>
                <w:b/>
                <w:bCs/>
                <w:szCs w:val="24"/>
              </w:rPr>
              <w:t>Total (Nursing Performance)</w:t>
            </w:r>
          </w:p>
        </w:tc>
        <w:tc>
          <w:tcPr>
            <w:tcW w:w="1097" w:type="pct"/>
            <w:hideMark/>
          </w:tcPr>
          <w:p w14:paraId="734B617D" w14:textId="77777777" w:rsidR="00093843" w:rsidRPr="002348C0" w:rsidRDefault="00093843" w:rsidP="003C38E1">
            <w:pPr>
              <w:spacing w:line="480" w:lineRule="auto"/>
              <w:rPr>
                <w:rFonts w:ascii="Arial" w:hAnsi="Arial"/>
                <w:b/>
                <w:bCs/>
                <w:szCs w:val="24"/>
              </w:rPr>
            </w:pPr>
            <w:r w:rsidRPr="002348C0">
              <w:rPr>
                <w:rFonts w:ascii="Arial" w:hAnsi="Arial"/>
                <w:b/>
                <w:bCs/>
                <w:szCs w:val="24"/>
              </w:rPr>
              <w:t>24</w:t>
            </w:r>
          </w:p>
        </w:tc>
        <w:tc>
          <w:tcPr>
            <w:tcW w:w="944" w:type="pct"/>
            <w:hideMark/>
          </w:tcPr>
          <w:p w14:paraId="2DE7E249" w14:textId="77777777" w:rsidR="00093843" w:rsidRPr="002348C0" w:rsidRDefault="00093843" w:rsidP="003C38E1">
            <w:pPr>
              <w:spacing w:line="480" w:lineRule="auto"/>
              <w:rPr>
                <w:rFonts w:ascii="Arial" w:hAnsi="Arial"/>
                <w:b/>
                <w:bCs/>
                <w:szCs w:val="24"/>
              </w:rPr>
            </w:pPr>
            <w:r w:rsidRPr="002348C0">
              <w:rPr>
                <w:rFonts w:ascii="Arial" w:hAnsi="Arial"/>
                <w:b/>
                <w:bCs/>
                <w:szCs w:val="24"/>
              </w:rPr>
              <w:t>0.956</w:t>
            </w:r>
          </w:p>
        </w:tc>
        <w:tc>
          <w:tcPr>
            <w:tcW w:w="514" w:type="pct"/>
            <w:hideMark/>
          </w:tcPr>
          <w:p w14:paraId="33E0D752" w14:textId="77777777" w:rsidR="00093843" w:rsidRPr="002348C0" w:rsidRDefault="00093843" w:rsidP="003C38E1">
            <w:pPr>
              <w:spacing w:line="480" w:lineRule="auto"/>
              <w:rPr>
                <w:rFonts w:ascii="Arial" w:hAnsi="Arial"/>
                <w:szCs w:val="24"/>
              </w:rPr>
            </w:pPr>
            <w:r w:rsidRPr="002348C0">
              <w:rPr>
                <w:rFonts w:ascii="Arial" w:hAnsi="Arial"/>
                <w:szCs w:val="24"/>
              </w:rPr>
              <w:t>—</w:t>
            </w:r>
          </w:p>
        </w:tc>
        <w:tc>
          <w:tcPr>
            <w:tcW w:w="514" w:type="pct"/>
            <w:hideMark/>
          </w:tcPr>
          <w:p w14:paraId="53B14598" w14:textId="77777777" w:rsidR="00093843" w:rsidRPr="002348C0" w:rsidRDefault="00093843" w:rsidP="003C38E1">
            <w:pPr>
              <w:spacing w:line="480" w:lineRule="auto"/>
              <w:rPr>
                <w:rFonts w:ascii="Arial" w:hAnsi="Arial"/>
                <w:szCs w:val="24"/>
              </w:rPr>
            </w:pPr>
            <w:r w:rsidRPr="002348C0">
              <w:rPr>
                <w:rFonts w:ascii="Arial" w:hAnsi="Arial"/>
                <w:szCs w:val="24"/>
              </w:rPr>
              <w:t>—</w:t>
            </w:r>
          </w:p>
        </w:tc>
      </w:tr>
      <w:tr w:rsidR="00093843" w:rsidRPr="002348C0" w14:paraId="47FFD176" w14:textId="77777777" w:rsidTr="003C38E1">
        <w:tc>
          <w:tcPr>
            <w:tcW w:w="1932" w:type="pct"/>
            <w:hideMark/>
          </w:tcPr>
          <w:p w14:paraId="55EF0E1D" w14:textId="77777777" w:rsidR="00093843" w:rsidRPr="002348C0" w:rsidRDefault="00093843" w:rsidP="003C38E1">
            <w:pPr>
              <w:spacing w:line="480" w:lineRule="auto"/>
              <w:rPr>
                <w:rFonts w:ascii="Arial" w:hAnsi="Arial"/>
                <w:b/>
                <w:bCs/>
                <w:szCs w:val="24"/>
              </w:rPr>
            </w:pPr>
            <w:r w:rsidRPr="002348C0">
              <w:rPr>
                <w:rFonts w:ascii="Arial" w:hAnsi="Arial"/>
                <w:b/>
                <w:bCs/>
                <w:szCs w:val="24"/>
              </w:rPr>
              <w:t>Overall Total (Scored Items)</w:t>
            </w:r>
          </w:p>
        </w:tc>
        <w:tc>
          <w:tcPr>
            <w:tcW w:w="1097" w:type="pct"/>
            <w:hideMark/>
          </w:tcPr>
          <w:p w14:paraId="4EFD5F9A" w14:textId="77777777" w:rsidR="00093843" w:rsidRPr="002348C0" w:rsidRDefault="00093843" w:rsidP="003C38E1">
            <w:pPr>
              <w:spacing w:line="480" w:lineRule="auto"/>
              <w:rPr>
                <w:rFonts w:ascii="Arial" w:hAnsi="Arial"/>
                <w:b/>
                <w:bCs/>
                <w:szCs w:val="24"/>
              </w:rPr>
            </w:pPr>
            <w:r w:rsidRPr="002348C0">
              <w:rPr>
                <w:rFonts w:ascii="Arial" w:hAnsi="Arial"/>
                <w:b/>
                <w:bCs/>
                <w:szCs w:val="24"/>
              </w:rPr>
              <w:t>66</w:t>
            </w:r>
          </w:p>
        </w:tc>
        <w:tc>
          <w:tcPr>
            <w:tcW w:w="944" w:type="pct"/>
            <w:hideMark/>
          </w:tcPr>
          <w:p w14:paraId="69497474" w14:textId="77777777" w:rsidR="00093843" w:rsidRPr="002348C0" w:rsidRDefault="00093843" w:rsidP="003C38E1">
            <w:pPr>
              <w:spacing w:line="480" w:lineRule="auto"/>
              <w:rPr>
                <w:rFonts w:ascii="Arial" w:hAnsi="Arial"/>
                <w:b/>
                <w:bCs/>
                <w:szCs w:val="24"/>
              </w:rPr>
            </w:pPr>
            <w:r w:rsidRPr="002348C0">
              <w:rPr>
                <w:rFonts w:ascii="Arial" w:hAnsi="Arial"/>
                <w:b/>
                <w:bCs/>
                <w:szCs w:val="24"/>
              </w:rPr>
              <w:t>0.982</w:t>
            </w:r>
          </w:p>
        </w:tc>
        <w:tc>
          <w:tcPr>
            <w:tcW w:w="514" w:type="pct"/>
            <w:hideMark/>
          </w:tcPr>
          <w:p w14:paraId="42057A5B" w14:textId="77777777" w:rsidR="00093843" w:rsidRPr="002348C0" w:rsidRDefault="00093843" w:rsidP="003C38E1">
            <w:pPr>
              <w:spacing w:line="480" w:lineRule="auto"/>
              <w:rPr>
                <w:rFonts w:ascii="Arial" w:hAnsi="Arial"/>
                <w:szCs w:val="24"/>
              </w:rPr>
            </w:pPr>
            <w:r w:rsidRPr="002348C0">
              <w:rPr>
                <w:rFonts w:ascii="Arial" w:hAnsi="Arial"/>
                <w:szCs w:val="24"/>
              </w:rPr>
              <w:t>—</w:t>
            </w:r>
          </w:p>
        </w:tc>
        <w:tc>
          <w:tcPr>
            <w:tcW w:w="514" w:type="pct"/>
            <w:hideMark/>
          </w:tcPr>
          <w:p w14:paraId="6733C455" w14:textId="77777777" w:rsidR="00093843" w:rsidRPr="002348C0" w:rsidRDefault="00093843" w:rsidP="003C38E1">
            <w:pPr>
              <w:spacing w:line="480" w:lineRule="auto"/>
              <w:rPr>
                <w:rFonts w:ascii="Arial" w:hAnsi="Arial"/>
                <w:szCs w:val="24"/>
              </w:rPr>
            </w:pPr>
            <w:r w:rsidRPr="002348C0">
              <w:rPr>
                <w:rFonts w:ascii="Arial" w:hAnsi="Arial"/>
                <w:szCs w:val="24"/>
              </w:rPr>
              <w:t>—</w:t>
            </w:r>
          </w:p>
        </w:tc>
      </w:tr>
    </w:tbl>
    <w:p w14:paraId="3C137AE0" w14:textId="1D1A0AC3" w:rsidR="00093843" w:rsidRPr="002348C0" w:rsidRDefault="006C59CC" w:rsidP="00093843">
      <w:pPr>
        <w:spacing w:after="0" w:line="480" w:lineRule="auto"/>
        <w:jc w:val="both"/>
        <w:rPr>
          <w:rFonts w:ascii="Arial" w:eastAsia="Times New Roman" w:hAnsi="Arial" w:cs="Times New Roman"/>
          <w:i/>
          <w:iCs/>
          <w:sz w:val="18"/>
          <w:szCs w:val="22"/>
        </w:rPr>
      </w:pPr>
      <w:r w:rsidRPr="002348C0">
        <w:rPr>
          <w:rFonts w:ascii="Arial" w:eastAsia="Times New Roman" w:hAnsi="Arial" w:cs="Times New Roman"/>
          <w:b/>
          <w:bCs/>
          <w:i/>
          <w:iCs/>
          <w:sz w:val="18"/>
          <w:szCs w:val="22"/>
        </w:rPr>
        <w:t>Notes:</w:t>
      </w:r>
      <w:r w:rsidRPr="002348C0">
        <w:rPr>
          <w:rFonts w:ascii="Arial" w:eastAsia="Times New Roman" w:hAnsi="Arial" w:cs="Times New Roman"/>
          <w:i/>
          <w:iCs/>
          <w:sz w:val="18"/>
          <w:szCs w:val="22"/>
        </w:rPr>
        <w:t xml:space="preserve"> Cronbach’s alpha values were ≥0.7 indicate acceptable reliability.</w:t>
      </w:r>
      <w:r w:rsidR="00093843" w:rsidRPr="002348C0">
        <w:rPr>
          <w:rFonts w:ascii="Arial" w:eastAsia="Times New Roman" w:hAnsi="Arial" w:cs="Times New Roman"/>
          <w:i/>
          <w:iCs/>
          <w:sz w:val="18"/>
          <w:szCs w:val="22"/>
        </w:rPr>
        <w:t xml:space="preserve"> Composite Reliability (CR) values ≥0.7 and Average Variance Extracted (AVE) values ≥0.5 confirm convergent validity. </w:t>
      </w:r>
      <w:r w:rsidRPr="002348C0">
        <w:rPr>
          <w:rFonts w:ascii="Arial" w:eastAsia="Times New Roman" w:hAnsi="Arial" w:cs="Times New Roman"/>
          <w:i/>
          <w:iCs/>
          <w:sz w:val="18"/>
          <w:szCs w:val="22"/>
        </w:rPr>
        <w:t>The questionnaire included 91 items in total, with 66 scored items (42 for JCI standards and 24 for nursing performance) and 25 demographic items (e.g., hospital name and department), which were not included in the reliability analysis.</w:t>
      </w:r>
      <w:r w:rsidR="00093843" w:rsidRPr="002348C0">
        <w:rPr>
          <w:rFonts w:ascii="Arial" w:eastAsia="Times New Roman" w:hAnsi="Arial" w:cs="Times New Roman"/>
          <w:i/>
          <w:iCs/>
          <w:sz w:val="18"/>
          <w:szCs w:val="22"/>
        </w:rPr>
        <w:t xml:space="preserve"> </w:t>
      </w:r>
      <w:r w:rsidRPr="002348C0">
        <w:rPr>
          <w:rFonts w:ascii="Arial" w:eastAsia="Times New Roman" w:hAnsi="Arial" w:cs="Times New Roman"/>
          <w:i/>
          <w:iCs/>
          <w:sz w:val="18"/>
          <w:szCs w:val="22"/>
        </w:rPr>
        <w:t>The questionnaire was pre-tested with 40 nurses to ensure clarity and feasibility, and all subscales demonstrated high reliability and validity.</w:t>
      </w:r>
      <w:r w:rsidR="00093843" w:rsidRPr="002348C0">
        <w:rPr>
          <w:rFonts w:ascii="Arial" w:eastAsia="Times New Roman" w:hAnsi="Arial" w:cs="Times New Roman"/>
          <w:i/>
          <w:iCs/>
          <w:sz w:val="18"/>
          <w:szCs w:val="22"/>
        </w:rPr>
        <w:t xml:space="preserve"> </w:t>
      </w:r>
      <w:r w:rsidRPr="002348C0">
        <w:rPr>
          <w:rFonts w:ascii="Arial" w:eastAsia="Times New Roman" w:hAnsi="Arial" w:cs="Times New Roman"/>
          <w:i/>
          <w:iCs/>
          <w:sz w:val="18"/>
          <w:szCs w:val="22"/>
        </w:rPr>
        <w:t>CR and AVE were not calculated for the totals, as they are aggregate measures of the subscales.</w:t>
      </w:r>
    </w:p>
    <w:p w14:paraId="4D7F3E32" w14:textId="77777777" w:rsidR="006C59CC" w:rsidRPr="002348C0" w:rsidRDefault="006C59CC" w:rsidP="00093843">
      <w:pPr>
        <w:spacing w:after="0" w:line="480" w:lineRule="auto"/>
        <w:jc w:val="both"/>
        <w:rPr>
          <w:rFonts w:ascii="Arial" w:eastAsia="Times New Roman" w:hAnsi="Arial" w:cs="Times New Roman"/>
          <w:i/>
          <w:iCs/>
          <w:sz w:val="18"/>
          <w:szCs w:val="22"/>
        </w:rPr>
      </w:pPr>
      <w:r w:rsidRPr="002348C0">
        <w:rPr>
          <w:rFonts w:ascii="Arial" w:eastAsia="Times New Roman" w:hAnsi="Arial" w:cs="Times New Roman"/>
          <w:b/>
          <w:bCs/>
          <w:i/>
          <w:iCs/>
          <w:sz w:val="18"/>
          <w:szCs w:val="22"/>
        </w:rPr>
        <w:t>Abbreviations:</w:t>
      </w:r>
      <w:r w:rsidRPr="002348C0">
        <w:rPr>
          <w:rFonts w:ascii="Arial" w:eastAsia="Times New Roman" w:hAnsi="Arial" w:cs="Times New Roman"/>
          <w:i/>
          <w:iCs/>
          <w:sz w:val="18"/>
          <w:szCs w:val="22"/>
        </w:rPr>
        <w:t xml:space="preserve"> JCI = Joint Commission International; IPSG = International Patient Safety Goals; ACC = Access to Care and Continuity; PCC = Patient-Centered Care; AOP = Assessment of Patients; COP = Care of Patients; MMU = Medication Management and Use; CR = Composite Reliability; AVE = Average Variance Extracted.</w:t>
      </w:r>
    </w:p>
    <w:p w14:paraId="2581DCA8" w14:textId="77777777" w:rsidR="006C59CC" w:rsidRDefault="006C59CC" w:rsidP="0088371D">
      <w:pPr>
        <w:pStyle w:val="Title"/>
        <w:jc w:val="center"/>
        <w:rPr>
          <w:rFonts w:asciiTheme="majorBidi" w:hAnsiTheme="majorBidi"/>
          <w:b/>
          <w:bCs/>
          <w:color w:val="auto"/>
          <w:sz w:val="36"/>
          <w:szCs w:val="36"/>
        </w:rPr>
      </w:pPr>
    </w:p>
    <w:p w14:paraId="01FAE05E" w14:textId="77777777" w:rsidR="006C59CC" w:rsidRDefault="006C59CC" w:rsidP="00342E9E">
      <w:pPr>
        <w:keepNext/>
      </w:pPr>
      <w:r w:rsidRPr="00342E9E">
        <w:rPr>
          <w:noProof/>
        </w:rPr>
        <w:lastRenderedPageBreak/>
        <w:drawing>
          <wp:anchor distT="0" distB="0" distL="114300" distR="114300" simplePos="0" relativeHeight="251659264" behindDoc="0" locked="0" layoutInCell="1" allowOverlap="1" wp14:anchorId="7E5A668A" wp14:editId="6D1CA554">
            <wp:simplePos x="0" y="0"/>
            <wp:positionH relativeFrom="column">
              <wp:posOffset>68239</wp:posOffset>
            </wp:positionH>
            <wp:positionV relativeFrom="page">
              <wp:posOffset>1282889</wp:posOffset>
            </wp:positionV>
            <wp:extent cx="5943600" cy="3606800"/>
            <wp:effectExtent l="0" t="0" r="0" b="0"/>
            <wp:wrapTopAndBottom/>
            <wp:docPr id="1542078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606800"/>
                    </a:xfrm>
                    <a:prstGeom prst="rect">
                      <a:avLst/>
                    </a:prstGeom>
                    <a:noFill/>
                    <a:ln>
                      <a:noFill/>
                    </a:ln>
                  </pic:spPr>
                </pic:pic>
              </a:graphicData>
            </a:graphic>
          </wp:anchor>
        </w:drawing>
      </w:r>
    </w:p>
    <w:p w14:paraId="107E26A1" w14:textId="77777777" w:rsidR="006C59CC" w:rsidRPr="0088371D" w:rsidRDefault="006C59CC" w:rsidP="00342E9E">
      <w:pPr>
        <w:pStyle w:val="Caption"/>
        <w:rPr>
          <w:rFonts w:ascii="Times New Roman" w:eastAsia="Times New Roman" w:hAnsi="Times New Roman" w:cs="Times New Roman"/>
          <w:b w:val="0"/>
          <w:bCs w:val="0"/>
          <w:smallCaps w:val="0"/>
          <w:color w:val="auto"/>
          <w:spacing w:val="0"/>
          <w:sz w:val="22"/>
          <w:szCs w:val="22"/>
        </w:rPr>
      </w:pPr>
      <w:r w:rsidRPr="0088371D">
        <w:rPr>
          <w:rFonts w:ascii="Times New Roman" w:eastAsia="Times New Roman" w:hAnsi="Times New Roman" w:cs="Times New Roman"/>
          <w:sz w:val="22"/>
          <w:szCs w:val="22"/>
        </w:rPr>
        <w:t>Supplementary Figure. S2.</w:t>
      </w:r>
      <w:r w:rsidRPr="0088371D">
        <w:rPr>
          <w:rFonts w:ascii="Times New Roman" w:eastAsia="Times New Roman" w:hAnsi="Times New Roman" w:cs="Times New Roman"/>
          <w:smallCaps w:val="0"/>
          <w:color w:val="auto"/>
          <w:spacing w:val="0"/>
          <w:sz w:val="22"/>
          <w:szCs w:val="22"/>
        </w:rPr>
        <w:t xml:space="preserve"> </w:t>
      </w:r>
      <w:r w:rsidRPr="0088371D">
        <w:rPr>
          <w:rFonts w:ascii="Times New Roman" w:eastAsia="Times New Roman" w:hAnsi="Times New Roman" w:cs="Times New Roman"/>
          <w:smallCaps w:val="0"/>
          <w:sz w:val="22"/>
          <w:szCs w:val="22"/>
        </w:rPr>
        <w:fldChar w:fldCharType="begin"/>
      </w:r>
      <w:r w:rsidRPr="0088371D">
        <w:rPr>
          <w:rFonts w:ascii="Times New Roman" w:eastAsia="Times New Roman" w:hAnsi="Times New Roman" w:cs="Times New Roman"/>
          <w:sz w:val="22"/>
          <w:szCs w:val="22"/>
        </w:rPr>
        <w:instrText xml:space="preserve"> SEQ Supplementary_Figure_S2. \* ARABIC </w:instrText>
      </w:r>
      <w:r w:rsidRPr="0088371D">
        <w:rPr>
          <w:rFonts w:ascii="Times New Roman" w:eastAsia="Times New Roman" w:hAnsi="Times New Roman" w:cs="Times New Roman"/>
          <w:smallCaps w:val="0"/>
          <w:sz w:val="22"/>
          <w:szCs w:val="22"/>
        </w:rPr>
        <w:fldChar w:fldCharType="separate"/>
      </w:r>
      <w:r>
        <w:rPr>
          <w:rFonts w:ascii="Times New Roman" w:eastAsia="Times New Roman" w:hAnsi="Times New Roman" w:cs="Times New Roman"/>
          <w:noProof/>
          <w:sz w:val="22"/>
          <w:szCs w:val="22"/>
        </w:rPr>
        <w:t>1</w:t>
      </w:r>
      <w:r w:rsidRPr="0088371D">
        <w:rPr>
          <w:rFonts w:ascii="Times New Roman" w:eastAsia="Times New Roman" w:hAnsi="Times New Roman" w:cs="Times New Roman"/>
          <w:smallCaps w:val="0"/>
          <w:sz w:val="22"/>
          <w:szCs w:val="22"/>
        </w:rPr>
        <w:fldChar w:fldCharType="end"/>
      </w:r>
      <w:r w:rsidRPr="0088371D">
        <w:rPr>
          <w:rFonts w:ascii="Times New Roman" w:eastAsia="Times New Roman" w:hAnsi="Times New Roman" w:cs="Times New Roman"/>
          <w:sz w:val="22"/>
          <w:szCs w:val="22"/>
        </w:rPr>
        <w:t>: Confirmatory Factor Analysis (CFA) path diagram for JCI patient-centered standards.</w:t>
      </w:r>
    </w:p>
    <w:p w14:paraId="529CB5F9" w14:textId="29784736" w:rsidR="006C59CC" w:rsidRPr="0088371D" w:rsidRDefault="006C59CC" w:rsidP="0088371D">
      <w:pPr>
        <w:jc w:val="both"/>
        <w:rPr>
          <w:rFonts w:ascii="Times New Roman" w:eastAsia="Times New Roman" w:hAnsi="Times New Roman" w:cs="Times New Roman"/>
          <w:i/>
          <w:iCs/>
        </w:rPr>
      </w:pPr>
      <w:r w:rsidRPr="0088371D">
        <w:rPr>
          <w:rFonts w:ascii="Times New Roman" w:eastAsia="Times New Roman" w:hAnsi="Times New Roman" w:cs="Times New Roman"/>
          <w:i/>
          <w:iCs/>
        </w:rPr>
        <w:t>This figure illustrates the CFA model for the six-factor JCI standards structure, including 42 item</w:t>
      </w:r>
      <w:r>
        <w:rPr>
          <w:rFonts w:ascii="Times New Roman" w:eastAsia="Times New Roman" w:hAnsi="Times New Roman" w:cs="Times New Roman"/>
          <w:i/>
          <w:iCs/>
        </w:rPr>
        <w:t xml:space="preserve"> </w:t>
      </w:r>
      <w:r w:rsidRPr="0088371D">
        <w:rPr>
          <w:rFonts w:ascii="Times New Roman" w:eastAsia="Times New Roman" w:hAnsi="Times New Roman" w:cs="Times New Roman"/>
          <w:i/>
          <w:iCs/>
        </w:rPr>
        <w:t>across International Patient Safety Goals (IPSG, 9 items, M1–M9), Access to Care and Continuity (ACC, 7 items, M10–M16), Patient-Centered Care (PCC, 7 items, M17–M23), Assessment of Patients (AOP, 5 items, M24–M28), Care of Patients (COP, 8 items, M29–M36), and Medication Management and Use (MMU, 6 items, M37–M42). The diagram shows standardized factor loadings (ranging from 0.41 to 0.88), covariances between factors (e.g., IPSG ↔ ACC = 0.87, COP ↔ MMU = 0.85), error terms (e1–e42) with correlations (e.g., e1 ↔ e2 = -0.12), and model fit indices (RMSEA = 0.054, CFI = 0.943, TLI = 0.935, NFI = 0.909, CMIN/DF = 2.514, P-Value = 0.000), confirming the construct validity of the JCI standards measurement.</w:t>
      </w:r>
    </w:p>
    <w:p w14:paraId="60FDE6E0" w14:textId="77777777" w:rsidR="006C59CC" w:rsidRPr="0088371D" w:rsidRDefault="006C59CC" w:rsidP="0088371D">
      <w:pPr>
        <w:jc w:val="both"/>
        <w:rPr>
          <w:rFonts w:ascii="Times New Roman" w:eastAsia="Times New Roman" w:hAnsi="Times New Roman" w:cs="Times New Roman"/>
          <w:sz w:val="22"/>
          <w:szCs w:val="22"/>
        </w:rPr>
      </w:pPr>
      <w:r w:rsidRPr="0088371D">
        <w:rPr>
          <w:rFonts w:ascii="Times New Roman" w:eastAsia="Times New Roman" w:hAnsi="Times New Roman" w:cs="Times New Roman"/>
          <w:b/>
          <w:bCs/>
          <w:sz w:val="22"/>
          <w:szCs w:val="22"/>
        </w:rPr>
        <w:t>Supplementary Table S2.</w:t>
      </w:r>
      <w:r>
        <w:rPr>
          <w:rFonts w:ascii="Times New Roman" w:eastAsia="Times New Roman" w:hAnsi="Times New Roman" w:cs="Times New Roman"/>
          <w:b/>
          <w:bCs/>
          <w:sz w:val="22"/>
          <w:szCs w:val="22"/>
        </w:rPr>
        <w:t>2</w:t>
      </w:r>
      <w:r w:rsidRPr="0088371D">
        <w:rPr>
          <w:rFonts w:ascii="Times New Roman" w:eastAsia="Times New Roman" w:hAnsi="Times New Roman" w:cs="Times New Roman"/>
          <w:b/>
          <w:bCs/>
          <w:sz w:val="22"/>
          <w:szCs w:val="22"/>
        </w:rPr>
        <w:t>:</w:t>
      </w:r>
      <w:r w:rsidRPr="0088371D">
        <w:rPr>
          <w:rFonts w:ascii="Times New Roman" w:eastAsia="Times New Roman" w:hAnsi="Times New Roman" w:cs="Times New Roman"/>
          <w:sz w:val="22"/>
          <w:szCs w:val="22"/>
        </w:rPr>
        <w:t xml:space="preserve"> CFA Model Fit Indices and Factor Loadings for JCI Standards</w:t>
      </w:r>
    </w:p>
    <w:tbl>
      <w:tblPr>
        <w:tblStyle w:val="TableGrid"/>
        <w:tblW w:w="0" w:type="auto"/>
        <w:tblLook w:val="04A0" w:firstRow="1" w:lastRow="0" w:firstColumn="1" w:lastColumn="0" w:noHBand="0" w:noVBand="1"/>
      </w:tblPr>
      <w:tblGrid>
        <w:gridCol w:w="1672"/>
        <w:gridCol w:w="2055"/>
        <w:gridCol w:w="4650"/>
      </w:tblGrid>
      <w:tr w:rsidR="006C59CC" w:rsidRPr="0088371D" w14:paraId="21BB58FA" w14:textId="77777777" w:rsidTr="0088371D">
        <w:tc>
          <w:tcPr>
            <w:tcW w:w="0" w:type="auto"/>
            <w:hideMark/>
          </w:tcPr>
          <w:p w14:paraId="078EFBEA" w14:textId="77777777" w:rsidR="006C59CC" w:rsidRPr="0088371D" w:rsidRDefault="006C59CC" w:rsidP="0088371D">
            <w:pPr>
              <w:spacing w:after="120" w:line="264" w:lineRule="auto"/>
              <w:jc w:val="both"/>
              <w:rPr>
                <w:rFonts w:ascii="Times New Roman" w:eastAsia="Times New Roman" w:hAnsi="Times New Roman" w:cs="Times New Roman"/>
                <w:b/>
                <w:bCs/>
              </w:rPr>
            </w:pPr>
            <w:r w:rsidRPr="0088371D">
              <w:rPr>
                <w:rFonts w:ascii="Times New Roman" w:eastAsia="Times New Roman" w:hAnsi="Times New Roman" w:cs="Times New Roman"/>
                <w:b/>
                <w:bCs/>
              </w:rPr>
              <w:t>Parameter</w:t>
            </w:r>
          </w:p>
        </w:tc>
        <w:tc>
          <w:tcPr>
            <w:tcW w:w="0" w:type="auto"/>
            <w:hideMark/>
          </w:tcPr>
          <w:p w14:paraId="13630000" w14:textId="77777777" w:rsidR="006C59CC" w:rsidRPr="0088371D" w:rsidRDefault="006C59CC" w:rsidP="0088371D">
            <w:pPr>
              <w:spacing w:after="120" w:line="264" w:lineRule="auto"/>
              <w:jc w:val="both"/>
              <w:rPr>
                <w:rFonts w:ascii="Times New Roman" w:eastAsia="Times New Roman" w:hAnsi="Times New Roman" w:cs="Times New Roman"/>
                <w:b/>
                <w:bCs/>
              </w:rPr>
            </w:pPr>
            <w:r w:rsidRPr="0088371D">
              <w:rPr>
                <w:rFonts w:ascii="Times New Roman" w:eastAsia="Times New Roman" w:hAnsi="Times New Roman" w:cs="Times New Roman"/>
                <w:b/>
                <w:bCs/>
              </w:rPr>
              <w:t>Value/Range</w:t>
            </w:r>
          </w:p>
        </w:tc>
        <w:tc>
          <w:tcPr>
            <w:tcW w:w="0" w:type="auto"/>
            <w:hideMark/>
          </w:tcPr>
          <w:p w14:paraId="5803B81F" w14:textId="77777777" w:rsidR="006C59CC" w:rsidRPr="0088371D" w:rsidRDefault="006C59CC" w:rsidP="0088371D">
            <w:pPr>
              <w:spacing w:after="120" w:line="264" w:lineRule="auto"/>
              <w:jc w:val="both"/>
              <w:rPr>
                <w:rFonts w:ascii="Times New Roman" w:eastAsia="Times New Roman" w:hAnsi="Times New Roman" w:cs="Times New Roman"/>
                <w:b/>
                <w:bCs/>
              </w:rPr>
            </w:pPr>
            <w:r w:rsidRPr="0088371D">
              <w:rPr>
                <w:rFonts w:ascii="Times New Roman" w:eastAsia="Times New Roman" w:hAnsi="Times New Roman" w:cs="Times New Roman"/>
                <w:b/>
                <w:bCs/>
              </w:rPr>
              <w:t>Description/Notes</w:t>
            </w:r>
          </w:p>
        </w:tc>
      </w:tr>
      <w:tr w:rsidR="006C59CC" w:rsidRPr="0088371D" w14:paraId="1046E927" w14:textId="77777777" w:rsidTr="0088371D">
        <w:tc>
          <w:tcPr>
            <w:tcW w:w="0" w:type="auto"/>
            <w:hideMark/>
          </w:tcPr>
          <w:p w14:paraId="2B512EE3" w14:textId="77777777" w:rsidR="006C59CC" w:rsidRPr="0088371D" w:rsidRDefault="006C59CC" w:rsidP="0088371D">
            <w:pPr>
              <w:spacing w:after="120" w:line="264" w:lineRule="auto"/>
              <w:jc w:val="both"/>
              <w:rPr>
                <w:rFonts w:ascii="Times New Roman" w:eastAsia="Times New Roman" w:hAnsi="Times New Roman" w:cs="Times New Roman"/>
              </w:rPr>
            </w:pPr>
            <w:r w:rsidRPr="0088371D">
              <w:rPr>
                <w:rFonts w:ascii="Times New Roman" w:eastAsia="Times New Roman" w:hAnsi="Times New Roman" w:cs="Times New Roman"/>
                <w:b/>
                <w:bCs/>
              </w:rPr>
              <w:t>Model</w:t>
            </w:r>
          </w:p>
        </w:tc>
        <w:tc>
          <w:tcPr>
            <w:tcW w:w="0" w:type="auto"/>
            <w:hideMark/>
          </w:tcPr>
          <w:p w14:paraId="6480798D" w14:textId="77777777" w:rsidR="006C59CC" w:rsidRPr="0088371D" w:rsidRDefault="006C59CC" w:rsidP="0088371D">
            <w:pPr>
              <w:spacing w:after="120" w:line="264" w:lineRule="auto"/>
              <w:jc w:val="both"/>
              <w:rPr>
                <w:rFonts w:ascii="Times New Roman" w:eastAsia="Times New Roman" w:hAnsi="Times New Roman" w:cs="Times New Roman"/>
              </w:rPr>
            </w:pPr>
            <w:r w:rsidRPr="0088371D">
              <w:rPr>
                <w:rFonts w:ascii="Times New Roman" w:eastAsia="Times New Roman" w:hAnsi="Times New Roman" w:cs="Times New Roman"/>
              </w:rPr>
              <w:t>Six-factor</w:t>
            </w:r>
          </w:p>
        </w:tc>
        <w:tc>
          <w:tcPr>
            <w:tcW w:w="0" w:type="auto"/>
            <w:hideMark/>
          </w:tcPr>
          <w:p w14:paraId="2FC4142E" w14:textId="77777777" w:rsidR="006C59CC" w:rsidRPr="0088371D" w:rsidRDefault="006C59CC" w:rsidP="0088371D">
            <w:pPr>
              <w:spacing w:after="120" w:line="264" w:lineRule="auto"/>
              <w:jc w:val="both"/>
              <w:rPr>
                <w:rFonts w:ascii="Times New Roman" w:eastAsia="Times New Roman" w:hAnsi="Times New Roman" w:cs="Times New Roman"/>
              </w:rPr>
            </w:pPr>
            <w:r w:rsidRPr="0088371D">
              <w:rPr>
                <w:rFonts w:ascii="Times New Roman" w:eastAsia="Times New Roman" w:hAnsi="Times New Roman" w:cs="Times New Roman"/>
              </w:rPr>
              <w:t>IPSG, ACC, PCC, AOP, COP, MMU</w:t>
            </w:r>
          </w:p>
        </w:tc>
      </w:tr>
      <w:tr w:rsidR="006C59CC" w:rsidRPr="0088371D" w14:paraId="0576ECBA" w14:textId="77777777" w:rsidTr="0088371D">
        <w:tc>
          <w:tcPr>
            <w:tcW w:w="0" w:type="auto"/>
            <w:hideMark/>
          </w:tcPr>
          <w:p w14:paraId="0B6B38BD" w14:textId="77777777" w:rsidR="006C59CC" w:rsidRPr="0088371D" w:rsidRDefault="006C59CC" w:rsidP="0088371D">
            <w:pPr>
              <w:spacing w:after="120" w:line="264" w:lineRule="auto"/>
              <w:jc w:val="both"/>
              <w:rPr>
                <w:rFonts w:ascii="Times New Roman" w:eastAsia="Times New Roman" w:hAnsi="Times New Roman" w:cs="Times New Roman"/>
              </w:rPr>
            </w:pPr>
            <w:r w:rsidRPr="0088371D">
              <w:rPr>
                <w:rFonts w:ascii="Times New Roman" w:eastAsia="Times New Roman" w:hAnsi="Times New Roman" w:cs="Times New Roman"/>
                <w:b/>
                <w:bCs/>
              </w:rPr>
              <w:t>Number of Items</w:t>
            </w:r>
          </w:p>
        </w:tc>
        <w:tc>
          <w:tcPr>
            <w:tcW w:w="0" w:type="auto"/>
            <w:hideMark/>
          </w:tcPr>
          <w:p w14:paraId="2B6C6DA6" w14:textId="77777777" w:rsidR="006C59CC" w:rsidRPr="0088371D" w:rsidRDefault="006C59CC" w:rsidP="0088371D">
            <w:pPr>
              <w:spacing w:after="120" w:line="264" w:lineRule="auto"/>
              <w:jc w:val="both"/>
              <w:rPr>
                <w:rFonts w:ascii="Times New Roman" w:eastAsia="Times New Roman" w:hAnsi="Times New Roman" w:cs="Times New Roman"/>
              </w:rPr>
            </w:pPr>
            <w:r w:rsidRPr="0088371D">
              <w:rPr>
                <w:rFonts w:ascii="Times New Roman" w:eastAsia="Times New Roman" w:hAnsi="Times New Roman" w:cs="Times New Roman"/>
              </w:rPr>
              <w:t>42</w:t>
            </w:r>
          </w:p>
        </w:tc>
        <w:tc>
          <w:tcPr>
            <w:tcW w:w="0" w:type="auto"/>
            <w:hideMark/>
          </w:tcPr>
          <w:p w14:paraId="79B73B9D" w14:textId="77777777" w:rsidR="006C59CC" w:rsidRPr="0088371D" w:rsidRDefault="006C59CC" w:rsidP="0088371D">
            <w:pPr>
              <w:spacing w:after="120" w:line="264" w:lineRule="auto"/>
              <w:jc w:val="both"/>
              <w:rPr>
                <w:rFonts w:ascii="Times New Roman" w:eastAsia="Times New Roman" w:hAnsi="Times New Roman" w:cs="Times New Roman"/>
              </w:rPr>
            </w:pPr>
            <w:r w:rsidRPr="0088371D">
              <w:rPr>
                <w:rFonts w:ascii="Times New Roman" w:eastAsia="Times New Roman" w:hAnsi="Times New Roman" w:cs="Times New Roman"/>
              </w:rPr>
              <w:t>Total items across all JCI domains</w:t>
            </w:r>
          </w:p>
        </w:tc>
      </w:tr>
      <w:tr w:rsidR="006C59CC" w:rsidRPr="0088371D" w14:paraId="47DB09A3" w14:textId="77777777" w:rsidTr="0088371D">
        <w:tc>
          <w:tcPr>
            <w:tcW w:w="0" w:type="auto"/>
            <w:hideMark/>
          </w:tcPr>
          <w:p w14:paraId="3E644442" w14:textId="77777777" w:rsidR="006C59CC" w:rsidRPr="0088371D" w:rsidRDefault="006C59CC" w:rsidP="0088371D">
            <w:pPr>
              <w:spacing w:after="120" w:line="264" w:lineRule="auto"/>
              <w:jc w:val="both"/>
              <w:rPr>
                <w:rFonts w:ascii="Times New Roman" w:eastAsia="Times New Roman" w:hAnsi="Times New Roman" w:cs="Times New Roman"/>
              </w:rPr>
            </w:pPr>
            <w:r w:rsidRPr="0088371D">
              <w:rPr>
                <w:rFonts w:ascii="Times New Roman" w:eastAsia="Times New Roman" w:hAnsi="Times New Roman" w:cs="Times New Roman"/>
                <w:b/>
                <w:bCs/>
              </w:rPr>
              <w:t>CFI</w:t>
            </w:r>
          </w:p>
        </w:tc>
        <w:tc>
          <w:tcPr>
            <w:tcW w:w="0" w:type="auto"/>
            <w:hideMark/>
          </w:tcPr>
          <w:p w14:paraId="279B63A8" w14:textId="77777777" w:rsidR="006C59CC" w:rsidRPr="0088371D" w:rsidRDefault="006C59CC" w:rsidP="0088371D">
            <w:pPr>
              <w:spacing w:after="120" w:line="264" w:lineRule="auto"/>
              <w:jc w:val="both"/>
              <w:rPr>
                <w:rFonts w:ascii="Times New Roman" w:eastAsia="Times New Roman" w:hAnsi="Times New Roman" w:cs="Times New Roman"/>
              </w:rPr>
            </w:pPr>
            <w:r w:rsidRPr="0088371D">
              <w:rPr>
                <w:rFonts w:ascii="Times New Roman" w:eastAsia="Times New Roman" w:hAnsi="Times New Roman" w:cs="Times New Roman"/>
              </w:rPr>
              <w:t>0.943</w:t>
            </w:r>
          </w:p>
        </w:tc>
        <w:tc>
          <w:tcPr>
            <w:tcW w:w="0" w:type="auto"/>
            <w:hideMark/>
          </w:tcPr>
          <w:p w14:paraId="0F4AE90B" w14:textId="77777777" w:rsidR="006C59CC" w:rsidRPr="0088371D" w:rsidRDefault="006C59CC" w:rsidP="0088371D">
            <w:pPr>
              <w:spacing w:after="120" w:line="264" w:lineRule="auto"/>
              <w:jc w:val="both"/>
              <w:rPr>
                <w:rFonts w:ascii="Times New Roman" w:eastAsia="Times New Roman" w:hAnsi="Times New Roman" w:cs="Times New Roman"/>
              </w:rPr>
            </w:pPr>
            <w:r w:rsidRPr="0088371D">
              <w:rPr>
                <w:rFonts w:ascii="Times New Roman" w:eastAsia="Times New Roman" w:hAnsi="Times New Roman" w:cs="Times New Roman"/>
              </w:rPr>
              <w:t>≥0.90 acceptable, ≥0.95 ideal</w:t>
            </w:r>
          </w:p>
        </w:tc>
      </w:tr>
      <w:tr w:rsidR="006C59CC" w:rsidRPr="0088371D" w14:paraId="25BE1877" w14:textId="77777777" w:rsidTr="0088371D">
        <w:tc>
          <w:tcPr>
            <w:tcW w:w="0" w:type="auto"/>
            <w:hideMark/>
          </w:tcPr>
          <w:p w14:paraId="390D865C" w14:textId="77777777" w:rsidR="006C59CC" w:rsidRPr="0088371D" w:rsidRDefault="006C59CC" w:rsidP="0088371D">
            <w:pPr>
              <w:spacing w:after="120" w:line="264" w:lineRule="auto"/>
              <w:jc w:val="both"/>
              <w:rPr>
                <w:rFonts w:ascii="Times New Roman" w:eastAsia="Times New Roman" w:hAnsi="Times New Roman" w:cs="Times New Roman"/>
              </w:rPr>
            </w:pPr>
            <w:r w:rsidRPr="0088371D">
              <w:rPr>
                <w:rFonts w:ascii="Times New Roman" w:eastAsia="Times New Roman" w:hAnsi="Times New Roman" w:cs="Times New Roman"/>
                <w:b/>
                <w:bCs/>
              </w:rPr>
              <w:t xml:space="preserve">TLI </w:t>
            </w:r>
          </w:p>
        </w:tc>
        <w:tc>
          <w:tcPr>
            <w:tcW w:w="0" w:type="auto"/>
            <w:hideMark/>
          </w:tcPr>
          <w:p w14:paraId="56E85096" w14:textId="77777777" w:rsidR="006C59CC" w:rsidRPr="0088371D" w:rsidRDefault="006C59CC" w:rsidP="0088371D">
            <w:pPr>
              <w:spacing w:after="120" w:line="264" w:lineRule="auto"/>
              <w:jc w:val="both"/>
              <w:rPr>
                <w:rFonts w:ascii="Times New Roman" w:eastAsia="Times New Roman" w:hAnsi="Times New Roman" w:cs="Times New Roman"/>
              </w:rPr>
            </w:pPr>
            <w:r w:rsidRPr="0088371D">
              <w:rPr>
                <w:rFonts w:ascii="Times New Roman" w:eastAsia="Times New Roman" w:hAnsi="Times New Roman" w:cs="Times New Roman"/>
              </w:rPr>
              <w:t>0.935</w:t>
            </w:r>
          </w:p>
        </w:tc>
        <w:tc>
          <w:tcPr>
            <w:tcW w:w="0" w:type="auto"/>
            <w:hideMark/>
          </w:tcPr>
          <w:p w14:paraId="29686A2D" w14:textId="77777777" w:rsidR="006C59CC" w:rsidRPr="0088371D" w:rsidRDefault="006C59CC" w:rsidP="0088371D">
            <w:pPr>
              <w:spacing w:after="120" w:line="264" w:lineRule="auto"/>
              <w:jc w:val="both"/>
              <w:rPr>
                <w:rFonts w:ascii="Times New Roman" w:eastAsia="Times New Roman" w:hAnsi="Times New Roman" w:cs="Times New Roman"/>
              </w:rPr>
            </w:pPr>
            <w:r w:rsidRPr="0088371D">
              <w:rPr>
                <w:rFonts w:ascii="Times New Roman" w:eastAsia="Times New Roman" w:hAnsi="Times New Roman" w:cs="Times New Roman"/>
              </w:rPr>
              <w:t>≥0.90 acceptable, ≥0.95 ideal</w:t>
            </w:r>
          </w:p>
        </w:tc>
      </w:tr>
      <w:tr w:rsidR="006C59CC" w:rsidRPr="0088371D" w14:paraId="329DA666" w14:textId="77777777" w:rsidTr="0088371D">
        <w:tc>
          <w:tcPr>
            <w:tcW w:w="0" w:type="auto"/>
            <w:hideMark/>
          </w:tcPr>
          <w:p w14:paraId="08BD5816" w14:textId="77777777" w:rsidR="006C59CC" w:rsidRPr="0088371D" w:rsidRDefault="006C59CC" w:rsidP="0088371D">
            <w:pPr>
              <w:spacing w:after="120" w:line="264" w:lineRule="auto"/>
              <w:jc w:val="both"/>
              <w:rPr>
                <w:rFonts w:ascii="Times New Roman" w:eastAsia="Times New Roman" w:hAnsi="Times New Roman" w:cs="Times New Roman"/>
              </w:rPr>
            </w:pPr>
            <w:r w:rsidRPr="0088371D">
              <w:rPr>
                <w:rFonts w:ascii="Times New Roman" w:eastAsia="Times New Roman" w:hAnsi="Times New Roman" w:cs="Times New Roman"/>
                <w:b/>
                <w:bCs/>
              </w:rPr>
              <w:t xml:space="preserve">NFI </w:t>
            </w:r>
          </w:p>
        </w:tc>
        <w:tc>
          <w:tcPr>
            <w:tcW w:w="0" w:type="auto"/>
            <w:hideMark/>
          </w:tcPr>
          <w:p w14:paraId="62E90913" w14:textId="77777777" w:rsidR="006C59CC" w:rsidRPr="0088371D" w:rsidRDefault="006C59CC" w:rsidP="0088371D">
            <w:pPr>
              <w:spacing w:after="120" w:line="264" w:lineRule="auto"/>
              <w:jc w:val="both"/>
              <w:rPr>
                <w:rFonts w:ascii="Times New Roman" w:eastAsia="Times New Roman" w:hAnsi="Times New Roman" w:cs="Times New Roman"/>
              </w:rPr>
            </w:pPr>
            <w:r w:rsidRPr="0088371D">
              <w:rPr>
                <w:rFonts w:ascii="Times New Roman" w:eastAsia="Times New Roman" w:hAnsi="Times New Roman" w:cs="Times New Roman"/>
              </w:rPr>
              <w:t>0.909</w:t>
            </w:r>
          </w:p>
        </w:tc>
        <w:tc>
          <w:tcPr>
            <w:tcW w:w="0" w:type="auto"/>
            <w:hideMark/>
          </w:tcPr>
          <w:p w14:paraId="210E09E0" w14:textId="77777777" w:rsidR="006C59CC" w:rsidRPr="0088371D" w:rsidRDefault="006C59CC" w:rsidP="0088371D">
            <w:pPr>
              <w:spacing w:after="120" w:line="264" w:lineRule="auto"/>
              <w:jc w:val="both"/>
              <w:rPr>
                <w:rFonts w:ascii="Times New Roman" w:eastAsia="Times New Roman" w:hAnsi="Times New Roman" w:cs="Times New Roman"/>
              </w:rPr>
            </w:pPr>
            <w:r w:rsidRPr="0088371D">
              <w:rPr>
                <w:rFonts w:ascii="Times New Roman" w:eastAsia="Times New Roman" w:hAnsi="Times New Roman" w:cs="Times New Roman"/>
              </w:rPr>
              <w:t>≥0.90 acceptable</w:t>
            </w:r>
          </w:p>
        </w:tc>
      </w:tr>
      <w:tr w:rsidR="006C59CC" w:rsidRPr="0088371D" w14:paraId="4B091743" w14:textId="77777777" w:rsidTr="0088371D">
        <w:tc>
          <w:tcPr>
            <w:tcW w:w="0" w:type="auto"/>
            <w:hideMark/>
          </w:tcPr>
          <w:p w14:paraId="65057098" w14:textId="77777777" w:rsidR="006C59CC" w:rsidRPr="0088371D" w:rsidRDefault="006C59CC" w:rsidP="0088371D">
            <w:pPr>
              <w:spacing w:after="120" w:line="264" w:lineRule="auto"/>
              <w:jc w:val="both"/>
              <w:rPr>
                <w:rFonts w:ascii="Times New Roman" w:eastAsia="Times New Roman" w:hAnsi="Times New Roman" w:cs="Times New Roman"/>
              </w:rPr>
            </w:pPr>
            <w:r w:rsidRPr="0088371D">
              <w:rPr>
                <w:rFonts w:ascii="Times New Roman" w:eastAsia="Times New Roman" w:hAnsi="Times New Roman" w:cs="Times New Roman"/>
                <w:b/>
                <w:bCs/>
              </w:rPr>
              <w:t xml:space="preserve">RMSEA </w:t>
            </w:r>
          </w:p>
        </w:tc>
        <w:tc>
          <w:tcPr>
            <w:tcW w:w="0" w:type="auto"/>
            <w:hideMark/>
          </w:tcPr>
          <w:p w14:paraId="1CBD5362" w14:textId="77777777" w:rsidR="006C59CC" w:rsidRPr="0088371D" w:rsidRDefault="006C59CC" w:rsidP="0088371D">
            <w:pPr>
              <w:spacing w:after="120" w:line="264" w:lineRule="auto"/>
              <w:jc w:val="both"/>
              <w:rPr>
                <w:rFonts w:ascii="Times New Roman" w:eastAsia="Times New Roman" w:hAnsi="Times New Roman" w:cs="Times New Roman"/>
              </w:rPr>
            </w:pPr>
            <w:r w:rsidRPr="0088371D">
              <w:rPr>
                <w:rFonts w:ascii="Times New Roman" w:eastAsia="Times New Roman" w:hAnsi="Times New Roman" w:cs="Times New Roman"/>
              </w:rPr>
              <w:t>0.054</w:t>
            </w:r>
          </w:p>
        </w:tc>
        <w:tc>
          <w:tcPr>
            <w:tcW w:w="0" w:type="auto"/>
            <w:hideMark/>
          </w:tcPr>
          <w:p w14:paraId="26349A1D" w14:textId="77777777" w:rsidR="006C59CC" w:rsidRPr="0088371D" w:rsidRDefault="006C59CC" w:rsidP="0088371D">
            <w:pPr>
              <w:spacing w:after="120" w:line="264" w:lineRule="auto"/>
              <w:jc w:val="both"/>
              <w:rPr>
                <w:rFonts w:ascii="Times New Roman" w:eastAsia="Times New Roman" w:hAnsi="Times New Roman" w:cs="Times New Roman"/>
              </w:rPr>
            </w:pPr>
            <w:r w:rsidRPr="0088371D">
              <w:rPr>
                <w:rFonts w:ascii="Times New Roman" w:eastAsia="Times New Roman" w:hAnsi="Times New Roman" w:cs="Times New Roman"/>
              </w:rPr>
              <w:t>≤0.06 good fit, ≤0.08 acceptable</w:t>
            </w:r>
          </w:p>
        </w:tc>
      </w:tr>
      <w:tr w:rsidR="006C59CC" w:rsidRPr="0088371D" w14:paraId="447A6780" w14:textId="77777777" w:rsidTr="0088371D">
        <w:tc>
          <w:tcPr>
            <w:tcW w:w="0" w:type="auto"/>
            <w:hideMark/>
          </w:tcPr>
          <w:p w14:paraId="36CE3F2E" w14:textId="77777777" w:rsidR="006C59CC" w:rsidRPr="0088371D" w:rsidRDefault="006C59CC" w:rsidP="0088371D">
            <w:pPr>
              <w:spacing w:after="120" w:line="264" w:lineRule="auto"/>
              <w:jc w:val="both"/>
              <w:rPr>
                <w:rFonts w:ascii="Times New Roman" w:eastAsia="Times New Roman" w:hAnsi="Times New Roman" w:cs="Times New Roman"/>
              </w:rPr>
            </w:pPr>
            <w:r w:rsidRPr="0088371D">
              <w:rPr>
                <w:rFonts w:ascii="Times New Roman" w:eastAsia="Times New Roman" w:hAnsi="Times New Roman" w:cs="Times New Roman"/>
                <w:b/>
                <w:bCs/>
              </w:rPr>
              <w:t xml:space="preserve">CMIN/DF </w:t>
            </w:r>
          </w:p>
        </w:tc>
        <w:tc>
          <w:tcPr>
            <w:tcW w:w="0" w:type="auto"/>
            <w:hideMark/>
          </w:tcPr>
          <w:p w14:paraId="215A9963" w14:textId="77777777" w:rsidR="006C59CC" w:rsidRPr="0088371D" w:rsidRDefault="006C59CC" w:rsidP="0088371D">
            <w:pPr>
              <w:spacing w:after="120" w:line="264" w:lineRule="auto"/>
              <w:jc w:val="both"/>
              <w:rPr>
                <w:rFonts w:ascii="Times New Roman" w:eastAsia="Times New Roman" w:hAnsi="Times New Roman" w:cs="Times New Roman"/>
              </w:rPr>
            </w:pPr>
            <w:r w:rsidRPr="0088371D">
              <w:rPr>
                <w:rFonts w:ascii="Times New Roman" w:eastAsia="Times New Roman" w:hAnsi="Times New Roman" w:cs="Times New Roman"/>
              </w:rPr>
              <w:t>2.514</w:t>
            </w:r>
          </w:p>
        </w:tc>
        <w:tc>
          <w:tcPr>
            <w:tcW w:w="0" w:type="auto"/>
            <w:hideMark/>
          </w:tcPr>
          <w:p w14:paraId="2BBB1DFE" w14:textId="77777777" w:rsidR="006C59CC" w:rsidRPr="0088371D" w:rsidRDefault="006C59CC" w:rsidP="0088371D">
            <w:pPr>
              <w:spacing w:after="120" w:line="264" w:lineRule="auto"/>
              <w:jc w:val="both"/>
              <w:rPr>
                <w:rFonts w:ascii="Times New Roman" w:eastAsia="Times New Roman" w:hAnsi="Times New Roman" w:cs="Times New Roman"/>
              </w:rPr>
            </w:pPr>
            <w:r w:rsidRPr="0088371D">
              <w:rPr>
                <w:rFonts w:ascii="Times New Roman" w:eastAsia="Times New Roman" w:hAnsi="Times New Roman" w:cs="Times New Roman"/>
              </w:rPr>
              <w:t xml:space="preserve">≤3 good fit, ≤5 acceptable; χ² and </w:t>
            </w:r>
            <w:proofErr w:type="spellStart"/>
            <w:r w:rsidRPr="0088371D">
              <w:rPr>
                <w:rFonts w:ascii="Times New Roman" w:eastAsia="Times New Roman" w:hAnsi="Times New Roman" w:cs="Times New Roman"/>
              </w:rPr>
              <w:t>df</w:t>
            </w:r>
            <w:proofErr w:type="spellEnd"/>
            <w:r w:rsidRPr="0088371D">
              <w:rPr>
                <w:rFonts w:ascii="Times New Roman" w:eastAsia="Times New Roman" w:hAnsi="Times New Roman" w:cs="Times New Roman"/>
              </w:rPr>
              <w:t xml:space="preserve"> values unavailable</w:t>
            </w:r>
          </w:p>
        </w:tc>
      </w:tr>
      <w:tr w:rsidR="006C59CC" w:rsidRPr="0088371D" w14:paraId="735A8E2D" w14:textId="77777777" w:rsidTr="0088371D">
        <w:tc>
          <w:tcPr>
            <w:tcW w:w="0" w:type="auto"/>
            <w:hideMark/>
          </w:tcPr>
          <w:p w14:paraId="26E16541" w14:textId="77777777" w:rsidR="006C59CC" w:rsidRPr="0088371D" w:rsidRDefault="006C59CC" w:rsidP="0088371D">
            <w:pPr>
              <w:spacing w:after="120" w:line="264" w:lineRule="auto"/>
              <w:jc w:val="both"/>
              <w:rPr>
                <w:rFonts w:ascii="Times New Roman" w:eastAsia="Times New Roman" w:hAnsi="Times New Roman" w:cs="Times New Roman"/>
              </w:rPr>
            </w:pPr>
            <w:r w:rsidRPr="0088371D">
              <w:rPr>
                <w:rFonts w:ascii="Times New Roman" w:eastAsia="Times New Roman" w:hAnsi="Times New Roman" w:cs="Times New Roman"/>
                <w:b/>
                <w:bCs/>
              </w:rPr>
              <w:t>P-Value</w:t>
            </w:r>
          </w:p>
        </w:tc>
        <w:tc>
          <w:tcPr>
            <w:tcW w:w="0" w:type="auto"/>
            <w:hideMark/>
          </w:tcPr>
          <w:p w14:paraId="2FF63A98" w14:textId="77777777" w:rsidR="006C59CC" w:rsidRPr="0088371D" w:rsidRDefault="006C59CC" w:rsidP="0088371D">
            <w:pPr>
              <w:spacing w:after="120" w:line="264" w:lineRule="auto"/>
              <w:jc w:val="both"/>
              <w:rPr>
                <w:rFonts w:ascii="Times New Roman" w:eastAsia="Times New Roman" w:hAnsi="Times New Roman" w:cs="Times New Roman"/>
              </w:rPr>
            </w:pPr>
            <w:r w:rsidRPr="0088371D">
              <w:rPr>
                <w:rFonts w:ascii="Times New Roman" w:eastAsia="Times New Roman" w:hAnsi="Times New Roman" w:cs="Times New Roman"/>
              </w:rPr>
              <w:t>0.000</w:t>
            </w:r>
          </w:p>
        </w:tc>
        <w:tc>
          <w:tcPr>
            <w:tcW w:w="0" w:type="auto"/>
            <w:hideMark/>
          </w:tcPr>
          <w:p w14:paraId="143293BE" w14:textId="77777777" w:rsidR="006C59CC" w:rsidRPr="0088371D" w:rsidRDefault="006C59CC" w:rsidP="0088371D">
            <w:pPr>
              <w:spacing w:after="120" w:line="264" w:lineRule="auto"/>
              <w:jc w:val="both"/>
              <w:rPr>
                <w:rFonts w:ascii="Times New Roman" w:eastAsia="Times New Roman" w:hAnsi="Times New Roman" w:cs="Times New Roman"/>
              </w:rPr>
            </w:pPr>
            <w:r w:rsidRPr="0088371D">
              <w:rPr>
                <w:rFonts w:ascii="Times New Roman" w:eastAsia="Times New Roman" w:hAnsi="Times New Roman" w:cs="Times New Roman"/>
              </w:rPr>
              <w:t>Statistically significant, typical in large samples</w:t>
            </w:r>
          </w:p>
        </w:tc>
      </w:tr>
      <w:tr w:rsidR="006C59CC" w:rsidRPr="0088371D" w14:paraId="064CC8C4" w14:textId="77777777" w:rsidTr="0088371D">
        <w:tc>
          <w:tcPr>
            <w:tcW w:w="0" w:type="auto"/>
            <w:hideMark/>
          </w:tcPr>
          <w:p w14:paraId="740D505A" w14:textId="77777777" w:rsidR="006C59CC" w:rsidRPr="0088371D" w:rsidRDefault="006C59CC" w:rsidP="0088371D">
            <w:pPr>
              <w:spacing w:after="120" w:line="264" w:lineRule="auto"/>
              <w:jc w:val="both"/>
              <w:rPr>
                <w:rFonts w:ascii="Times New Roman" w:eastAsia="Times New Roman" w:hAnsi="Times New Roman" w:cs="Times New Roman"/>
              </w:rPr>
            </w:pPr>
            <w:r w:rsidRPr="0088371D">
              <w:rPr>
                <w:rFonts w:ascii="Times New Roman" w:eastAsia="Times New Roman" w:hAnsi="Times New Roman" w:cs="Times New Roman"/>
                <w:b/>
                <w:bCs/>
              </w:rPr>
              <w:lastRenderedPageBreak/>
              <w:t>Factor Loadings</w:t>
            </w:r>
          </w:p>
        </w:tc>
        <w:tc>
          <w:tcPr>
            <w:tcW w:w="0" w:type="auto"/>
            <w:hideMark/>
          </w:tcPr>
          <w:p w14:paraId="3DD07E36" w14:textId="77777777" w:rsidR="006C59CC" w:rsidRPr="0088371D" w:rsidRDefault="006C59CC" w:rsidP="0088371D">
            <w:pPr>
              <w:spacing w:after="120" w:line="264" w:lineRule="auto"/>
              <w:jc w:val="both"/>
              <w:rPr>
                <w:rFonts w:ascii="Times New Roman" w:eastAsia="Times New Roman" w:hAnsi="Times New Roman" w:cs="Times New Roman"/>
              </w:rPr>
            </w:pPr>
          </w:p>
        </w:tc>
        <w:tc>
          <w:tcPr>
            <w:tcW w:w="0" w:type="auto"/>
            <w:hideMark/>
          </w:tcPr>
          <w:p w14:paraId="0286BEA7" w14:textId="77777777" w:rsidR="006C59CC" w:rsidRPr="0088371D" w:rsidRDefault="006C59CC" w:rsidP="0088371D">
            <w:pPr>
              <w:spacing w:after="120" w:line="264" w:lineRule="auto"/>
              <w:jc w:val="both"/>
              <w:rPr>
                <w:rFonts w:ascii="Times New Roman" w:eastAsia="Times New Roman" w:hAnsi="Times New Roman" w:cs="Times New Roman"/>
              </w:rPr>
            </w:pPr>
            <w:r w:rsidRPr="0088371D">
              <w:rPr>
                <w:rFonts w:ascii="Times New Roman" w:eastAsia="Times New Roman" w:hAnsi="Times New Roman" w:cs="Times New Roman"/>
              </w:rPr>
              <w:t>All loadings &gt;0.4, confirming construct validity</w:t>
            </w:r>
          </w:p>
        </w:tc>
      </w:tr>
      <w:tr w:rsidR="006C59CC" w:rsidRPr="0088371D" w14:paraId="6053EA95" w14:textId="77777777" w:rsidTr="0088371D">
        <w:tc>
          <w:tcPr>
            <w:tcW w:w="0" w:type="auto"/>
            <w:hideMark/>
          </w:tcPr>
          <w:p w14:paraId="4ABEAE3E" w14:textId="77777777" w:rsidR="006C59CC" w:rsidRPr="0088371D" w:rsidRDefault="006C59CC" w:rsidP="0088371D">
            <w:pPr>
              <w:spacing w:after="120" w:line="264" w:lineRule="auto"/>
              <w:jc w:val="both"/>
              <w:rPr>
                <w:rFonts w:ascii="Times New Roman" w:eastAsia="Times New Roman" w:hAnsi="Times New Roman" w:cs="Times New Roman"/>
              </w:rPr>
            </w:pPr>
            <w:r w:rsidRPr="0088371D">
              <w:rPr>
                <w:rFonts w:ascii="Times New Roman" w:eastAsia="Times New Roman" w:hAnsi="Times New Roman" w:cs="Times New Roman"/>
              </w:rPr>
              <w:t xml:space="preserve">- IPSG </w:t>
            </w:r>
          </w:p>
        </w:tc>
        <w:tc>
          <w:tcPr>
            <w:tcW w:w="0" w:type="auto"/>
            <w:hideMark/>
          </w:tcPr>
          <w:p w14:paraId="102F6359" w14:textId="77777777" w:rsidR="006C59CC" w:rsidRPr="0088371D" w:rsidRDefault="006C59CC" w:rsidP="0088371D">
            <w:pPr>
              <w:spacing w:after="120" w:line="264" w:lineRule="auto"/>
              <w:jc w:val="both"/>
              <w:rPr>
                <w:rFonts w:ascii="Times New Roman" w:eastAsia="Times New Roman" w:hAnsi="Times New Roman" w:cs="Times New Roman"/>
              </w:rPr>
            </w:pPr>
            <w:r w:rsidRPr="0088371D">
              <w:rPr>
                <w:rFonts w:ascii="Times New Roman" w:eastAsia="Times New Roman" w:hAnsi="Times New Roman" w:cs="Times New Roman"/>
              </w:rPr>
              <w:t>0.41–0.79 (M1–M9)</w:t>
            </w:r>
          </w:p>
        </w:tc>
        <w:tc>
          <w:tcPr>
            <w:tcW w:w="0" w:type="auto"/>
            <w:hideMark/>
          </w:tcPr>
          <w:p w14:paraId="050307EE" w14:textId="77777777" w:rsidR="006C59CC" w:rsidRPr="0088371D" w:rsidRDefault="006C59CC" w:rsidP="0088371D">
            <w:pPr>
              <w:spacing w:after="120" w:line="264" w:lineRule="auto"/>
              <w:jc w:val="both"/>
              <w:rPr>
                <w:rFonts w:ascii="Times New Roman" w:eastAsia="Times New Roman" w:hAnsi="Times New Roman" w:cs="Times New Roman"/>
              </w:rPr>
            </w:pPr>
            <w:r w:rsidRPr="0088371D">
              <w:rPr>
                <w:rFonts w:ascii="Times New Roman" w:eastAsia="Times New Roman" w:hAnsi="Times New Roman" w:cs="Times New Roman"/>
              </w:rPr>
              <w:t>9 items</w:t>
            </w:r>
          </w:p>
        </w:tc>
      </w:tr>
      <w:tr w:rsidR="006C59CC" w:rsidRPr="0088371D" w14:paraId="2F608CC1" w14:textId="77777777" w:rsidTr="0088371D">
        <w:tc>
          <w:tcPr>
            <w:tcW w:w="0" w:type="auto"/>
            <w:hideMark/>
          </w:tcPr>
          <w:p w14:paraId="0E5B4E04" w14:textId="77777777" w:rsidR="006C59CC" w:rsidRPr="0088371D" w:rsidRDefault="006C59CC" w:rsidP="0088371D">
            <w:pPr>
              <w:spacing w:after="120" w:line="264" w:lineRule="auto"/>
              <w:jc w:val="both"/>
              <w:rPr>
                <w:rFonts w:ascii="Times New Roman" w:eastAsia="Times New Roman" w:hAnsi="Times New Roman" w:cs="Times New Roman"/>
              </w:rPr>
            </w:pPr>
            <w:r w:rsidRPr="0088371D">
              <w:rPr>
                <w:rFonts w:ascii="Times New Roman" w:eastAsia="Times New Roman" w:hAnsi="Times New Roman" w:cs="Times New Roman"/>
              </w:rPr>
              <w:t xml:space="preserve">- ACC </w:t>
            </w:r>
          </w:p>
        </w:tc>
        <w:tc>
          <w:tcPr>
            <w:tcW w:w="0" w:type="auto"/>
            <w:hideMark/>
          </w:tcPr>
          <w:p w14:paraId="5FCCBAE8" w14:textId="77777777" w:rsidR="006C59CC" w:rsidRPr="0088371D" w:rsidRDefault="006C59CC" w:rsidP="0088371D">
            <w:pPr>
              <w:spacing w:after="120" w:line="264" w:lineRule="auto"/>
              <w:jc w:val="both"/>
              <w:rPr>
                <w:rFonts w:ascii="Times New Roman" w:eastAsia="Times New Roman" w:hAnsi="Times New Roman" w:cs="Times New Roman"/>
              </w:rPr>
            </w:pPr>
            <w:r w:rsidRPr="0088371D">
              <w:rPr>
                <w:rFonts w:ascii="Times New Roman" w:eastAsia="Times New Roman" w:hAnsi="Times New Roman" w:cs="Times New Roman"/>
              </w:rPr>
              <w:t>0.59–0.83 (M10–M16)</w:t>
            </w:r>
          </w:p>
        </w:tc>
        <w:tc>
          <w:tcPr>
            <w:tcW w:w="0" w:type="auto"/>
            <w:hideMark/>
          </w:tcPr>
          <w:p w14:paraId="4C2B2CC0" w14:textId="77777777" w:rsidR="006C59CC" w:rsidRPr="0088371D" w:rsidRDefault="006C59CC" w:rsidP="0088371D">
            <w:pPr>
              <w:spacing w:after="120" w:line="264" w:lineRule="auto"/>
              <w:jc w:val="both"/>
              <w:rPr>
                <w:rFonts w:ascii="Times New Roman" w:eastAsia="Times New Roman" w:hAnsi="Times New Roman" w:cs="Times New Roman"/>
              </w:rPr>
            </w:pPr>
            <w:r w:rsidRPr="0088371D">
              <w:rPr>
                <w:rFonts w:ascii="Times New Roman" w:eastAsia="Times New Roman" w:hAnsi="Times New Roman" w:cs="Times New Roman"/>
              </w:rPr>
              <w:t>7 items</w:t>
            </w:r>
          </w:p>
        </w:tc>
      </w:tr>
      <w:tr w:rsidR="006C59CC" w:rsidRPr="0088371D" w14:paraId="72C682E9" w14:textId="77777777" w:rsidTr="0088371D">
        <w:tc>
          <w:tcPr>
            <w:tcW w:w="0" w:type="auto"/>
            <w:hideMark/>
          </w:tcPr>
          <w:p w14:paraId="26049B23" w14:textId="77777777" w:rsidR="006C59CC" w:rsidRPr="0088371D" w:rsidRDefault="006C59CC" w:rsidP="0088371D">
            <w:pPr>
              <w:spacing w:after="120" w:line="264" w:lineRule="auto"/>
              <w:jc w:val="both"/>
              <w:rPr>
                <w:rFonts w:ascii="Times New Roman" w:eastAsia="Times New Roman" w:hAnsi="Times New Roman" w:cs="Times New Roman"/>
              </w:rPr>
            </w:pPr>
            <w:r w:rsidRPr="0088371D">
              <w:rPr>
                <w:rFonts w:ascii="Times New Roman" w:eastAsia="Times New Roman" w:hAnsi="Times New Roman" w:cs="Times New Roman"/>
              </w:rPr>
              <w:t xml:space="preserve">- PCC </w:t>
            </w:r>
          </w:p>
        </w:tc>
        <w:tc>
          <w:tcPr>
            <w:tcW w:w="0" w:type="auto"/>
            <w:hideMark/>
          </w:tcPr>
          <w:p w14:paraId="19C04B15" w14:textId="77777777" w:rsidR="006C59CC" w:rsidRPr="0088371D" w:rsidRDefault="006C59CC" w:rsidP="0088371D">
            <w:pPr>
              <w:spacing w:after="120" w:line="264" w:lineRule="auto"/>
              <w:jc w:val="both"/>
              <w:rPr>
                <w:rFonts w:ascii="Times New Roman" w:eastAsia="Times New Roman" w:hAnsi="Times New Roman" w:cs="Times New Roman"/>
              </w:rPr>
            </w:pPr>
            <w:r w:rsidRPr="0088371D">
              <w:rPr>
                <w:rFonts w:ascii="Times New Roman" w:eastAsia="Times New Roman" w:hAnsi="Times New Roman" w:cs="Times New Roman"/>
              </w:rPr>
              <w:t>0.54–0.88 (M17–M23)</w:t>
            </w:r>
          </w:p>
        </w:tc>
        <w:tc>
          <w:tcPr>
            <w:tcW w:w="0" w:type="auto"/>
            <w:hideMark/>
          </w:tcPr>
          <w:p w14:paraId="010D3568" w14:textId="77777777" w:rsidR="006C59CC" w:rsidRPr="0088371D" w:rsidRDefault="006C59CC" w:rsidP="0088371D">
            <w:pPr>
              <w:spacing w:after="120" w:line="264" w:lineRule="auto"/>
              <w:jc w:val="both"/>
              <w:rPr>
                <w:rFonts w:ascii="Times New Roman" w:eastAsia="Times New Roman" w:hAnsi="Times New Roman" w:cs="Times New Roman"/>
              </w:rPr>
            </w:pPr>
            <w:r w:rsidRPr="0088371D">
              <w:rPr>
                <w:rFonts w:ascii="Times New Roman" w:eastAsia="Times New Roman" w:hAnsi="Times New Roman" w:cs="Times New Roman"/>
              </w:rPr>
              <w:t>7 items</w:t>
            </w:r>
          </w:p>
        </w:tc>
      </w:tr>
      <w:tr w:rsidR="006C59CC" w:rsidRPr="0088371D" w14:paraId="1C14FD95" w14:textId="77777777" w:rsidTr="0088371D">
        <w:tc>
          <w:tcPr>
            <w:tcW w:w="0" w:type="auto"/>
            <w:hideMark/>
          </w:tcPr>
          <w:p w14:paraId="44992453" w14:textId="77777777" w:rsidR="006C59CC" w:rsidRPr="0088371D" w:rsidRDefault="006C59CC" w:rsidP="0088371D">
            <w:pPr>
              <w:spacing w:after="120" w:line="264" w:lineRule="auto"/>
              <w:jc w:val="both"/>
              <w:rPr>
                <w:rFonts w:ascii="Times New Roman" w:eastAsia="Times New Roman" w:hAnsi="Times New Roman" w:cs="Times New Roman"/>
              </w:rPr>
            </w:pPr>
            <w:r w:rsidRPr="0088371D">
              <w:rPr>
                <w:rFonts w:ascii="Times New Roman" w:eastAsia="Times New Roman" w:hAnsi="Times New Roman" w:cs="Times New Roman"/>
              </w:rPr>
              <w:t xml:space="preserve">- AOP </w:t>
            </w:r>
          </w:p>
        </w:tc>
        <w:tc>
          <w:tcPr>
            <w:tcW w:w="0" w:type="auto"/>
            <w:hideMark/>
          </w:tcPr>
          <w:p w14:paraId="421356F3" w14:textId="77777777" w:rsidR="006C59CC" w:rsidRPr="0088371D" w:rsidRDefault="006C59CC" w:rsidP="0088371D">
            <w:pPr>
              <w:spacing w:after="120" w:line="264" w:lineRule="auto"/>
              <w:jc w:val="both"/>
              <w:rPr>
                <w:rFonts w:ascii="Times New Roman" w:eastAsia="Times New Roman" w:hAnsi="Times New Roman" w:cs="Times New Roman"/>
              </w:rPr>
            </w:pPr>
            <w:r w:rsidRPr="0088371D">
              <w:rPr>
                <w:rFonts w:ascii="Times New Roman" w:eastAsia="Times New Roman" w:hAnsi="Times New Roman" w:cs="Times New Roman"/>
              </w:rPr>
              <w:t>0.56–0.87 (M24–M28)</w:t>
            </w:r>
          </w:p>
        </w:tc>
        <w:tc>
          <w:tcPr>
            <w:tcW w:w="0" w:type="auto"/>
            <w:hideMark/>
          </w:tcPr>
          <w:p w14:paraId="7AFB7719" w14:textId="77777777" w:rsidR="006C59CC" w:rsidRPr="0088371D" w:rsidRDefault="006C59CC" w:rsidP="0088371D">
            <w:pPr>
              <w:spacing w:after="120" w:line="264" w:lineRule="auto"/>
              <w:jc w:val="both"/>
              <w:rPr>
                <w:rFonts w:ascii="Times New Roman" w:eastAsia="Times New Roman" w:hAnsi="Times New Roman" w:cs="Times New Roman"/>
              </w:rPr>
            </w:pPr>
            <w:r w:rsidRPr="0088371D">
              <w:rPr>
                <w:rFonts w:ascii="Times New Roman" w:eastAsia="Times New Roman" w:hAnsi="Times New Roman" w:cs="Times New Roman"/>
              </w:rPr>
              <w:t>5 items</w:t>
            </w:r>
          </w:p>
        </w:tc>
      </w:tr>
      <w:tr w:rsidR="006C59CC" w:rsidRPr="0088371D" w14:paraId="6ABF178C" w14:textId="77777777" w:rsidTr="0088371D">
        <w:tc>
          <w:tcPr>
            <w:tcW w:w="0" w:type="auto"/>
            <w:hideMark/>
          </w:tcPr>
          <w:p w14:paraId="6C510E93" w14:textId="77777777" w:rsidR="006C59CC" w:rsidRPr="0088371D" w:rsidRDefault="006C59CC" w:rsidP="0088371D">
            <w:pPr>
              <w:spacing w:after="120" w:line="264" w:lineRule="auto"/>
              <w:jc w:val="both"/>
              <w:rPr>
                <w:rFonts w:ascii="Times New Roman" w:eastAsia="Times New Roman" w:hAnsi="Times New Roman" w:cs="Times New Roman"/>
              </w:rPr>
            </w:pPr>
            <w:r w:rsidRPr="0088371D">
              <w:rPr>
                <w:rFonts w:ascii="Times New Roman" w:eastAsia="Times New Roman" w:hAnsi="Times New Roman" w:cs="Times New Roman"/>
              </w:rPr>
              <w:t xml:space="preserve">- COP </w:t>
            </w:r>
          </w:p>
        </w:tc>
        <w:tc>
          <w:tcPr>
            <w:tcW w:w="0" w:type="auto"/>
            <w:hideMark/>
          </w:tcPr>
          <w:p w14:paraId="7CA9083F" w14:textId="77777777" w:rsidR="006C59CC" w:rsidRPr="0088371D" w:rsidRDefault="006C59CC" w:rsidP="0088371D">
            <w:pPr>
              <w:spacing w:after="120" w:line="264" w:lineRule="auto"/>
              <w:jc w:val="both"/>
              <w:rPr>
                <w:rFonts w:ascii="Times New Roman" w:eastAsia="Times New Roman" w:hAnsi="Times New Roman" w:cs="Times New Roman"/>
              </w:rPr>
            </w:pPr>
            <w:r w:rsidRPr="0088371D">
              <w:rPr>
                <w:rFonts w:ascii="Times New Roman" w:eastAsia="Times New Roman" w:hAnsi="Times New Roman" w:cs="Times New Roman"/>
              </w:rPr>
              <w:t>0.53–0.88 (M29–M36)</w:t>
            </w:r>
          </w:p>
        </w:tc>
        <w:tc>
          <w:tcPr>
            <w:tcW w:w="0" w:type="auto"/>
            <w:hideMark/>
          </w:tcPr>
          <w:p w14:paraId="7BAE59FC" w14:textId="77777777" w:rsidR="006C59CC" w:rsidRPr="0088371D" w:rsidRDefault="006C59CC" w:rsidP="0088371D">
            <w:pPr>
              <w:spacing w:after="120" w:line="264" w:lineRule="auto"/>
              <w:jc w:val="both"/>
              <w:rPr>
                <w:rFonts w:ascii="Times New Roman" w:eastAsia="Times New Roman" w:hAnsi="Times New Roman" w:cs="Times New Roman"/>
              </w:rPr>
            </w:pPr>
            <w:r w:rsidRPr="0088371D">
              <w:rPr>
                <w:rFonts w:ascii="Times New Roman" w:eastAsia="Times New Roman" w:hAnsi="Times New Roman" w:cs="Times New Roman"/>
              </w:rPr>
              <w:t>8 items</w:t>
            </w:r>
          </w:p>
        </w:tc>
      </w:tr>
      <w:tr w:rsidR="006C59CC" w:rsidRPr="0088371D" w14:paraId="3A8B9DBF" w14:textId="77777777" w:rsidTr="0088371D">
        <w:tc>
          <w:tcPr>
            <w:tcW w:w="0" w:type="auto"/>
            <w:hideMark/>
          </w:tcPr>
          <w:p w14:paraId="3FF75191" w14:textId="77777777" w:rsidR="006C59CC" w:rsidRPr="0088371D" w:rsidRDefault="006C59CC" w:rsidP="0088371D">
            <w:pPr>
              <w:spacing w:after="120" w:line="264" w:lineRule="auto"/>
              <w:jc w:val="both"/>
              <w:rPr>
                <w:rFonts w:ascii="Times New Roman" w:eastAsia="Times New Roman" w:hAnsi="Times New Roman" w:cs="Times New Roman"/>
              </w:rPr>
            </w:pPr>
            <w:r w:rsidRPr="0088371D">
              <w:rPr>
                <w:rFonts w:ascii="Times New Roman" w:eastAsia="Times New Roman" w:hAnsi="Times New Roman" w:cs="Times New Roman"/>
              </w:rPr>
              <w:t xml:space="preserve">- MMU </w:t>
            </w:r>
          </w:p>
        </w:tc>
        <w:tc>
          <w:tcPr>
            <w:tcW w:w="0" w:type="auto"/>
            <w:hideMark/>
          </w:tcPr>
          <w:p w14:paraId="0E00FD3F" w14:textId="77777777" w:rsidR="006C59CC" w:rsidRPr="0088371D" w:rsidRDefault="006C59CC" w:rsidP="0088371D">
            <w:pPr>
              <w:spacing w:after="120" w:line="264" w:lineRule="auto"/>
              <w:jc w:val="both"/>
              <w:rPr>
                <w:rFonts w:ascii="Times New Roman" w:eastAsia="Times New Roman" w:hAnsi="Times New Roman" w:cs="Times New Roman"/>
              </w:rPr>
            </w:pPr>
            <w:r w:rsidRPr="0088371D">
              <w:rPr>
                <w:rFonts w:ascii="Times New Roman" w:eastAsia="Times New Roman" w:hAnsi="Times New Roman" w:cs="Times New Roman"/>
              </w:rPr>
              <w:t>0.60–0.87 (M37–M42)</w:t>
            </w:r>
          </w:p>
        </w:tc>
        <w:tc>
          <w:tcPr>
            <w:tcW w:w="0" w:type="auto"/>
            <w:hideMark/>
          </w:tcPr>
          <w:p w14:paraId="57001DFF" w14:textId="77777777" w:rsidR="006C59CC" w:rsidRPr="0088371D" w:rsidRDefault="006C59CC" w:rsidP="0088371D">
            <w:pPr>
              <w:spacing w:after="120" w:line="264" w:lineRule="auto"/>
              <w:jc w:val="both"/>
              <w:rPr>
                <w:rFonts w:ascii="Times New Roman" w:eastAsia="Times New Roman" w:hAnsi="Times New Roman" w:cs="Times New Roman"/>
              </w:rPr>
            </w:pPr>
            <w:r w:rsidRPr="0088371D">
              <w:rPr>
                <w:rFonts w:ascii="Times New Roman" w:eastAsia="Times New Roman" w:hAnsi="Times New Roman" w:cs="Times New Roman"/>
              </w:rPr>
              <w:t>6 items</w:t>
            </w:r>
          </w:p>
        </w:tc>
      </w:tr>
    </w:tbl>
    <w:p w14:paraId="192F87A0" w14:textId="77777777" w:rsidR="006C59CC" w:rsidRDefault="006C59CC" w:rsidP="0088371D">
      <w:pPr>
        <w:jc w:val="both"/>
        <w:rPr>
          <w:rFonts w:ascii="Times New Roman" w:eastAsia="Times New Roman" w:hAnsi="Times New Roman" w:cs="Times New Roman"/>
          <w:i/>
          <w:iCs/>
        </w:rPr>
      </w:pPr>
      <w:r>
        <w:rPr>
          <w:rFonts w:ascii="Times New Roman" w:eastAsia="Times New Roman" w:hAnsi="Times New Roman" w:cs="Times New Roman"/>
          <w:b/>
          <w:bCs/>
          <w:i/>
          <w:iCs/>
        </w:rPr>
        <w:t>Note</w:t>
      </w:r>
      <w:r w:rsidRPr="0088371D">
        <w:rPr>
          <w:rFonts w:ascii="Times New Roman" w:eastAsia="Times New Roman" w:hAnsi="Times New Roman" w:cs="Times New Roman"/>
          <w:b/>
          <w:bCs/>
          <w:i/>
          <w:iCs/>
        </w:rPr>
        <w:t>:</w:t>
      </w:r>
      <w:r w:rsidRPr="0088371D">
        <w:rPr>
          <w:rFonts w:ascii="Times New Roman" w:eastAsia="Times New Roman" w:hAnsi="Times New Roman" w:cs="Times New Roman"/>
          <w:i/>
          <w:iCs/>
        </w:rPr>
        <w:t xml:space="preserve"> This table summarizes the CFA results for the six-factor JCI standard model, validating the 42-item structure. Fit indices indicated a good-to-acceptable model fit, and all factor loadings exceeded the threshold of 0.4, confirming construct validity.</w:t>
      </w:r>
    </w:p>
    <w:p w14:paraId="3EA6D4D3" w14:textId="4F72B36E" w:rsidR="001C041D" w:rsidRPr="001C041D" w:rsidRDefault="006C59CC" w:rsidP="001C041D">
      <w:pPr>
        <w:jc w:val="both"/>
        <w:rPr>
          <w:rFonts w:ascii="Times New Roman" w:eastAsia="Times New Roman" w:hAnsi="Times New Roman" w:cs="Times New Roman"/>
          <w:i/>
          <w:iCs/>
        </w:rPr>
      </w:pPr>
      <w:r w:rsidRPr="001C041D">
        <w:rPr>
          <w:rFonts w:ascii="Times New Roman" w:eastAsia="Times New Roman" w:hAnsi="Times New Roman" w:cs="Times New Roman"/>
          <w:b/>
          <w:bCs/>
          <w:i/>
          <w:iCs/>
        </w:rPr>
        <w:t>Abbreviations:</w:t>
      </w:r>
      <w:r w:rsidRPr="001C041D">
        <w:rPr>
          <w:rFonts w:ascii="Times New Roman" w:eastAsia="Times New Roman" w:hAnsi="Times New Roman" w:cs="Times New Roman"/>
          <w:i/>
          <w:iCs/>
        </w:rPr>
        <w:t xml:space="preserve"> JCI = Joint Commission International; IPSG = International Patient Safety Goals; ACC = Access to Care and Continuity; PCC = Patient-Centered Care; AOP = Assessment of Patients; COP = Care of Patients; MMU = Medication Management and Use; CR = Composite Reliability; AVE = Average Variance Extracted; CFA = Confirmatory Factor Analysis; RMSEA = Root Mean Square Error of Approximation; CFI = Comparative Fit Index; TLI = Tucker-Lewis Index; NFI = Normed Fit Index; CMIN/DF = Chi-Square/Degrees of Freedom; χ² = Chi-Square; </w:t>
      </w:r>
      <w:proofErr w:type="spellStart"/>
      <w:r w:rsidRPr="001C041D">
        <w:rPr>
          <w:rFonts w:ascii="Times New Roman" w:eastAsia="Times New Roman" w:hAnsi="Times New Roman" w:cs="Times New Roman"/>
          <w:i/>
          <w:iCs/>
        </w:rPr>
        <w:t>df</w:t>
      </w:r>
      <w:proofErr w:type="spellEnd"/>
      <w:r w:rsidRPr="001C041D">
        <w:rPr>
          <w:rFonts w:ascii="Times New Roman" w:eastAsia="Times New Roman" w:hAnsi="Times New Roman" w:cs="Times New Roman"/>
          <w:i/>
          <w:iCs/>
        </w:rPr>
        <w:t xml:space="preserve"> = Degrees of Freedom.</w:t>
      </w:r>
    </w:p>
    <w:p w14:paraId="6AA7CD71" w14:textId="77777777" w:rsidR="001C041D" w:rsidRDefault="001C041D" w:rsidP="0088371D">
      <w:pPr>
        <w:jc w:val="both"/>
        <w:rPr>
          <w:rFonts w:ascii="Times New Roman" w:eastAsia="Times New Roman" w:hAnsi="Times New Roman" w:cs="Times New Roman"/>
          <w:i/>
          <w:iCs/>
        </w:rPr>
      </w:pPr>
    </w:p>
    <w:p w14:paraId="402EB010" w14:textId="77777777" w:rsidR="00342E9E" w:rsidRPr="00342E9E" w:rsidRDefault="00342E9E" w:rsidP="00342E9E"/>
    <w:p w14:paraId="37423058" w14:textId="4EBEA957" w:rsidR="0084663B" w:rsidRPr="0084663B" w:rsidRDefault="0084663B" w:rsidP="0084663B">
      <w:pPr>
        <w:bidi/>
        <w:rPr>
          <w:rtl/>
        </w:rPr>
      </w:pPr>
    </w:p>
    <w:p w14:paraId="7EC36DB1" w14:textId="77777777" w:rsidR="00C7071C" w:rsidRDefault="0084663B" w:rsidP="00C7071C">
      <w:pPr>
        <w:pStyle w:val="Caption"/>
        <w:keepNext/>
        <w:jc w:val="both"/>
      </w:pPr>
      <w:r>
        <w:rPr>
          <w:noProof/>
        </w:rPr>
        <w:lastRenderedPageBreak/>
        <w:drawing>
          <wp:inline distT="0" distB="0" distL="0" distR="0" wp14:anchorId="3C684C40" wp14:editId="08421543">
            <wp:extent cx="5486400" cy="3881120"/>
            <wp:effectExtent l="0" t="0" r="0" b="508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486400" cy="3881120"/>
                    </a:xfrm>
                    <a:prstGeom prst="rect">
                      <a:avLst/>
                    </a:prstGeom>
                  </pic:spPr>
                </pic:pic>
              </a:graphicData>
            </a:graphic>
          </wp:inline>
        </w:drawing>
      </w:r>
    </w:p>
    <w:p w14:paraId="7B05BEA6" w14:textId="4048E98C" w:rsidR="0084663B" w:rsidRPr="00C7071C" w:rsidRDefault="006C59CC" w:rsidP="00C7071C">
      <w:pPr>
        <w:pStyle w:val="Caption"/>
        <w:jc w:val="both"/>
        <w:rPr>
          <w:rFonts w:ascii="Times New Roman" w:eastAsia="Times New Roman" w:hAnsi="Times New Roman" w:cs="Times New Roman"/>
          <w:b w:val="0"/>
          <w:bCs w:val="0"/>
          <w:i/>
          <w:iCs/>
          <w:smallCaps w:val="0"/>
          <w:color w:val="auto"/>
          <w:spacing w:val="0"/>
        </w:rPr>
      </w:pPr>
      <w:r w:rsidRPr="00C7071C">
        <w:rPr>
          <w:rFonts w:ascii="Times New Roman" w:eastAsia="Times New Roman" w:hAnsi="Times New Roman" w:cs="Times New Roman"/>
          <w:i/>
          <w:iCs/>
        </w:rPr>
        <w:t>Supplementary Figure. S2.</w:t>
      </w:r>
      <w:r w:rsidR="00C7071C" w:rsidRPr="00C7071C">
        <w:rPr>
          <w:rFonts w:ascii="Times New Roman" w:eastAsia="Times New Roman" w:hAnsi="Times New Roman" w:cs="Times New Roman"/>
          <w:b w:val="0"/>
          <w:bCs w:val="0"/>
          <w:i/>
          <w:iCs/>
          <w:smallCaps w:val="0"/>
          <w:color w:val="auto"/>
          <w:spacing w:val="0"/>
        </w:rPr>
        <w:t xml:space="preserve"> </w:t>
      </w:r>
      <w:r w:rsidR="00C7071C" w:rsidRPr="00C7071C">
        <w:rPr>
          <w:rFonts w:ascii="Times New Roman" w:eastAsia="Times New Roman" w:hAnsi="Times New Roman" w:cs="Times New Roman"/>
          <w:b w:val="0"/>
          <w:bCs w:val="0"/>
          <w:i/>
          <w:iCs/>
          <w:smallCaps w:val="0"/>
          <w:color w:val="auto"/>
          <w:spacing w:val="0"/>
        </w:rPr>
        <w:fldChar w:fldCharType="begin"/>
      </w:r>
      <w:r w:rsidR="00C7071C" w:rsidRPr="00C7071C">
        <w:rPr>
          <w:rFonts w:ascii="Times New Roman" w:eastAsia="Times New Roman" w:hAnsi="Times New Roman" w:cs="Times New Roman"/>
          <w:b w:val="0"/>
          <w:bCs w:val="0"/>
          <w:i/>
          <w:iCs/>
          <w:smallCaps w:val="0"/>
          <w:color w:val="auto"/>
          <w:spacing w:val="0"/>
        </w:rPr>
        <w:instrText xml:space="preserve"> SEQ Supplementary_Figure_S2. \* ARABIC </w:instrText>
      </w:r>
      <w:r w:rsidR="00C7071C" w:rsidRPr="00C7071C">
        <w:rPr>
          <w:rFonts w:ascii="Times New Roman" w:eastAsia="Times New Roman" w:hAnsi="Times New Roman" w:cs="Times New Roman"/>
          <w:b w:val="0"/>
          <w:bCs w:val="0"/>
          <w:i/>
          <w:iCs/>
          <w:smallCaps w:val="0"/>
          <w:color w:val="auto"/>
          <w:spacing w:val="0"/>
        </w:rPr>
        <w:fldChar w:fldCharType="separate"/>
      </w:r>
      <w:r w:rsidR="00C7071C" w:rsidRPr="00C7071C">
        <w:rPr>
          <w:rFonts w:ascii="Times New Roman" w:eastAsia="Times New Roman" w:hAnsi="Times New Roman" w:cs="Times New Roman"/>
          <w:b w:val="0"/>
          <w:bCs w:val="0"/>
          <w:i/>
          <w:iCs/>
          <w:smallCaps w:val="0"/>
          <w:color w:val="auto"/>
          <w:spacing w:val="0"/>
        </w:rPr>
        <w:t>2</w:t>
      </w:r>
      <w:r w:rsidR="00C7071C" w:rsidRPr="00C7071C">
        <w:rPr>
          <w:rFonts w:ascii="Times New Roman" w:eastAsia="Times New Roman" w:hAnsi="Times New Roman" w:cs="Times New Roman"/>
          <w:b w:val="0"/>
          <w:bCs w:val="0"/>
          <w:i/>
          <w:iCs/>
          <w:smallCaps w:val="0"/>
          <w:color w:val="auto"/>
          <w:spacing w:val="0"/>
        </w:rPr>
        <w:fldChar w:fldCharType="end"/>
      </w:r>
      <w:r w:rsidR="00C7071C" w:rsidRPr="00C7071C">
        <w:rPr>
          <w:rFonts w:ascii="Times New Roman" w:eastAsia="Times New Roman" w:hAnsi="Times New Roman" w:cs="Times New Roman"/>
          <w:b w:val="0"/>
          <w:bCs w:val="0"/>
          <w:i/>
          <w:iCs/>
          <w:smallCaps w:val="0"/>
          <w:color w:val="auto"/>
          <w:spacing w:val="0"/>
        </w:rPr>
        <w:t xml:space="preserve">: Confirmatory Factor Analysis (CFA) Diagram for Nursing Performance Model. This diagram illustrates the three-factor structure of nursing performance with standardized factor loadings. Fit indices: RMSEA = 0.064, CFI = 0.952, TLI = 0.940, NFI = 0.932, CMIN/DF = 3.163, P-Value &lt; 0.001. </w:t>
      </w:r>
    </w:p>
    <w:p w14:paraId="266FD31A" w14:textId="77777777" w:rsidR="0084663B" w:rsidRDefault="0084663B" w:rsidP="0088371D">
      <w:pPr>
        <w:pStyle w:val="Caption"/>
        <w:keepNext/>
        <w:jc w:val="both"/>
        <w:rPr>
          <w:rFonts w:ascii="Times New Roman" w:eastAsia="Times New Roman" w:hAnsi="Times New Roman" w:cs="Times New Roman"/>
          <w:smallCaps w:val="0"/>
          <w:color w:val="auto"/>
          <w:spacing w:val="0"/>
          <w:sz w:val="22"/>
          <w:szCs w:val="22"/>
        </w:rPr>
      </w:pPr>
    </w:p>
    <w:p w14:paraId="4988DC38" w14:textId="2E1FD4F0" w:rsidR="0088371D" w:rsidRPr="0088371D" w:rsidRDefault="0088371D" w:rsidP="0088371D">
      <w:pPr>
        <w:rPr>
          <w:rFonts w:asciiTheme="majorBidi" w:hAnsiTheme="majorBidi" w:cstheme="majorBidi"/>
          <w:sz w:val="22"/>
          <w:szCs w:val="22"/>
        </w:rPr>
      </w:pPr>
      <w:r w:rsidRPr="0088371D">
        <w:rPr>
          <w:rFonts w:asciiTheme="majorBidi" w:hAnsiTheme="majorBidi" w:cstheme="majorBidi"/>
          <w:b/>
          <w:bCs/>
          <w:sz w:val="22"/>
          <w:szCs w:val="22"/>
        </w:rPr>
        <w:t>Supplementary Table S2.</w:t>
      </w:r>
      <w:r w:rsidR="001C041D">
        <w:rPr>
          <w:rFonts w:asciiTheme="majorBidi" w:hAnsiTheme="majorBidi" w:cstheme="majorBidi"/>
          <w:b/>
          <w:bCs/>
          <w:sz w:val="22"/>
          <w:szCs w:val="22"/>
        </w:rPr>
        <w:t>3</w:t>
      </w:r>
      <w:r w:rsidRPr="0088371D">
        <w:rPr>
          <w:rFonts w:asciiTheme="majorBidi" w:hAnsiTheme="majorBidi" w:cstheme="majorBidi"/>
          <w:b/>
          <w:bCs/>
          <w:sz w:val="22"/>
          <w:szCs w:val="22"/>
        </w:rPr>
        <w:t>:</w:t>
      </w:r>
      <w:r w:rsidRPr="0088371D">
        <w:rPr>
          <w:rFonts w:asciiTheme="majorBidi" w:hAnsiTheme="majorBidi" w:cstheme="majorBidi"/>
          <w:sz w:val="22"/>
          <w:szCs w:val="22"/>
        </w:rPr>
        <w:t xml:space="preserve"> CFA Model Fit Indices and Factor Loadings for Nursing Performance</w:t>
      </w:r>
    </w:p>
    <w:tbl>
      <w:tblPr>
        <w:tblStyle w:val="TableGrid"/>
        <w:tblW w:w="0" w:type="auto"/>
        <w:tblLook w:val="04A0" w:firstRow="1" w:lastRow="0" w:firstColumn="1" w:lastColumn="0" w:noHBand="0" w:noVBand="1"/>
      </w:tblPr>
      <w:tblGrid>
        <w:gridCol w:w="2352"/>
        <w:gridCol w:w="1426"/>
        <w:gridCol w:w="5572"/>
      </w:tblGrid>
      <w:tr w:rsidR="0088371D" w:rsidRPr="0088371D" w14:paraId="2FA91110" w14:textId="77777777" w:rsidTr="0088371D">
        <w:tc>
          <w:tcPr>
            <w:tcW w:w="0" w:type="auto"/>
            <w:hideMark/>
          </w:tcPr>
          <w:p w14:paraId="22752E15" w14:textId="77777777" w:rsidR="0088371D" w:rsidRPr="0088371D" w:rsidRDefault="0088371D" w:rsidP="0088371D">
            <w:pPr>
              <w:spacing w:after="120" w:line="264" w:lineRule="auto"/>
              <w:rPr>
                <w:rFonts w:asciiTheme="majorBidi" w:hAnsiTheme="majorBidi" w:cstheme="majorBidi"/>
                <w:b/>
                <w:bCs/>
                <w:sz w:val="22"/>
                <w:szCs w:val="22"/>
              </w:rPr>
            </w:pPr>
            <w:r w:rsidRPr="0088371D">
              <w:rPr>
                <w:rFonts w:asciiTheme="majorBidi" w:hAnsiTheme="majorBidi" w:cstheme="majorBidi"/>
                <w:b/>
                <w:bCs/>
                <w:sz w:val="22"/>
                <w:szCs w:val="22"/>
              </w:rPr>
              <w:t>Parameter</w:t>
            </w:r>
          </w:p>
        </w:tc>
        <w:tc>
          <w:tcPr>
            <w:tcW w:w="0" w:type="auto"/>
            <w:hideMark/>
          </w:tcPr>
          <w:p w14:paraId="04759806" w14:textId="77777777" w:rsidR="0088371D" w:rsidRPr="0088371D" w:rsidRDefault="0088371D" w:rsidP="0088371D">
            <w:pPr>
              <w:spacing w:after="120" w:line="264" w:lineRule="auto"/>
              <w:rPr>
                <w:rFonts w:asciiTheme="majorBidi" w:hAnsiTheme="majorBidi" w:cstheme="majorBidi"/>
                <w:b/>
                <w:bCs/>
                <w:sz w:val="22"/>
                <w:szCs w:val="22"/>
              </w:rPr>
            </w:pPr>
            <w:r w:rsidRPr="0088371D">
              <w:rPr>
                <w:rFonts w:asciiTheme="majorBidi" w:hAnsiTheme="majorBidi" w:cstheme="majorBidi"/>
                <w:b/>
                <w:bCs/>
                <w:sz w:val="22"/>
                <w:szCs w:val="22"/>
              </w:rPr>
              <w:t>Value/Range</w:t>
            </w:r>
          </w:p>
        </w:tc>
        <w:tc>
          <w:tcPr>
            <w:tcW w:w="0" w:type="auto"/>
            <w:hideMark/>
          </w:tcPr>
          <w:p w14:paraId="2E55E118" w14:textId="77777777" w:rsidR="0088371D" w:rsidRPr="0088371D" w:rsidRDefault="0088371D" w:rsidP="0088371D">
            <w:pPr>
              <w:spacing w:after="120" w:line="264" w:lineRule="auto"/>
              <w:rPr>
                <w:rFonts w:asciiTheme="majorBidi" w:hAnsiTheme="majorBidi" w:cstheme="majorBidi"/>
                <w:b/>
                <w:bCs/>
                <w:sz w:val="22"/>
                <w:szCs w:val="22"/>
              </w:rPr>
            </w:pPr>
            <w:r w:rsidRPr="0088371D">
              <w:rPr>
                <w:rFonts w:asciiTheme="majorBidi" w:hAnsiTheme="majorBidi" w:cstheme="majorBidi"/>
                <w:b/>
                <w:bCs/>
                <w:sz w:val="22"/>
                <w:szCs w:val="22"/>
              </w:rPr>
              <w:t>Description/Notes</w:t>
            </w:r>
          </w:p>
        </w:tc>
      </w:tr>
      <w:tr w:rsidR="0088371D" w:rsidRPr="0088371D" w14:paraId="33404444" w14:textId="77777777" w:rsidTr="0088371D">
        <w:tc>
          <w:tcPr>
            <w:tcW w:w="0" w:type="auto"/>
            <w:hideMark/>
          </w:tcPr>
          <w:p w14:paraId="04006743" w14:textId="77777777" w:rsidR="0088371D" w:rsidRPr="0088371D" w:rsidRDefault="0088371D" w:rsidP="0088371D">
            <w:pPr>
              <w:spacing w:after="120" w:line="264" w:lineRule="auto"/>
              <w:rPr>
                <w:rFonts w:asciiTheme="majorBidi" w:hAnsiTheme="majorBidi" w:cstheme="majorBidi"/>
                <w:sz w:val="22"/>
                <w:szCs w:val="22"/>
              </w:rPr>
            </w:pPr>
            <w:r w:rsidRPr="0088371D">
              <w:rPr>
                <w:rFonts w:asciiTheme="majorBidi" w:hAnsiTheme="majorBidi" w:cstheme="majorBidi"/>
                <w:b/>
                <w:bCs/>
                <w:sz w:val="22"/>
                <w:szCs w:val="22"/>
              </w:rPr>
              <w:t>Model</w:t>
            </w:r>
          </w:p>
        </w:tc>
        <w:tc>
          <w:tcPr>
            <w:tcW w:w="0" w:type="auto"/>
            <w:hideMark/>
          </w:tcPr>
          <w:p w14:paraId="1E861DA7" w14:textId="77777777" w:rsidR="0088371D" w:rsidRPr="0088371D" w:rsidRDefault="0088371D" w:rsidP="0088371D">
            <w:pPr>
              <w:spacing w:after="120" w:line="264" w:lineRule="auto"/>
              <w:rPr>
                <w:rFonts w:asciiTheme="majorBidi" w:hAnsiTheme="majorBidi" w:cstheme="majorBidi"/>
                <w:sz w:val="22"/>
                <w:szCs w:val="22"/>
              </w:rPr>
            </w:pPr>
            <w:r w:rsidRPr="0088371D">
              <w:rPr>
                <w:rFonts w:asciiTheme="majorBidi" w:hAnsiTheme="majorBidi" w:cstheme="majorBidi"/>
                <w:sz w:val="22"/>
                <w:szCs w:val="22"/>
              </w:rPr>
              <w:t>Three-factor</w:t>
            </w:r>
          </w:p>
        </w:tc>
        <w:tc>
          <w:tcPr>
            <w:tcW w:w="0" w:type="auto"/>
            <w:hideMark/>
          </w:tcPr>
          <w:p w14:paraId="1A2C5EDF" w14:textId="13B69F2B" w:rsidR="0088371D" w:rsidRPr="0088371D" w:rsidRDefault="0088371D" w:rsidP="0088371D">
            <w:pPr>
              <w:spacing w:after="120" w:line="264" w:lineRule="auto"/>
              <w:rPr>
                <w:rFonts w:asciiTheme="majorBidi" w:hAnsiTheme="majorBidi" w:cstheme="majorBidi"/>
                <w:sz w:val="22"/>
                <w:szCs w:val="22"/>
              </w:rPr>
            </w:pPr>
            <w:r w:rsidRPr="0088371D">
              <w:rPr>
                <w:rFonts w:asciiTheme="majorBidi" w:hAnsiTheme="majorBidi" w:cstheme="majorBidi"/>
                <w:sz w:val="22"/>
                <w:szCs w:val="22"/>
              </w:rPr>
              <w:t xml:space="preserve">Performance </w:t>
            </w:r>
            <w:r w:rsidR="00C7071C" w:rsidRPr="0088371D">
              <w:rPr>
                <w:rFonts w:asciiTheme="majorBidi" w:hAnsiTheme="majorBidi" w:cstheme="majorBidi"/>
                <w:sz w:val="22"/>
                <w:szCs w:val="22"/>
              </w:rPr>
              <w:t>Efficiency</w:t>
            </w:r>
            <w:r w:rsidRPr="0088371D">
              <w:rPr>
                <w:rFonts w:asciiTheme="majorBidi" w:hAnsiTheme="majorBidi" w:cstheme="majorBidi"/>
                <w:sz w:val="22"/>
                <w:szCs w:val="22"/>
              </w:rPr>
              <w:t xml:space="preserve">, Performance </w:t>
            </w:r>
            <w:r w:rsidR="00C7071C" w:rsidRPr="0088371D">
              <w:rPr>
                <w:rFonts w:asciiTheme="majorBidi" w:hAnsiTheme="majorBidi" w:cstheme="majorBidi"/>
                <w:sz w:val="22"/>
                <w:szCs w:val="22"/>
              </w:rPr>
              <w:t>Effectiveness</w:t>
            </w:r>
            <w:r w:rsidRPr="0088371D">
              <w:rPr>
                <w:rFonts w:asciiTheme="majorBidi" w:hAnsiTheme="majorBidi" w:cstheme="majorBidi"/>
                <w:sz w:val="22"/>
                <w:szCs w:val="22"/>
              </w:rPr>
              <w:t>, Performance Indicators</w:t>
            </w:r>
          </w:p>
        </w:tc>
      </w:tr>
      <w:tr w:rsidR="0088371D" w:rsidRPr="0088371D" w14:paraId="4597FDA4" w14:textId="77777777" w:rsidTr="0088371D">
        <w:tc>
          <w:tcPr>
            <w:tcW w:w="0" w:type="auto"/>
            <w:hideMark/>
          </w:tcPr>
          <w:p w14:paraId="4387A178" w14:textId="77777777" w:rsidR="0088371D" w:rsidRPr="0088371D" w:rsidRDefault="0088371D" w:rsidP="0088371D">
            <w:pPr>
              <w:spacing w:after="120" w:line="264" w:lineRule="auto"/>
              <w:rPr>
                <w:rFonts w:asciiTheme="majorBidi" w:hAnsiTheme="majorBidi" w:cstheme="majorBidi"/>
                <w:sz w:val="22"/>
                <w:szCs w:val="22"/>
              </w:rPr>
            </w:pPr>
            <w:r w:rsidRPr="0088371D">
              <w:rPr>
                <w:rFonts w:asciiTheme="majorBidi" w:hAnsiTheme="majorBidi" w:cstheme="majorBidi"/>
                <w:b/>
                <w:bCs/>
                <w:sz w:val="22"/>
                <w:szCs w:val="22"/>
              </w:rPr>
              <w:t>Number of Items</w:t>
            </w:r>
          </w:p>
        </w:tc>
        <w:tc>
          <w:tcPr>
            <w:tcW w:w="0" w:type="auto"/>
            <w:hideMark/>
          </w:tcPr>
          <w:p w14:paraId="454A5E59" w14:textId="77777777" w:rsidR="0088371D" w:rsidRPr="0088371D" w:rsidRDefault="0088371D" w:rsidP="0088371D">
            <w:pPr>
              <w:spacing w:after="120" w:line="264" w:lineRule="auto"/>
              <w:rPr>
                <w:rFonts w:asciiTheme="majorBidi" w:hAnsiTheme="majorBidi" w:cstheme="majorBidi"/>
                <w:sz w:val="22"/>
                <w:szCs w:val="22"/>
              </w:rPr>
            </w:pPr>
            <w:r w:rsidRPr="0088371D">
              <w:rPr>
                <w:rFonts w:asciiTheme="majorBidi" w:hAnsiTheme="majorBidi" w:cstheme="majorBidi"/>
                <w:sz w:val="22"/>
                <w:szCs w:val="22"/>
              </w:rPr>
              <w:t>24</w:t>
            </w:r>
          </w:p>
        </w:tc>
        <w:tc>
          <w:tcPr>
            <w:tcW w:w="0" w:type="auto"/>
            <w:hideMark/>
          </w:tcPr>
          <w:p w14:paraId="5112496F" w14:textId="77777777" w:rsidR="0088371D" w:rsidRPr="0088371D" w:rsidRDefault="0088371D" w:rsidP="0088371D">
            <w:pPr>
              <w:spacing w:after="120" w:line="264" w:lineRule="auto"/>
              <w:rPr>
                <w:rFonts w:asciiTheme="majorBidi" w:hAnsiTheme="majorBidi" w:cstheme="majorBidi"/>
                <w:sz w:val="22"/>
                <w:szCs w:val="22"/>
              </w:rPr>
            </w:pPr>
            <w:r w:rsidRPr="0088371D">
              <w:rPr>
                <w:rFonts w:asciiTheme="majorBidi" w:hAnsiTheme="majorBidi" w:cstheme="majorBidi"/>
                <w:sz w:val="22"/>
                <w:szCs w:val="22"/>
              </w:rPr>
              <w:t>Total items across all nursing performance dimensions</w:t>
            </w:r>
          </w:p>
        </w:tc>
      </w:tr>
      <w:tr w:rsidR="0088371D" w:rsidRPr="0088371D" w14:paraId="0CA35D64" w14:textId="77777777" w:rsidTr="0088371D">
        <w:tc>
          <w:tcPr>
            <w:tcW w:w="0" w:type="auto"/>
            <w:hideMark/>
          </w:tcPr>
          <w:p w14:paraId="72EA6001" w14:textId="42367969" w:rsidR="0088371D" w:rsidRPr="0088371D" w:rsidRDefault="0088371D" w:rsidP="0088371D">
            <w:pPr>
              <w:spacing w:after="120" w:line="264" w:lineRule="auto"/>
              <w:rPr>
                <w:rFonts w:asciiTheme="majorBidi" w:hAnsiTheme="majorBidi" w:cstheme="majorBidi"/>
                <w:sz w:val="22"/>
                <w:szCs w:val="22"/>
              </w:rPr>
            </w:pPr>
            <w:r w:rsidRPr="0088371D">
              <w:rPr>
                <w:rFonts w:asciiTheme="majorBidi" w:hAnsiTheme="majorBidi" w:cstheme="majorBidi"/>
                <w:b/>
                <w:bCs/>
                <w:sz w:val="22"/>
                <w:szCs w:val="22"/>
              </w:rPr>
              <w:t xml:space="preserve">CFI </w:t>
            </w:r>
          </w:p>
        </w:tc>
        <w:tc>
          <w:tcPr>
            <w:tcW w:w="0" w:type="auto"/>
            <w:hideMark/>
          </w:tcPr>
          <w:p w14:paraId="247207FE" w14:textId="77777777" w:rsidR="0088371D" w:rsidRPr="0088371D" w:rsidRDefault="0088371D" w:rsidP="0088371D">
            <w:pPr>
              <w:spacing w:after="120" w:line="264" w:lineRule="auto"/>
              <w:rPr>
                <w:rFonts w:asciiTheme="majorBidi" w:hAnsiTheme="majorBidi" w:cstheme="majorBidi"/>
                <w:sz w:val="22"/>
                <w:szCs w:val="22"/>
              </w:rPr>
            </w:pPr>
            <w:r w:rsidRPr="0088371D">
              <w:rPr>
                <w:rFonts w:asciiTheme="majorBidi" w:hAnsiTheme="majorBidi" w:cstheme="majorBidi"/>
                <w:sz w:val="22"/>
                <w:szCs w:val="22"/>
              </w:rPr>
              <w:t>0.952</w:t>
            </w:r>
          </w:p>
        </w:tc>
        <w:tc>
          <w:tcPr>
            <w:tcW w:w="0" w:type="auto"/>
            <w:hideMark/>
          </w:tcPr>
          <w:p w14:paraId="45A9580A" w14:textId="77777777" w:rsidR="0088371D" w:rsidRPr="0088371D" w:rsidRDefault="0088371D" w:rsidP="0088371D">
            <w:pPr>
              <w:spacing w:after="120" w:line="264" w:lineRule="auto"/>
              <w:rPr>
                <w:rFonts w:asciiTheme="majorBidi" w:hAnsiTheme="majorBidi" w:cstheme="majorBidi"/>
                <w:sz w:val="22"/>
                <w:szCs w:val="22"/>
              </w:rPr>
            </w:pPr>
            <w:r w:rsidRPr="0088371D">
              <w:rPr>
                <w:rFonts w:asciiTheme="majorBidi" w:hAnsiTheme="majorBidi" w:cstheme="majorBidi"/>
                <w:sz w:val="22"/>
                <w:szCs w:val="22"/>
              </w:rPr>
              <w:t>≥0.90 acceptable, ≥0.95 ideal</w:t>
            </w:r>
          </w:p>
        </w:tc>
      </w:tr>
      <w:tr w:rsidR="0088371D" w:rsidRPr="0088371D" w14:paraId="08F7453B" w14:textId="77777777" w:rsidTr="0088371D">
        <w:tc>
          <w:tcPr>
            <w:tcW w:w="0" w:type="auto"/>
            <w:hideMark/>
          </w:tcPr>
          <w:p w14:paraId="72426C10" w14:textId="3EDC91E1" w:rsidR="0088371D" w:rsidRPr="0088371D" w:rsidRDefault="0088371D" w:rsidP="0088371D">
            <w:pPr>
              <w:spacing w:after="120" w:line="264" w:lineRule="auto"/>
              <w:rPr>
                <w:rFonts w:asciiTheme="majorBidi" w:hAnsiTheme="majorBidi" w:cstheme="majorBidi"/>
                <w:sz w:val="22"/>
                <w:szCs w:val="22"/>
              </w:rPr>
            </w:pPr>
            <w:r w:rsidRPr="0088371D">
              <w:rPr>
                <w:rFonts w:asciiTheme="majorBidi" w:hAnsiTheme="majorBidi" w:cstheme="majorBidi"/>
                <w:b/>
                <w:bCs/>
                <w:sz w:val="22"/>
                <w:szCs w:val="22"/>
              </w:rPr>
              <w:t xml:space="preserve">TLI </w:t>
            </w:r>
          </w:p>
        </w:tc>
        <w:tc>
          <w:tcPr>
            <w:tcW w:w="0" w:type="auto"/>
            <w:hideMark/>
          </w:tcPr>
          <w:p w14:paraId="79389E7D" w14:textId="77777777" w:rsidR="0088371D" w:rsidRPr="0088371D" w:rsidRDefault="0088371D" w:rsidP="0088371D">
            <w:pPr>
              <w:spacing w:after="120" w:line="264" w:lineRule="auto"/>
              <w:rPr>
                <w:rFonts w:asciiTheme="majorBidi" w:hAnsiTheme="majorBidi" w:cstheme="majorBidi"/>
                <w:sz w:val="22"/>
                <w:szCs w:val="22"/>
              </w:rPr>
            </w:pPr>
            <w:r w:rsidRPr="0088371D">
              <w:rPr>
                <w:rFonts w:asciiTheme="majorBidi" w:hAnsiTheme="majorBidi" w:cstheme="majorBidi"/>
                <w:sz w:val="22"/>
                <w:szCs w:val="22"/>
              </w:rPr>
              <w:t>0.940</w:t>
            </w:r>
          </w:p>
        </w:tc>
        <w:tc>
          <w:tcPr>
            <w:tcW w:w="0" w:type="auto"/>
            <w:hideMark/>
          </w:tcPr>
          <w:p w14:paraId="0C252B35" w14:textId="77777777" w:rsidR="0088371D" w:rsidRPr="0088371D" w:rsidRDefault="0088371D" w:rsidP="0088371D">
            <w:pPr>
              <w:spacing w:after="120" w:line="264" w:lineRule="auto"/>
              <w:rPr>
                <w:rFonts w:asciiTheme="majorBidi" w:hAnsiTheme="majorBidi" w:cstheme="majorBidi"/>
                <w:sz w:val="22"/>
                <w:szCs w:val="22"/>
              </w:rPr>
            </w:pPr>
            <w:r w:rsidRPr="0088371D">
              <w:rPr>
                <w:rFonts w:asciiTheme="majorBidi" w:hAnsiTheme="majorBidi" w:cstheme="majorBidi"/>
                <w:sz w:val="22"/>
                <w:szCs w:val="22"/>
              </w:rPr>
              <w:t>≥0.90 acceptable, ≥0.95 ideal</w:t>
            </w:r>
          </w:p>
        </w:tc>
      </w:tr>
      <w:tr w:rsidR="0088371D" w:rsidRPr="0088371D" w14:paraId="4FE3AABF" w14:textId="77777777" w:rsidTr="0088371D">
        <w:tc>
          <w:tcPr>
            <w:tcW w:w="0" w:type="auto"/>
            <w:hideMark/>
          </w:tcPr>
          <w:p w14:paraId="1127AC06" w14:textId="2ED52B52" w:rsidR="0088371D" w:rsidRPr="0088371D" w:rsidRDefault="0088371D" w:rsidP="0088371D">
            <w:pPr>
              <w:spacing w:after="120" w:line="264" w:lineRule="auto"/>
              <w:rPr>
                <w:rFonts w:asciiTheme="majorBidi" w:hAnsiTheme="majorBidi" w:cstheme="majorBidi"/>
                <w:sz w:val="22"/>
                <w:szCs w:val="22"/>
              </w:rPr>
            </w:pPr>
            <w:r w:rsidRPr="0088371D">
              <w:rPr>
                <w:rFonts w:asciiTheme="majorBidi" w:hAnsiTheme="majorBidi" w:cstheme="majorBidi"/>
                <w:b/>
                <w:bCs/>
                <w:sz w:val="22"/>
                <w:szCs w:val="22"/>
              </w:rPr>
              <w:t xml:space="preserve">NFI </w:t>
            </w:r>
          </w:p>
        </w:tc>
        <w:tc>
          <w:tcPr>
            <w:tcW w:w="0" w:type="auto"/>
            <w:hideMark/>
          </w:tcPr>
          <w:p w14:paraId="39FF0F83" w14:textId="77777777" w:rsidR="0088371D" w:rsidRPr="0088371D" w:rsidRDefault="0088371D" w:rsidP="0088371D">
            <w:pPr>
              <w:spacing w:after="120" w:line="264" w:lineRule="auto"/>
              <w:rPr>
                <w:rFonts w:asciiTheme="majorBidi" w:hAnsiTheme="majorBidi" w:cstheme="majorBidi"/>
                <w:sz w:val="22"/>
                <w:szCs w:val="22"/>
              </w:rPr>
            </w:pPr>
            <w:r w:rsidRPr="0088371D">
              <w:rPr>
                <w:rFonts w:asciiTheme="majorBidi" w:hAnsiTheme="majorBidi" w:cstheme="majorBidi"/>
                <w:sz w:val="22"/>
                <w:szCs w:val="22"/>
              </w:rPr>
              <w:t>0.932</w:t>
            </w:r>
          </w:p>
        </w:tc>
        <w:tc>
          <w:tcPr>
            <w:tcW w:w="0" w:type="auto"/>
            <w:hideMark/>
          </w:tcPr>
          <w:p w14:paraId="0902EA50" w14:textId="77777777" w:rsidR="0088371D" w:rsidRPr="0088371D" w:rsidRDefault="0088371D" w:rsidP="0088371D">
            <w:pPr>
              <w:spacing w:after="120" w:line="264" w:lineRule="auto"/>
              <w:rPr>
                <w:rFonts w:asciiTheme="majorBidi" w:hAnsiTheme="majorBidi" w:cstheme="majorBidi"/>
                <w:sz w:val="22"/>
                <w:szCs w:val="22"/>
              </w:rPr>
            </w:pPr>
            <w:r w:rsidRPr="0088371D">
              <w:rPr>
                <w:rFonts w:asciiTheme="majorBidi" w:hAnsiTheme="majorBidi" w:cstheme="majorBidi"/>
                <w:sz w:val="22"/>
                <w:szCs w:val="22"/>
              </w:rPr>
              <w:t>≥0.90 acceptable</w:t>
            </w:r>
          </w:p>
        </w:tc>
      </w:tr>
      <w:tr w:rsidR="0088371D" w:rsidRPr="0088371D" w14:paraId="4AF9F8DB" w14:textId="77777777" w:rsidTr="0088371D">
        <w:tc>
          <w:tcPr>
            <w:tcW w:w="0" w:type="auto"/>
            <w:hideMark/>
          </w:tcPr>
          <w:p w14:paraId="6C1A3741" w14:textId="42EBC6AD" w:rsidR="0088371D" w:rsidRPr="0088371D" w:rsidRDefault="0088371D" w:rsidP="0088371D">
            <w:pPr>
              <w:spacing w:after="120" w:line="264" w:lineRule="auto"/>
              <w:rPr>
                <w:rFonts w:asciiTheme="majorBidi" w:hAnsiTheme="majorBidi" w:cstheme="majorBidi"/>
                <w:sz w:val="22"/>
                <w:szCs w:val="22"/>
              </w:rPr>
            </w:pPr>
            <w:r w:rsidRPr="0088371D">
              <w:rPr>
                <w:rFonts w:asciiTheme="majorBidi" w:hAnsiTheme="majorBidi" w:cstheme="majorBidi"/>
                <w:b/>
                <w:bCs/>
                <w:sz w:val="22"/>
                <w:szCs w:val="22"/>
              </w:rPr>
              <w:t>RMSEA</w:t>
            </w:r>
          </w:p>
        </w:tc>
        <w:tc>
          <w:tcPr>
            <w:tcW w:w="0" w:type="auto"/>
            <w:hideMark/>
          </w:tcPr>
          <w:p w14:paraId="44C69899" w14:textId="77777777" w:rsidR="0088371D" w:rsidRPr="0088371D" w:rsidRDefault="0088371D" w:rsidP="0088371D">
            <w:pPr>
              <w:spacing w:after="120" w:line="264" w:lineRule="auto"/>
              <w:rPr>
                <w:rFonts w:asciiTheme="majorBidi" w:hAnsiTheme="majorBidi" w:cstheme="majorBidi"/>
                <w:sz w:val="22"/>
                <w:szCs w:val="22"/>
              </w:rPr>
            </w:pPr>
            <w:r w:rsidRPr="0088371D">
              <w:rPr>
                <w:rFonts w:asciiTheme="majorBidi" w:hAnsiTheme="majorBidi" w:cstheme="majorBidi"/>
                <w:sz w:val="22"/>
                <w:szCs w:val="22"/>
              </w:rPr>
              <w:t>0.064</w:t>
            </w:r>
          </w:p>
        </w:tc>
        <w:tc>
          <w:tcPr>
            <w:tcW w:w="0" w:type="auto"/>
            <w:hideMark/>
          </w:tcPr>
          <w:p w14:paraId="11D8F349" w14:textId="77777777" w:rsidR="0088371D" w:rsidRPr="0088371D" w:rsidRDefault="0088371D" w:rsidP="0088371D">
            <w:pPr>
              <w:spacing w:after="120" w:line="264" w:lineRule="auto"/>
              <w:rPr>
                <w:rFonts w:asciiTheme="majorBidi" w:hAnsiTheme="majorBidi" w:cstheme="majorBidi"/>
                <w:sz w:val="22"/>
                <w:szCs w:val="22"/>
              </w:rPr>
            </w:pPr>
            <w:r w:rsidRPr="0088371D">
              <w:rPr>
                <w:rFonts w:asciiTheme="majorBidi" w:hAnsiTheme="majorBidi" w:cstheme="majorBidi"/>
                <w:sz w:val="22"/>
                <w:szCs w:val="22"/>
              </w:rPr>
              <w:t>≤0.06 good fit, ≤0.08 acceptable</w:t>
            </w:r>
          </w:p>
        </w:tc>
      </w:tr>
      <w:tr w:rsidR="0088371D" w:rsidRPr="0088371D" w14:paraId="758B24E2" w14:textId="77777777" w:rsidTr="0088371D">
        <w:tc>
          <w:tcPr>
            <w:tcW w:w="0" w:type="auto"/>
            <w:hideMark/>
          </w:tcPr>
          <w:p w14:paraId="72CCD261" w14:textId="6A31A52D" w:rsidR="0088371D" w:rsidRPr="0088371D" w:rsidRDefault="0088371D" w:rsidP="0088371D">
            <w:pPr>
              <w:spacing w:after="120" w:line="264" w:lineRule="auto"/>
              <w:rPr>
                <w:rFonts w:asciiTheme="majorBidi" w:hAnsiTheme="majorBidi" w:cstheme="majorBidi"/>
                <w:sz w:val="22"/>
                <w:szCs w:val="22"/>
              </w:rPr>
            </w:pPr>
            <w:r w:rsidRPr="0088371D">
              <w:rPr>
                <w:rFonts w:asciiTheme="majorBidi" w:hAnsiTheme="majorBidi" w:cstheme="majorBidi"/>
                <w:b/>
                <w:bCs/>
                <w:sz w:val="22"/>
                <w:szCs w:val="22"/>
              </w:rPr>
              <w:t xml:space="preserve">CMIN/DF </w:t>
            </w:r>
          </w:p>
        </w:tc>
        <w:tc>
          <w:tcPr>
            <w:tcW w:w="0" w:type="auto"/>
            <w:hideMark/>
          </w:tcPr>
          <w:p w14:paraId="36AFD7DD" w14:textId="77777777" w:rsidR="0088371D" w:rsidRPr="0088371D" w:rsidRDefault="0088371D" w:rsidP="0088371D">
            <w:pPr>
              <w:spacing w:after="120" w:line="264" w:lineRule="auto"/>
              <w:rPr>
                <w:rFonts w:asciiTheme="majorBidi" w:hAnsiTheme="majorBidi" w:cstheme="majorBidi"/>
                <w:sz w:val="22"/>
                <w:szCs w:val="22"/>
              </w:rPr>
            </w:pPr>
            <w:r w:rsidRPr="0088371D">
              <w:rPr>
                <w:rFonts w:asciiTheme="majorBidi" w:hAnsiTheme="majorBidi" w:cstheme="majorBidi"/>
                <w:sz w:val="22"/>
                <w:szCs w:val="22"/>
              </w:rPr>
              <w:t>3.163</w:t>
            </w:r>
          </w:p>
        </w:tc>
        <w:tc>
          <w:tcPr>
            <w:tcW w:w="0" w:type="auto"/>
            <w:hideMark/>
          </w:tcPr>
          <w:p w14:paraId="12F9003F" w14:textId="77777777" w:rsidR="0088371D" w:rsidRPr="0088371D" w:rsidRDefault="0088371D" w:rsidP="0088371D">
            <w:pPr>
              <w:spacing w:after="120" w:line="264" w:lineRule="auto"/>
              <w:rPr>
                <w:rFonts w:asciiTheme="majorBidi" w:hAnsiTheme="majorBidi" w:cstheme="majorBidi"/>
                <w:sz w:val="22"/>
                <w:szCs w:val="22"/>
              </w:rPr>
            </w:pPr>
            <w:r w:rsidRPr="0088371D">
              <w:rPr>
                <w:rFonts w:asciiTheme="majorBidi" w:hAnsiTheme="majorBidi" w:cstheme="majorBidi"/>
                <w:sz w:val="22"/>
                <w:szCs w:val="22"/>
              </w:rPr>
              <w:t xml:space="preserve">≤3 good fit, ≤5 acceptable; χ² and </w:t>
            </w:r>
            <w:proofErr w:type="spellStart"/>
            <w:r w:rsidRPr="0088371D">
              <w:rPr>
                <w:rFonts w:asciiTheme="majorBidi" w:hAnsiTheme="majorBidi" w:cstheme="majorBidi"/>
                <w:sz w:val="22"/>
                <w:szCs w:val="22"/>
              </w:rPr>
              <w:t>df</w:t>
            </w:r>
            <w:proofErr w:type="spellEnd"/>
            <w:r w:rsidRPr="0088371D">
              <w:rPr>
                <w:rFonts w:asciiTheme="majorBidi" w:hAnsiTheme="majorBidi" w:cstheme="majorBidi"/>
                <w:sz w:val="22"/>
                <w:szCs w:val="22"/>
              </w:rPr>
              <w:t xml:space="preserve"> values unavailable</w:t>
            </w:r>
          </w:p>
        </w:tc>
      </w:tr>
      <w:tr w:rsidR="0088371D" w:rsidRPr="0088371D" w14:paraId="215D96F8" w14:textId="77777777" w:rsidTr="0088371D">
        <w:tc>
          <w:tcPr>
            <w:tcW w:w="0" w:type="auto"/>
            <w:hideMark/>
          </w:tcPr>
          <w:p w14:paraId="7612F48C" w14:textId="77777777" w:rsidR="0088371D" w:rsidRPr="0088371D" w:rsidRDefault="0088371D" w:rsidP="0088371D">
            <w:pPr>
              <w:spacing w:after="120" w:line="264" w:lineRule="auto"/>
              <w:rPr>
                <w:rFonts w:asciiTheme="majorBidi" w:hAnsiTheme="majorBidi" w:cstheme="majorBidi"/>
                <w:sz w:val="22"/>
                <w:szCs w:val="22"/>
              </w:rPr>
            </w:pPr>
            <w:r w:rsidRPr="0088371D">
              <w:rPr>
                <w:rFonts w:asciiTheme="majorBidi" w:hAnsiTheme="majorBidi" w:cstheme="majorBidi"/>
                <w:b/>
                <w:bCs/>
                <w:sz w:val="22"/>
                <w:szCs w:val="22"/>
              </w:rPr>
              <w:t>P-Value</w:t>
            </w:r>
          </w:p>
        </w:tc>
        <w:tc>
          <w:tcPr>
            <w:tcW w:w="0" w:type="auto"/>
            <w:hideMark/>
          </w:tcPr>
          <w:p w14:paraId="503CA834" w14:textId="77777777" w:rsidR="0088371D" w:rsidRPr="0088371D" w:rsidRDefault="0088371D" w:rsidP="0088371D">
            <w:pPr>
              <w:spacing w:after="120" w:line="264" w:lineRule="auto"/>
              <w:rPr>
                <w:rFonts w:asciiTheme="majorBidi" w:hAnsiTheme="majorBidi" w:cstheme="majorBidi"/>
                <w:sz w:val="22"/>
                <w:szCs w:val="22"/>
              </w:rPr>
            </w:pPr>
            <w:r w:rsidRPr="0088371D">
              <w:rPr>
                <w:rFonts w:asciiTheme="majorBidi" w:hAnsiTheme="majorBidi" w:cstheme="majorBidi"/>
                <w:sz w:val="22"/>
                <w:szCs w:val="22"/>
              </w:rPr>
              <w:t>0.000</w:t>
            </w:r>
          </w:p>
        </w:tc>
        <w:tc>
          <w:tcPr>
            <w:tcW w:w="0" w:type="auto"/>
            <w:hideMark/>
          </w:tcPr>
          <w:p w14:paraId="420DAAC8" w14:textId="77777777" w:rsidR="0088371D" w:rsidRPr="0088371D" w:rsidRDefault="0088371D" w:rsidP="0088371D">
            <w:pPr>
              <w:spacing w:after="120" w:line="264" w:lineRule="auto"/>
              <w:rPr>
                <w:rFonts w:asciiTheme="majorBidi" w:hAnsiTheme="majorBidi" w:cstheme="majorBidi"/>
                <w:sz w:val="22"/>
                <w:szCs w:val="22"/>
              </w:rPr>
            </w:pPr>
            <w:r w:rsidRPr="0088371D">
              <w:rPr>
                <w:rFonts w:asciiTheme="majorBidi" w:hAnsiTheme="majorBidi" w:cstheme="majorBidi"/>
                <w:sz w:val="22"/>
                <w:szCs w:val="22"/>
              </w:rPr>
              <w:t>Statistically significant, typical in large samples</w:t>
            </w:r>
          </w:p>
        </w:tc>
      </w:tr>
      <w:tr w:rsidR="0088371D" w:rsidRPr="0088371D" w14:paraId="16956690" w14:textId="77777777" w:rsidTr="0088371D">
        <w:tc>
          <w:tcPr>
            <w:tcW w:w="0" w:type="auto"/>
            <w:hideMark/>
          </w:tcPr>
          <w:p w14:paraId="1E75798B" w14:textId="77777777" w:rsidR="0088371D" w:rsidRPr="0088371D" w:rsidRDefault="0088371D" w:rsidP="0088371D">
            <w:pPr>
              <w:spacing w:after="120" w:line="264" w:lineRule="auto"/>
              <w:rPr>
                <w:rFonts w:asciiTheme="majorBidi" w:hAnsiTheme="majorBidi" w:cstheme="majorBidi"/>
                <w:sz w:val="22"/>
                <w:szCs w:val="22"/>
              </w:rPr>
            </w:pPr>
            <w:r w:rsidRPr="0088371D">
              <w:rPr>
                <w:rFonts w:asciiTheme="majorBidi" w:hAnsiTheme="majorBidi" w:cstheme="majorBidi"/>
                <w:b/>
                <w:bCs/>
                <w:sz w:val="22"/>
                <w:szCs w:val="22"/>
              </w:rPr>
              <w:t>Factor Loadings</w:t>
            </w:r>
          </w:p>
        </w:tc>
        <w:tc>
          <w:tcPr>
            <w:tcW w:w="0" w:type="auto"/>
            <w:hideMark/>
          </w:tcPr>
          <w:p w14:paraId="1BC48DFC" w14:textId="77777777" w:rsidR="0088371D" w:rsidRPr="0088371D" w:rsidRDefault="0088371D" w:rsidP="0088371D">
            <w:pPr>
              <w:spacing w:after="120" w:line="264" w:lineRule="auto"/>
              <w:rPr>
                <w:rFonts w:asciiTheme="majorBidi" w:hAnsiTheme="majorBidi" w:cstheme="majorBidi"/>
                <w:sz w:val="22"/>
                <w:szCs w:val="22"/>
              </w:rPr>
            </w:pPr>
          </w:p>
        </w:tc>
        <w:tc>
          <w:tcPr>
            <w:tcW w:w="0" w:type="auto"/>
            <w:hideMark/>
          </w:tcPr>
          <w:p w14:paraId="5E87B0C5" w14:textId="77777777" w:rsidR="0088371D" w:rsidRPr="0088371D" w:rsidRDefault="0088371D" w:rsidP="0088371D">
            <w:pPr>
              <w:spacing w:after="120" w:line="264" w:lineRule="auto"/>
              <w:rPr>
                <w:rFonts w:asciiTheme="majorBidi" w:hAnsiTheme="majorBidi" w:cstheme="majorBidi"/>
                <w:sz w:val="22"/>
                <w:szCs w:val="22"/>
              </w:rPr>
            </w:pPr>
            <w:r w:rsidRPr="0088371D">
              <w:rPr>
                <w:rFonts w:asciiTheme="majorBidi" w:hAnsiTheme="majorBidi" w:cstheme="majorBidi"/>
                <w:sz w:val="22"/>
                <w:szCs w:val="22"/>
              </w:rPr>
              <w:t>All loadings &gt;0.4, confirming construct validity</w:t>
            </w:r>
          </w:p>
        </w:tc>
      </w:tr>
      <w:tr w:rsidR="0088371D" w:rsidRPr="0088371D" w14:paraId="0456AF5E" w14:textId="77777777" w:rsidTr="0088371D">
        <w:tc>
          <w:tcPr>
            <w:tcW w:w="0" w:type="auto"/>
            <w:hideMark/>
          </w:tcPr>
          <w:p w14:paraId="7C8C527D" w14:textId="0B70035F" w:rsidR="0088371D" w:rsidRPr="0088371D" w:rsidRDefault="0088371D" w:rsidP="0088371D">
            <w:pPr>
              <w:spacing w:after="120" w:line="264" w:lineRule="auto"/>
              <w:rPr>
                <w:rFonts w:asciiTheme="majorBidi" w:hAnsiTheme="majorBidi" w:cstheme="majorBidi"/>
                <w:sz w:val="22"/>
                <w:szCs w:val="22"/>
              </w:rPr>
            </w:pPr>
            <w:r w:rsidRPr="0088371D">
              <w:rPr>
                <w:rFonts w:asciiTheme="majorBidi" w:hAnsiTheme="majorBidi" w:cstheme="majorBidi"/>
                <w:sz w:val="22"/>
                <w:szCs w:val="22"/>
              </w:rPr>
              <w:t>- Performance</w:t>
            </w:r>
            <w:r w:rsidR="001C041D">
              <w:rPr>
                <w:rFonts w:asciiTheme="majorBidi" w:hAnsiTheme="majorBidi" w:cstheme="majorBidi"/>
                <w:sz w:val="22"/>
                <w:szCs w:val="22"/>
              </w:rPr>
              <w:t xml:space="preserve"> </w:t>
            </w:r>
            <w:r w:rsidR="00B16A4A" w:rsidRPr="0088371D">
              <w:rPr>
                <w:rFonts w:asciiTheme="majorBidi" w:hAnsiTheme="majorBidi" w:cstheme="majorBidi"/>
                <w:sz w:val="22"/>
                <w:szCs w:val="22"/>
              </w:rPr>
              <w:t>Efficiency</w:t>
            </w:r>
          </w:p>
        </w:tc>
        <w:tc>
          <w:tcPr>
            <w:tcW w:w="0" w:type="auto"/>
            <w:hideMark/>
          </w:tcPr>
          <w:p w14:paraId="2E457DBF" w14:textId="5A8F17E0" w:rsidR="0088371D" w:rsidRPr="0088371D" w:rsidRDefault="0088371D" w:rsidP="00B16A4A">
            <w:pPr>
              <w:spacing w:after="120" w:line="264" w:lineRule="auto"/>
              <w:rPr>
                <w:rFonts w:asciiTheme="majorBidi" w:hAnsiTheme="majorBidi" w:cstheme="majorBidi"/>
                <w:sz w:val="22"/>
                <w:szCs w:val="22"/>
              </w:rPr>
            </w:pPr>
            <w:r w:rsidRPr="0088371D">
              <w:rPr>
                <w:rFonts w:asciiTheme="majorBidi" w:hAnsiTheme="majorBidi" w:cstheme="majorBidi"/>
                <w:sz w:val="22"/>
                <w:szCs w:val="22"/>
              </w:rPr>
              <w:t>0.53–</w:t>
            </w:r>
            <w:r w:rsidR="00B16A4A" w:rsidRPr="00B16A4A">
              <w:rPr>
                <w:rFonts w:asciiTheme="majorBidi" w:hAnsiTheme="majorBidi" w:cstheme="majorBidi"/>
                <w:sz w:val="22"/>
                <w:szCs w:val="22"/>
              </w:rPr>
              <w:t>0.88</w:t>
            </w:r>
          </w:p>
        </w:tc>
        <w:tc>
          <w:tcPr>
            <w:tcW w:w="0" w:type="auto"/>
            <w:hideMark/>
          </w:tcPr>
          <w:p w14:paraId="3AF5D770" w14:textId="3D6E27D7" w:rsidR="0088371D" w:rsidRPr="0088371D" w:rsidRDefault="0088371D" w:rsidP="0088371D">
            <w:pPr>
              <w:spacing w:after="120" w:line="264" w:lineRule="auto"/>
              <w:rPr>
                <w:rFonts w:asciiTheme="majorBidi" w:hAnsiTheme="majorBidi" w:cstheme="majorBidi"/>
                <w:sz w:val="22"/>
                <w:szCs w:val="22"/>
              </w:rPr>
            </w:pPr>
            <w:r w:rsidRPr="0088371D">
              <w:rPr>
                <w:rFonts w:asciiTheme="majorBidi" w:hAnsiTheme="majorBidi" w:cstheme="majorBidi"/>
                <w:sz w:val="22"/>
                <w:szCs w:val="22"/>
              </w:rPr>
              <w:t xml:space="preserve">5 items </w:t>
            </w:r>
            <w:r w:rsidR="001C041D" w:rsidRPr="0088371D">
              <w:rPr>
                <w:rFonts w:asciiTheme="majorBidi" w:hAnsiTheme="majorBidi" w:cstheme="majorBidi"/>
                <w:sz w:val="22"/>
                <w:szCs w:val="22"/>
              </w:rPr>
              <w:t>(Y1–Y5)</w:t>
            </w:r>
          </w:p>
        </w:tc>
      </w:tr>
      <w:tr w:rsidR="0088371D" w:rsidRPr="0088371D" w14:paraId="49075A2C" w14:textId="77777777" w:rsidTr="0088371D">
        <w:tc>
          <w:tcPr>
            <w:tcW w:w="0" w:type="auto"/>
            <w:hideMark/>
          </w:tcPr>
          <w:p w14:paraId="0C926E29" w14:textId="1886EE48" w:rsidR="0088371D" w:rsidRPr="0088371D" w:rsidRDefault="0088371D" w:rsidP="0088371D">
            <w:pPr>
              <w:spacing w:after="120" w:line="264" w:lineRule="auto"/>
              <w:rPr>
                <w:rFonts w:asciiTheme="majorBidi" w:hAnsiTheme="majorBidi" w:cstheme="majorBidi"/>
                <w:sz w:val="22"/>
                <w:szCs w:val="22"/>
              </w:rPr>
            </w:pPr>
            <w:r w:rsidRPr="0088371D">
              <w:rPr>
                <w:rFonts w:asciiTheme="majorBidi" w:hAnsiTheme="majorBidi" w:cstheme="majorBidi"/>
                <w:sz w:val="22"/>
                <w:szCs w:val="22"/>
              </w:rPr>
              <w:lastRenderedPageBreak/>
              <w:t xml:space="preserve">- Performance </w:t>
            </w:r>
            <w:r w:rsidR="00B16A4A" w:rsidRPr="0088371D">
              <w:rPr>
                <w:rFonts w:asciiTheme="majorBidi" w:hAnsiTheme="majorBidi" w:cstheme="majorBidi"/>
                <w:sz w:val="22"/>
                <w:szCs w:val="22"/>
              </w:rPr>
              <w:t>Effectiveness</w:t>
            </w:r>
          </w:p>
        </w:tc>
        <w:tc>
          <w:tcPr>
            <w:tcW w:w="0" w:type="auto"/>
            <w:hideMark/>
          </w:tcPr>
          <w:p w14:paraId="6898D988" w14:textId="5D2FCD69" w:rsidR="0088371D" w:rsidRPr="0088371D" w:rsidRDefault="0088371D" w:rsidP="0088371D">
            <w:pPr>
              <w:spacing w:after="120" w:line="264" w:lineRule="auto"/>
              <w:rPr>
                <w:rFonts w:asciiTheme="majorBidi" w:hAnsiTheme="majorBidi" w:cstheme="majorBidi"/>
                <w:sz w:val="22"/>
                <w:szCs w:val="22"/>
              </w:rPr>
            </w:pPr>
            <w:r w:rsidRPr="0088371D">
              <w:rPr>
                <w:rFonts w:asciiTheme="majorBidi" w:hAnsiTheme="majorBidi" w:cstheme="majorBidi"/>
                <w:sz w:val="22"/>
                <w:szCs w:val="22"/>
              </w:rPr>
              <w:t xml:space="preserve">0.72–0.80 </w:t>
            </w:r>
          </w:p>
        </w:tc>
        <w:tc>
          <w:tcPr>
            <w:tcW w:w="0" w:type="auto"/>
            <w:hideMark/>
          </w:tcPr>
          <w:p w14:paraId="4ADE30EA" w14:textId="0DE80C84" w:rsidR="0088371D" w:rsidRPr="0088371D" w:rsidRDefault="0088371D" w:rsidP="0088371D">
            <w:pPr>
              <w:spacing w:after="120" w:line="264" w:lineRule="auto"/>
              <w:rPr>
                <w:rFonts w:asciiTheme="majorBidi" w:hAnsiTheme="majorBidi" w:cstheme="majorBidi"/>
                <w:sz w:val="22"/>
                <w:szCs w:val="22"/>
              </w:rPr>
            </w:pPr>
            <w:r w:rsidRPr="0088371D">
              <w:rPr>
                <w:rFonts w:asciiTheme="majorBidi" w:hAnsiTheme="majorBidi" w:cstheme="majorBidi"/>
                <w:sz w:val="22"/>
                <w:szCs w:val="22"/>
              </w:rPr>
              <w:t xml:space="preserve">4 items </w:t>
            </w:r>
            <w:r w:rsidR="001C041D" w:rsidRPr="0088371D">
              <w:rPr>
                <w:rFonts w:asciiTheme="majorBidi" w:hAnsiTheme="majorBidi" w:cstheme="majorBidi"/>
                <w:sz w:val="22"/>
                <w:szCs w:val="22"/>
              </w:rPr>
              <w:t>(Y6–Y9)</w:t>
            </w:r>
          </w:p>
        </w:tc>
      </w:tr>
      <w:tr w:rsidR="0088371D" w:rsidRPr="0088371D" w14:paraId="18DB368A" w14:textId="77777777" w:rsidTr="0088371D">
        <w:tc>
          <w:tcPr>
            <w:tcW w:w="0" w:type="auto"/>
            <w:hideMark/>
          </w:tcPr>
          <w:p w14:paraId="3A1B29AB" w14:textId="77777777" w:rsidR="0088371D" w:rsidRPr="0088371D" w:rsidRDefault="0088371D" w:rsidP="0088371D">
            <w:pPr>
              <w:spacing w:after="120" w:line="264" w:lineRule="auto"/>
              <w:rPr>
                <w:rFonts w:asciiTheme="majorBidi" w:hAnsiTheme="majorBidi" w:cstheme="majorBidi"/>
                <w:sz w:val="22"/>
                <w:szCs w:val="22"/>
              </w:rPr>
            </w:pPr>
            <w:r w:rsidRPr="0088371D">
              <w:rPr>
                <w:rFonts w:asciiTheme="majorBidi" w:hAnsiTheme="majorBidi" w:cstheme="majorBidi"/>
                <w:sz w:val="22"/>
                <w:szCs w:val="22"/>
              </w:rPr>
              <w:t>- Performance Indicators</w:t>
            </w:r>
          </w:p>
        </w:tc>
        <w:tc>
          <w:tcPr>
            <w:tcW w:w="0" w:type="auto"/>
            <w:hideMark/>
          </w:tcPr>
          <w:p w14:paraId="3F1A5D3D" w14:textId="24480FD5" w:rsidR="0088371D" w:rsidRPr="0088371D" w:rsidRDefault="0088371D" w:rsidP="0088371D">
            <w:pPr>
              <w:spacing w:after="120" w:line="264" w:lineRule="auto"/>
              <w:rPr>
                <w:rFonts w:asciiTheme="majorBidi" w:hAnsiTheme="majorBidi" w:cstheme="majorBidi"/>
                <w:sz w:val="22"/>
                <w:szCs w:val="22"/>
              </w:rPr>
            </w:pPr>
            <w:r w:rsidRPr="0088371D">
              <w:rPr>
                <w:rFonts w:asciiTheme="majorBidi" w:hAnsiTheme="majorBidi" w:cstheme="majorBidi"/>
                <w:sz w:val="22"/>
                <w:szCs w:val="22"/>
              </w:rPr>
              <w:t xml:space="preserve">0.41–0.88 </w:t>
            </w:r>
          </w:p>
        </w:tc>
        <w:tc>
          <w:tcPr>
            <w:tcW w:w="0" w:type="auto"/>
            <w:hideMark/>
          </w:tcPr>
          <w:p w14:paraId="7177B803" w14:textId="7E4F2442" w:rsidR="0088371D" w:rsidRPr="0088371D" w:rsidRDefault="0088371D" w:rsidP="0088371D">
            <w:pPr>
              <w:spacing w:after="120" w:line="264" w:lineRule="auto"/>
              <w:rPr>
                <w:rFonts w:asciiTheme="majorBidi" w:hAnsiTheme="majorBidi" w:cstheme="majorBidi"/>
                <w:sz w:val="22"/>
                <w:szCs w:val="22"/>
              </w:rPr>
            </w:pPr>
            <w:r w:rsidRPr="0088371D">
              <w:rPr>
                <w:rFonts w:asciiTheme="majorBidi" w:hAnsiTheme="majorBidi" w:cstheme="majorBidi"/>
                <w:sz w:val="22"/>
                <w:szCs w:val="22"/>
              </w:rPr>
              <w:t>15 items</w:t>
            </w:r>
            <w:r w:rsidR="001C041D">
              <w:rPr>
                <w:rFonts w:asciiTheme="majorBidi" w:hAnsiTheme="majorBidi" w:cstheme="majorBidi"/>
                <w:sz w:val="22"/>
                <w:szCs w:val="22"/>
              </w:rPr>
              <w:t xml:space="preserve"> </w:t>
            </w:r>
            <w:r w:rsidR="001C041D" w:rsidRPr="0088371D">
              <w:rPr>
                <w:rFonts w:asciiTheme="majorBidi" w:hAnsiTheme="majorBidi" w:cstheme="majorBidi"/>
                <w:sz w:val="22"/>
                <w:szCs w:val="22"/>
              </w:rPr>
              <w:t>(Y10–Y24)</w:t>
            </w:r>
          </w:p>
        </w:tc>
      </w:tr>
    </w:tbl>
    <w:p w14:paraId="2CC811E4" w14:textId="1C74EE7C" w:rsidR="0088371D" w:rsidRDefault="001C041D" w:rsidP="0088371D">
      <w:pPr>
        <w:rPr>
          <w:rFonts w:asciiTheme="majorBidi" w:hAnsiTheme="majorBidi" w:cstheme="majorBidi"/>
          <w:i/>
          <w:iCs/>
        </w:rPr>
      </w:pPr>
      <w:r>
        <w:rPr>
          <w:rFonts w:asciiTheme="majorBidi" w:hAnsiTheme="majorBidi" w:cstheme="majorBidi"/>
          <w:b/>
          <w:bCs/>
          <w:i/>
          <w:iCs/>
        </w:rPr>
        <w:t>Note</w:t>
      </w:r>
      <w:r w:rsidR="0088371D" w:rsidRPr="0088371D">
        <w:rPr>
          <w:rFonts w:asciiTheme="majorBidi" w:hAnsiTheme="majorBidi" w:cstheme="majorBidi"/>
          <w:b/>
          <w:bCs/>
          <w:i/>
          <w:iCs/>
        </w:rPr>
        <w:t>:</w:t>
      </w:r>
      <w:r w:rsidR="0088371D" w:rsidRPr="0088371D">
        <w:rPr>
          <w:rFonts w:asciiTheme="majorBidi" w:hAnsiTheme="majorBidi" w:cstheme="majorBidi"/>
          <w:i/>
          <w:iCs/>
        </w:rPr>
        <w:t xml:space="preserve"> This table summarizes the CFA results for the three-factor nursing performance model, validating the 24-item structure. Fit indices indicate an acceptable-to-good model fit, and all factor loadings exceed the threshold of 0.4, confirming construct validity.</w:t>
      </w:r>
    </w:p>
    <w:p w14:paraId="0D4E95D6" w14:textId="40AA6911" w:rsidR="001C041D" w:rsidRPr="001C041D" w:rsidRDefault="001C041D" w:rsidP="001C041D">
      <w:pPr>
        <w:rPr>
          <w:rFonts w:asciiTheme="majorBidi" w:hAnsiTheme="majorBidi" w:cstheme="majorBidi"/>
          <w:i/>
          <w:iCs/>
        </w:rPr>
      </w:pPr>
      <w:r w:rsidRPr="001C041D">
        <w:rPr>
          <w:rFonts w:asciiTheme="majorBidi" w:hAnsiTheme="majorBidi" w:cstheme="majorBidi"/>
          <w:b/>
          <w:bCs/>
          <w:i/>
          <w:iCs/>
        </w:rPr>
        <w:t>Abbreviations:</w:t>
      </w:r>
      <w:r w:rsidRPr="001C041D">
        <w:rPr>
          <w:rFonts w:asciiTheme="majorBidi" w:hAnsiTheme="majorBidi" w:cstheme="majorBidi"/>
          <w:i/>
          <w:iCs/>
        </w:rPr>
        <w:t xml:space="preserve"> CFA = Confirmatory Factor Analysis; RMSEA = Root Mean Square Error of Approximation; CFI = Comparative Fit Index; TLI = Tucker-Lewis Index; NFI = Normed Fit Index; CMIN/DF = Chi-Square/Degrees of Freedom; χ² = Chi-Square; </w:t>
      </w:r>
      <w:proofErr w:type="spellStart"/>
      <w:r w:rsidRPr="001C041D">
        <w:rPr>
          <w:rFonts w:asciiTheme="majorBidi" w:hAnsiTheme="majorBidi" w:cstheme="majorBidi"/>
          <w:i/>
          <w:iCs/>
        </w:rPr>
        <w:t>df</w:t>
      </w:r>
      <w:proofErr w:type="spellEnd"/>
      <w:r w:rsidRPr="001C041D">
        <w:rPr>
          <w:rFonts w:asciiTheme="majorBidi" w:hAnsiTheme="majorBidi" w:cstheme="majorBidi"/>
          <w:i/>
          <w:iCs/>
        </w:rPr>
        <w:t xml:space="preserve"> = Degrees of Freedom.</w:t>
      </w:r>
    </w:p>
    <w:p w14:paraId="2CE193FE" w14:textId="77777777" w:rsidR="0053206D" w:rsidRDefault="0053206D" w:rsidP="0053206D">
      <w:pPr>
        <w:bidi/>
        <w:rPr>
          <w:b/>
          <w:bCs/>
          <w:color w:val="0070C0"/>
          <w:sz w:val="24"/>
          <w:szCs w:val="24"/>
          <w:rtl/>
        </w:rPr>
      </w:pPr>
    </w:p>
    <w:p w14:paraId="2E8CF153" w14:textId="77777777" w:rsidR="00BC427C" w:rsidRPr="00342E9E" w:rsidRDefault="00BC427C" w:rsidP="00342E9E"/>
    <w:sectPr w:rsidR="00BC427C" w:rsidRPr="00342E9E" w:rsidSect="00797A24">
      <w:pgSz w:w="12240" w:h="15840" w:code="1"/>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911"/>
    <w:rsid w:val="00021194"/>
    <w:rsid w:val="00093843"/>
    <w:rsid w:val="000D538A"/>
    <w:rsid w:val="001C041D"/>
    <w:rsid w:val="00202B24"/>
    <w:rsid w:val="00250080"/>
    <w:rsid w:val="00265716"/>
    <w:rsid w:val="002A0911"/>
    <w:rsid w:val="002A55DB"/>
    <w:rsid w:val="00342E9E"/>
    <w:rsid w:val="00380AF1"/>
    <w:rsid w:val="004150F9"/>
    <w:rsid w:val="004156F0"/>
    <w:rsid w:val="004158AA"/>
    <w:rsid w:val="00482010"/>
    <w:rsid w:val="004B531C"/>
    <w:rsid w:val="0053206D"/>
    <w:rsid w:val="00557509"/>
    <w:rsid w:val="005B6D33"/>
    <w:rsid w:val="0060144B"/>
    <w:rsid w:val="006A16E5"/>
    <w:rsid w:val="006A7BF6"/>
    <w:rsid w:val="006C59CC"/>
    <w:rsid w:val="00782442"/>
    <w:rsid w:val="00782F05"/>
    <w:rsid w:val="00797A24"/>
    <w:rsid w:val="007C11CE"/>
    <w:rsid w:val="00824848"/>
    <w:rsid w:val="00832D2C"/>
    <w:rsid w:val="0084663B"/>
    <w:rsid w:val="0088371D"/>
    <w:rsid w:val="008959F0"/>
    <w:rsid w:val="008B0211"/>
    <w:rsid w:val="008D0780"/>
    <w:rsid w:val="009004A2"/>
    <w:rsid w:val="00917506"/>
    <w:rsid w:val="00975D86"/>
    <w:rsid w:val="009A6D3F"/>
    <w:rsid w:val="00AA51DB"/>
    <w:rsid w:val="00AE077F"/>
    <w:rsid w:val="00B0273C"/>
    <w:rsid w:val="00B16A4A"/>
    <w:rsid w:val="00B63F30"/>
    <w:rsid w:val="00BC427C"/>
    <w:rsid w:val="00C7071C"/>
    <w:rsid w:val="00C718EB"/>
    <w:rsid w:val="00CE526F"/>
    <w:rsid w:val="00D34D74"/>
    <w:rsid w:val="00DE59C7"/>
    <w:rsid w:val="00EF0497"/>
    <w:rsid w:val="00FC3775"/>
    <w:rsid w:val="00FE5766"/>
    <w:rsid w:val="00FE5A1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5FAB3"/>
  <w15:docId w15:val="{10C8F47B-5F8B-49CB-BEC4-6500324F5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6E5"/>
  </w:style>
  <w:style w:type="paragraph" w:styleId="Heading1">
    <w:name w:val="heading 1"/>
    <w:basedOn w:val="Normal"/>
    <w:next w:val="Normal"/>
    <w:link w:val="Heading1Char"/>
    <w:uiPriority w:val="9"/>
    <w:qFormat/>
    <w:rsid w:val="006A16E5"/>
    <w:pPr>
      <w:keepNext/>
      <w:keepLines/>
      <w:spacing w:before="320" w:after="0" w:line="240" w:lineRule="auto"/>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6A16E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6A16E5"/>
    <w:pPr>
      <w:keepNext/>
      <w:keepLines/>
      <w:spacing w:before="40" w:after="0" w:line="240" w:lineRule="auto"/>
      <w:outlineLvl w:val="2"/>
    </w:pPr>
    <w:rPr>
      <w:rFonts w:asciiTheme="majorHAnsi" w:eastAsiaTheme="majorEastAsia" w:hAnsiTheme="majorHAnsi" w:cstheme="majorBidi"/>
      <w:color w:val="0E2841" w:themeColor="text2"/>
      <w:sz w:val="24"/>
      <w:szCs w:val="24"/>
    </w:rPr>
  </w:style>
  <w:style w:type="paragraph" w:styleId="Heading4">
    <w:name w:val="heading 4"/>
    <w:basedOn w:val="Normal"/>
    <w:next w:val="Normal"/>
    <w:link w:val="Heading4Char"/>
    <w:uiPriority w:val="9"/>
    <w:semiHidden/>
    <w:unhideWhenUsed/>
    <w:qFormat/>
    <w:rsid w:val="006A16E5"/>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6A16E5"/>
    <w:pPr>
      <w:keepNext/>
      <w:keepLines/>
      <w:spacing w:before="40" w:after="0"/>
      <w:outlineLvl w:val="4"/>
    </w:pPr>
    <w:rPr>
      <w:rFonts w:asciiTheme="majorHAnsi" w:eastAsiaTheme="majorEastAsia" w:hAnsiTheme="majorHAnsi" w:cstheme="majorBidi"/>
      <w:color w:val="0E2841" w:themeColor="text2"/>
      <w:sz w:val="22"/>
      <w:szCs w:val="22"/>
    </w:rPr>
  </w:style>
  <w:style w:type="paragraph" w:styleId="Heading6">
    <w:name w:val="heading 6"/>
    <w:basedOn w:val="Normal"/>
    <w:next w:val="Normal"/>
    <w:link w:val="Heading6Char"/>
    <w:uiPriority w:val="9"/>
    <w:semiHidden/>
    <w:unhideWhenUsed/>
    <w:qFormat/>
    <w:rsid w:val="006A16E5"/>
    <w:pPr>
      <w:keepNext/>
      <w:keepLines/>
      <w:spacing w:before="40" w:after="0"/>
      <w:outlineLvl w:val="5"/>
    </w:pPr>
    <w:rPr>
      <w:rFonts w:asciiTheme="majorHAnsi" w:eastAsiaTheme="majorEastAsia" w:hAnsiTheme="majorHAnsi" w:cstheme="majorBidi"/>
      <w:i/>
      <w:iCs/>
      <w:color w:val="0E2841" w:themeColor="text2"/>
      <w:sz w:val="21"/>
      <w:szCs w:val="21"/>
    </w:rPr>
  </w:style>
  <w:style w:type="paragraph" w:styleId="Heading7">
    <w:name w:val="heading 7"/>
    <w:basedOn w:val="Normal"/>
    <w:next w:val="Normal"/>
    <w:link w:val="Heading7Char"/>
    <w:uiPriority w:val="9"/>
    <w:semiHidden/>
    <w:unhideWhenUsed/>
    <w:qFormat/>
    <w:rsid w:val="006A16E5"/>
    <w:pPr>
      <w:keepNext/>
      <w:keepLines/>
      <w:spacing w:before="40" w:after="0"/>
      <w:outlineLvl w:val="6"/>
    </w:pPr>
    <w:rPr>
      <w:rFonts w:asciiTheme="majorHAnsi" w:eastAsiaTheme="majorEastAsia" w:hAnsiTheme="majorHAnsi" w:cstheme="majorBidi"/>
      <w:i/>
      <w:iCs/>
      <w:color w:val="0A2F41" w:themeColor="accent1" w:themeShade="80"/>
      <w:sz w:val="21"/>
      <w:szCs w:val="21"/>
    </w:rPr>
  </w:style>
  <w:style w:type="paragraph" w:styleId="Heading8">
    <w:name w:val="heading 8"/>
    <w:basedOn w:val="Normal"/>
    <w:next w:val="Normal"/>
    <w:link w:val="Heading8Char"/>
    <w:uiPriority w:val="9"/>
    <w:semiHidden/>
    <w:unhideWhenUsed/>
    <w:qFormat/>
    <w:rsid w:val="006A16E5"/>
    <w:pPr>
      <w:keepNext/>
      <w:keepLines/>
      <w:spacing w:before="40" w:after="0"/>
      <w:outlineLvl w:val="7"/>
    </w:pPr>
    <w:rPr>
      <w:rFonts w:asciiTheme="majorHAnsi" w:eastAsiaTheme="majorEastAsia" w:hAnsiTheme="majorHAnsi" w:cstheme="majorBidi"/>
      <w:b/>
      <w:bCs/>
      <w:color w:val="0E2841" w:themeColor="text2"/>
    </w:rPr>
  </w:style>
  <w:style w:type="paragraph" w:styleId="Heading9">
    <w:name w:val="heading 9"/>
    <w:basedOn w:val="Normal"/>
    <w:next w:val="Normal"/>
    <w:link w:val="Heading9Char"/>
    <w:uiPriority w:val="9"/>
    <w:semiHidden/>
    <w:unhideWhenUsed/>
    <w:qFormat/>
    <w:rsid w:val="006A16E5"/>
    <w:pPr>
      <w:keepNext/>
      <w:keepLines/>
      <w:spacing w:before="40" w:after="0"/>
      <w:outlineLvl w:val="8"/>
    </w:pPr>
    <w:rPr>
      <w:rFonts w:asciiTheme="majorHAnsi" w:eastAsiaTheme="majorEastAsia" w:hAnsiTheme="majorHAnsi" w:cstheme="majorBidi"/>
      <w:b/>
      <w:bCs/>
      <w:i/>
      <w:iCs/>
      <w:color w:val="0E2841"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6E5"/>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6A16E5"/>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6A16E5"/>
    <w:rPr>
      <w:rFonts w:asciiTheme="majorHAnsi" w:eastAsiaTheme="majorEastAsia" w:hAnsiTheme="majorHAnsi" w:cstheme="majorBidi"/>
      <w:color w:val="0E2841" w:themeColor="text2"/>
      <w:sz w:val="24"/>
      <w:szCs w:val="24"/>
    </w:rPr>
  </w:style>
  <w:style w:type="character" w:customStyle="1" w:styleId="Heading4Char">
    <w:name w:val="Heading 4 Char"/>
    <w:basedOn w:val="DefaultParagraphFont"/>
    <w:link w:val="Heading4"/>
    <w:uiPriority w:val="9"/>
    <w:semiHidden/>
    <w:rsid w:val="006A16E5"/>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6A16E5"/>
    <w:rPr>
      <w:rFonts w:asciiTheme="majorHAnsi" w:eastAsiaTheme="majorEastAsia" w:hAnsiTheme="majorHAnsi" w:cstheme="majorBidi"/>
      <w:color w:val="0E2841" w:themeColor="text2"/>
      <w:sz w:val="22"/>
      <w:szCs w:val="22"/>
    </w:rPr>
  </w:style>
  <w:style w:type="character" w:customStyle="1" w:styleId="Heading6Char">
    <w:name w:val="Heading 6 Char"/>
    <w:basedOn w:val="DefaultParagraphFont"/>
    <w:link w:val="Heading6"/>
    <w:uiPriority w:val="9"/>
    <w:semiHidden/>
    <w:rsid w:val="006A16E5"/>
    <w:rPr>
      <w:rFonts w:asciiTheme="majorHAnsi" w:eastAsiaTheme="majorEastAsia" w:hAnsiTheme="majorHAnsi" w:cstheme="majorBidi"/>
      <w:i/>
      <w:iCs/>
      <w:color w:val="0E2841" w:themeColor="text2"/>
      <w:sz w:val="21"/>
      <w:szCs w:val="21"/>
    </w:rPr>
  </w:style>
  <w:style w:type="character" w:customStyle="1" w:styleId="Heading7Char">
    <w:name w:val="Heading 7 Char"/>
    <w:basedOn w:val="DefaultParagraphFont"/>
    <w:link w:val="Heading7"/>
    <w:uiPriority w:val="9"/>
    <w:semiHidden/>
    <w:rsid w:val="006A16E5"/>
    <w:rPr>
      <w:rFonts w:asciiTheme="majorHAnsi" w:eastAsiaTheme="majorEastAsia" w:hAnsiTheme="majorHAnsi" w:cstheme="majorBidi"/>
      <w:i/>
      <w:iCs/>
      <w:color w:val="0A2F41" w:themeColor="accent1" w:themeShade="80"/>
      <w:sz w:val="21"/>
      <w:szCs w:val="21"/>
    </w:rPr>
  </w:style>
  <w:style w:type="character" w:customStyle="1" w:styleId="Heading8Char">
    <w:name w:val="Heading 8 Char"/>
    <w:basedOn w:val="DefaultParagraphFont"/>
    <w:link w:val="Heading8"/>
    <w:uiPriority w:val="9"/>
    <w:semiHidden/>
    <w:rsid w:val="006A16E5"/>
    <w:rPr>
      <w:rFonts w:asciiTheme="majorHAnsi" w:eastAsiaTheme="majorEastAsia" w:hAnsiTheme="majorHAnsi" w:cstheme="majorBidi"/>
      <w:b/>
      <w:bCs/>
      <w:color w:val="0E2841" w:themeColor="text2"/>
    </w:rPr>
  </w:style>
  <w:style w:type="character" w:customStyle="1" w:styleId="Heading9Char">
    <w:name w:val="Heading 9 Char"/>
    <w:basedOn w:val="DefaultParagraphFont"/>
    <w:link w:val="Heading9"/>
    <w:uiPriority w:val="9"/>
    <w:semiHidden/>
    <w:rsid w:val="006A16E5"/>
    <w:rPr>
      <w:rFonts w:asciiTheme="majorHAnsi" w:eastAsiaTheme="majorEastAsia" w:hAnsiTheme="majorHAnsi" w:cstheme="majorBidi"/>
      <w:b/>
      <w:bCs/>
      <w:i/>
      <w:iCs/>
      <w:color w:val="0E2841" w:themeColor="text2"/>
    </w:rPr>
  </w:style>
  <w:style w:type="paragraph" w:styleId="Caption">
    <w:name w:val="caption"/>
    <w:basedOn w:val="Normal"/>
    <w:next w:val="Normal"/>
    <w:uiPriority w:val="35"/>
    <w:unhideWhenUsed/>
    <w:qFormat/>
    <w:rsid w:val="006A16E5"/>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6A16E5"/>
    <w:pPr>
      <w:spacing w:after="0" w:line="240" w:lineRule="auto"/>
      <w:contextualSpacing/>
    </w:pPr>
    <w:rPr>
      <w:rFonts w:asciiTheme="majorHAnsi" w:eastAsiaTheme="majorEastAsia" w:hAnsiTheme="majorHAnsi" w:cstheme="majorBidi"/>
      <w:color w:val="156082" w:themeColor="accent1"/>
      <w:spacing w:val="-10"/>
      <w:sz w:val="56"/>
      <w:szCs w:val="56"/>
    </w:rPr>
  </w:style>
  <w:style w:type="character" w:customStyle="1" w:styleId="TitleChar">
    <w:name w:val="Title Char"/>
    <w:basedOn w:val="DefaultParagraphFont"/>
    <w:link w:val="Title"/>
    <w:uiPriority w:val="10"/>
    <w:rsid w:val="006A16E5"/>
    <w:rPr>
      <w:rFonts w:asciiTheme="majorHAnsi" w:eastAsiaTheme="majorEastAsia" w:hAnsiTheme="majorHAnsi" w:cstheme="majorBidi"/>
      <w:color w:val="156082" w:themeColor="accent1"/>
      <w:spacing w:val="-10"/>
      <w:sz w:val="56"/>
      <w:szCs w:val="56"/>
    </w:rPr>
  </w:style>
  <w:style w:type="paragraph" w:styleId="Subtitle">
    <w:name w:val="Subtitle"/>
    <w:basedOn w:val="Normal"/>
    <w:next w:val="Normal"/>
    <w:link w:val="SubtitleChar"/>
    <w:uiPriority w:val="11"/>
    <w:qFormat/>
    <w:rsid w:val="006A16E5"/>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A16E5"/>
    <w:rPr>
      <w:rFonts w:asciiTheme="majorHAnsi" w:eastAsiaTheme="majorEastAsia" w:hAnsiTheme="majorHAnsi" w:cstheme="majorBidi"/>
      <w:sz w:val="24"/>
      <w:szCs w:val="24"/>
    </w:rPr>
  </w:style>
  <w:style w:type="character" w:styleId="Strong">
    <w:name w:val="Strong"/>
    <w:basedOn w:val="DefaultParagraphFont"/>
    <w:uiPriority w:val="22"/>
    <w:qFormat/>
    <w:rsid w:val="006A16E5"/>
    <w:rPr>
      <w:b/>
      <w:bCs/>
    </w:rPr>
  </w:style>
  <w:style w:type="character" w:styleId="Emphasis">
    <w:name w:val="Emphasis"/>
    <w:basedOn w:val="DefaultParagraphFont"/>
    <w:uiPriority w:val="20"/>
    <w:qFormat/>
    <w:rsid w:val="006A16E5"/>
    <w:rPr>
      <w:i/>
      <w:iCs/>
    </w:rPr>
  </w:style>
  <w:style w:type="paragraph" w:styleId="NoSpacing">
    <w:name w:val="No Spacing"/>
    <w:uiPriority w:val="1"/>
    <w:qFormat/>
    <w:rsid w:val="006A16E5"/>
    <w:pPr>
      <w:spacing w:after="0" w:line="240" w:lineRule="auto"/>
    </w:pPr>
  </w:style>
  <w:style w:type="paragraph" w:styleId="ListParagraph">
    <w:name w:val="List Paragraph"/>
    <w:basedOn w:val="Normal"/>
    <w:uiPriority w:val="34"/>
    <w:qFormat/>
    <w:rsid w:val="006A16E5"/>
    <w:pPr>
      <w:ind w:left="720"/>
      <w:contextualSpacing/>
    </w:pPr>
  </w:style>
  <w:style w:type="paragraph" w:styleId="Quote">
    <w:name w:val="Quote"/>
    <w:basedOn w:val="Normal"/>
    <w:next w:val="Normal"/>
    <w:link w:val="QuoteChar"/>
    <w:uiPriority w:val="29"/>
    <w:qFormat/>
    <w:rsid w:val="006A16E5"/>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6A16E5"/>
    <w:rPr>
      <w:i/>
      <w:iCs/>
      <w:color w:val="404040" w:themeColor="text1" w:themeTint="BF"/>
    </w:rPr>
  </w:style>
  <w:style w:type="paragraph" w:styleId="IntenseQuote">
    <w:name w:val="Intense Quote"/>
    <w:basedOn w:val="Normal"/>
    <w:next w:val="Normal"/>
    <w:link w:val="IntenseQuoteChar"/>
    <w:uiPriority w:val="30"/>
    <w:qFormat/>
    <w:rsid w:val="006A16E5"/>
    <w:pPr>
      <w:pBdr>
        <w:left w:val="single" w:sz="18" w:space="12" w:color="156082" w:themeColor="accent1"/>
      </w:pBdr>
      <w:spacing w:before="100" w:beforeAutospacing="1" w:line="300" w:lineRule="auto"/>
      <w:ind w:left="1224" w:right="1224"/>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6A16E5"/>
    <w:rPr>
      <w:rFonts w:asciiTheme="majorHAnsi" w:eastAsiaTheme="majorEastAsia" w:hAnsiTheme="majorHAnsi" w:cstheme="majorBidi"/>
      <w:color w:val="156082" w:themeColor="accent1"/>
      <w:sz w:val="28"/>
      <w:szCs w:val="28"/>
    </w:rPr>
  </w:style>
  <w:style w:type="character" w:styleId="SubtleEmphasis">
    <w:name w:val="Subtle Emphasis"/>
    <w:basedOn w:val="DefaultParagraphFont"/>
    <w:uiPriority w:val="19"/>
    <w:qFormat/>
    <w:rsid w:val="006A16E5"/>
    <w:rPr>
      <w:i/>
      <w:iCs/>
      <w:color w:val="404040" w:themeColor="text1" w:themeTint="BF"/>
    </w:rPr>
  </w:style>
  <w:style w:type="character" w:styleId="IntenseEmphasis">
    <w:name w:val="Intense Emphasis"/>
    <w:basedOn w:val="DefaultParagraphFont"/>
    <w:uiPriority w:val="21"/>
    <w:qFormat/>
    <w:rsid w:val="006A16E5"/>
    <w:rPr>
      <w:b/>
      <w:bCs/>
      <w:i/>
      <w:iCs/>
    </w:rPr>
  </w:style>
  <w:style w:type="character" w:styleId="SubtleReference">
    <w:name w:val="Subtle Reference"/>
    <w:basedOn w:val="DefaultParagraphFont"/>
    <w:uiPriority w:val="31"/>
    <w:qFormat/>
    <w:rsid w:val="006A16E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6A16E5"/>
    <w:rPr>
      <w:b/>
      <w:bCs/>
      <w:smallCaps/>
      <w:spacing w:val="5"/>
      <w:u w:val="single"/>
    </w:rPr>
  </w:style>
  <w:style w:type="character" w:styleId="BookTitle">
    <w:name w:val="Book Title"/>
    <w:basedOn w:val="DefaultParagraphFont"/>
    <w:uiPriority w:val="33"/>
    <w:qFormat/>
    <w:rsid w:val="006A16E5"/>
    <w:rPr>
      <w:b/>
      <w:bCs/>
      <w:smallCaps/>
    </w:rPr>
  </w:style>
  <w:style w:type="paragraph" w:styleId="TOCHeading">
    <w:name w:val="TOC Heading"/>
    <w:basedOn w:val="Heading1"/>
    <w:next w:val="Normal"/>
    <w:uiPriority w:val="39"/>
    <w:unhideWhenUsed/>
    <w:qFormat/>
    <w:rsid w:val="006A16E5"/>
    <w:pPr>
      <w:outlineLvl w:val="9"/>
    </w:pPr>
  </w:style>
  <w:style w:type="table" w:styleId="TableGrid">
    <w:name w:val="Table Grid"/>
    <w:basedOn w:val="TableNormal"/>
    <w:uiPriority w:val="39"/>
    <w:rsid w:val="00342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66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663B"/>
    <w:rPr>
      <w:rFonts w:ascii="Tahoma" w:hAnsi="Tahoma" w:cs="Tahoma"/>
      <w:sz w:val="16"/>
      <w:szCs w:val="16"/>
    </w:rPr>
  </w:style>
  <w:style w:type="character" w:styleId="CommentReference">
    <w:name w:val="annotation reference"/>
    <w:basedOn w:val="DefaultParagraphFont"/>
    <w:uiPriority w:val="99"/>
    <w:semiHidden/>
    <w:unhideWhenUsed/>
    <w:rsid w:val="0084663B"/>
    <w:rPr>
      <w:sz w:val="16"/>
      <w:szCs w:val="16"/>
    </w:rPr>
  </w:style>
  <w:style w:type="paragraph" w:styleId="CommentText">
    <w:name w:val="annotation text"/>
    <w:basedOn w:val="Normal"/>
    <w:link w:val="CommentTextChar"/>
    <w:uiPriority w:val="99"/>
    <w:semiHidden/>
    <w:unhideWhenUsed/>
    <w:rsid w:val="0084663B"/>
    <w:pPr>
      <w:spacing w:line="240" w:lineRule="auto"/>
    </w:pPr>
  </w:style>
  <w:style w:type="character" w:customStyle="1" w:styleId="CommentTextChar">
    <w:name w:val="Comment Text Char"/>
    <w:basedOn w:val="DefaultParagraphFont"/>
    <w:link w:val="CommentText"/>
    <w:uiPriority w:val="99"/>
    <w:semiHidden/>
    <w:rsid w:val="0084663B"/>
  </w:style>
  <w:style w:type="paragraph" w:styleId="CommentSubject">
    <w:name w:val="annotation subject"/>
    <w:basedOn w:val="CommentText"/>
    <w:next w:val="CommentText"/>
    <w:link w:val="CommentSubjectChar"/>
    <w:uiPriority w:val="99"/>
    <w:semiHidden/>
    <w:unhideWhenUsed/>
    <w:rsid w:val="0084663B"/>
    <w:rPr>
      <w:b/>
      <w:bCs/>
    </w:rPr>
  </w:style>
  <w:style w:type="character" w:customStyle="1" w:styleId="CommentSubjectChar">
    <w:name w:val="Comment Subject Char"/>
    <w:basedOn w:val="CommentTextChar"/>
    <w:link w:val="CommentSubject"/>
    <w:uiPriority w:val="99"/>
    <w:semiHidden/>
    <w:rsid w:val="0084663B"/>
    <w:rPr>
      <w:b/>
      <w:bCs/>
    </w:rPr>
  </w:style>
  <w:style w:type="table" w:customStyle="1" w:styleId="TableGrid1">
    <w:name w:val="Table Grid1"/>
    <w:basedOn w:val="TableNormal"/>
    <w:next w:val="TableGrid"/>
    <w:rsid w:val="00093843"/>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795779">
      <w:bodyDiv w:val="1"/>
      <w:marLeft w:val="0"/>
      <w:marRight w:val="0"/>
      <w:marTop w:val="0"/>
      <w:marBottom w:val="0"/>
      <w:divBdr>
        <w:top w:val="none" w:sz="0" w:space="0" w:color="auto"/>
        <w:left w:val="none" w:sz="0" w:space="0" w:color="auto"/>
        <w:bottom w:val="none" w:sz="0" w:space="0" w:color="auto"/>
        <w:right w:val="none" w:sz="0" w:space="0" w:color="auto"/>
      </w:divBdr>
      <w:divsChild>
        <w:div w:id="629866520">
          <w:marLeft w:val="0"/>
          <w:marRight w:val="0"/>
          <w:marTop w:val="0"/>
          <w:marBottom w:val="0"/>
          <w:divBdr>
            <w:top w:val="none" w:sz="0" w:space="0" w:color="auto"/>
            <w:left w:val="none" w:sz="0" w:space="0" w:color="auto"/>
            <w:bottom w:val="none" w:sz="0" w:space="0" w:color="auto"/>
            <w:right w:val="none" w:sz="0" w:space="0" w:color="auto"/>
          </w:divBdr>
          <w:divsChild>
            <w:div w:id="89863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162232">
      <w:bodyDiv w:val="1"/>
      <w:marLeft w:val="0"/>
      <w:marRight w:val="0"/>
      <w:marTop w:val="0"/>
      <w:marBottom w:val="0"/>
      <w:divBdr>
        <w:top w:val="none" w:sz="0" w:space="0" w:color="auto"/>
        <w:left w:val="none" w:sz="0" w:space="0" w:color="auto"/>
        <w:bottom w:val="none" w:sz="0" w:space="0" w:color="auto"/>
        <w:right w:val="none" w:sz="0" w:space="0" w:color="auto"/>
      </w:divBdr>
      <w:divsChild>
        <w:div w:id="1023096850">
          <w:marLeft w:val="0"/>
          <w:marRight w:val="0"/>
          <w:marTop w:val="0"/>
          <w:marBottom w:val="0"/>
          <w:divBdr>
            <w:top w:val="none" w:sz="0" w:space="0" w:color="auto"/>
            <w:left w:val="none" w:sz="0" w:space="0" w:color="auto"/>
            <w:bottom w:val="none" w:sz="0" w:space="0" w:color="auto"/>
            <w:right w:val="none" w:sz="0" w:space="0" w:color="auto"/>
          </w:divBdr>
        </w:div>
      </w:divsChild>
    </w:div>
    <w:div w:id="392894845">
      <w:bodyDiv w:val="1"/>
      <w:marLeft w:val="0"/>
      <w:marRight w:val="0"/>
      <w:marTop w:val="0"/>
      <w:marBottom w:val="0"/>
      <w:divBdr>
        <w:top w:val="none" w:sz="0" w:space="0" w:color="auto"/>
        <w:left w:val="none" w:sz="0" w:space="0" w:color="auto"/>
        <w:bottom w:val="none" w:sz="0" w:space="0" w:color="auto"/>
        <w:right w:val="none" w:sz="0" w:space="0" w:color="auto"/>
      </w:divBdr>
      <w:divsChild>
        <w:div w:id="2050445542">
          <w:marLeft w:val="0"/>
          <w:marRight w:val="0"/>
          <w:marTop w:val="0"/>
          <w:marBottom w:val="0"/>
          <w:divBdr>
            <w:top w:val="none" w:sz="0" w:space="0" w:color="auto"/>
            <w:left w:val="none" w:sz="0" w:space="0" w:color="auto"/>
            <w:bottom w:val="none" w:sz="0" w:space="0" w:color="auto"/>
            <w:right w:val="none" w:sz="0" w:space="0" w:color="auto"/>
          </w:divBdr>
          <w:divsChild>
            <w:div w:id="134736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600346">
      <w:bodyDiv w:val="1"/>
      <w:marLeft w:val="0"/>
      <w:marRight w:val="0"/>
      <w:marTop w:val="0"/>
      <w:marBottom w:val="0"/>
      <w:divBdr>
        <w:top w:val="none" w:sz="0" w:space="0" w:color="auto"/>
        <w:left w:val="none" w:sz="0" w:space="0" w:color="auto"/>
        <w:bottom w:val="none" w:sz="0" w:space="0" w:color="auto"/>
        <w:right w:val="none" w:sz="0" w:space="0" w:color="auto"/>
      </w:divBdr>
      <w:divsChild>
        <w:div w:id="1793863057">
          <w:marLeft w:val="0"/>
          <w:marRight w:val="0"/>
          <w:marTop w:val="0"/>
          <w:marBottom w:val="0"/>
          <w:divBdr>
            <w:top w:val="none" w:sz="0" w:space="0" w:color="auto"/>
            <w:left w:val="none" w:sz="0" w:space="0" w:color="auto"/>
            <w:bottom w:val="none" w:sz="0" w:space="0" w:color="auto"/>
            <w:right w:val="none" w:sz="0" w:space="0" w:color="auto"/>
          </w:divBdr>
          <w:divsChild>
            <w:div w:id="38005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999271">
      <w:bodyDiv w:val="1"/>
      <w:marLeft w:val="0"/>
      <w:marRight w:val="0"/>
      <w:marTop w:val="0"/>
      <w:marBottom w:val="0"/>
      <w:divBdr>
        <w:top w:val="none" w:sz="0" w:space="0" w:color="auto"/>
        <w:left w:val="none" w:sz="0" w:space="0" w:color="auto"/>
        <w:bottom w:val="none" w:sz="0" w:space="0" w:color="auto"/>
        <w:right w:val="none" w:sz="0" w:space="0" w:color="auto"/>
      </w:divBdr>
      <w:divsChild>
        <w:div w:id="465897380">
          <w:marLeft w:val="0"/>
          <w:marRight w:val="0"/>
          <w:marTop w:val="0"/>
          <w:marBottom w:val="0"/>
          <w:divBdr>
            <w:top w:val="none" w:sz="0" w:space="0" w:color="auto"/>
            <w:left w:val="none" w:sz="0" w:space="0" w:color="auto"/>
            <w:bottom w:val="none" w:sz="0" w:space="0" w:color="auto"/>
            <w:right w:val="none" w:sz="0" w:space="0" w:color="auto"/>
          </w:divBdr>
        </w:div>
      </w:divsChild>
    </w:div>
    <w:div w:id="709299896">
      <w:bodyDiv w:val="1"/>
      <w:marLeft w:val="0"/>
      <w:marRight w:val="0"/>
      <w:marTop w:val="0"/>
      <w:marBottom w:val="0"/>
      <w:divBdr>
        <w:top w:val="none" w:sz="0" w:space="0" w:color="auto"/>
        <w:left w:val="none" w:sz="0" w:space="0" w:color="auto"/>
        <w:bottom w:val="none" w:sz="0" w:space="0" w:color="auto"/>
        <w:right w:val="none" w:sz="0" w:space="0" w:color="auto"/>
      </w:divBdr>
      <w:divsChild>
        <w:div w:id="865482326">
          <w:marLeft w:val="0"/>
          <w:marRight w:val="0"/>
          <w:marTop w:val="0"/>
          <w:marBottom w:val="0"/>
          <w:divBdr>
            <w:top w:val="none" w:sz="0" w:space="0" w:color="auto"/>
            <w:left w:val="none" w:sz="0" w:space="0" w:color="auto"/>
            <w:bottom w:val="none" w:sz="0" w:space="0" w:color="auto"/>
            <w:right w:val="none" w:sz="0" w:space="0" w:color="auto"/>
          </w:divBdr>
        </w:div>
      </w:divsChild>
    </w:div>
    <w:div w:id="712343339">
      <w:bodyDiv w:val="1"/>
      <w:marLeft w:val="0"/>
      <w:marRight w:val="0"/>
      <w:marTop w:val="0"/>
      <w:marBottom w:val="0"/>
      <w:divBdr>
        <w:top w:val="none" w:sz="0" w:space="0" w:color="auto"/>
        <w:left w:val="none" w:sz="0" w:space="0" w:color="auto"/>
        <w:bottom w:val="none" w:sz="0" w:space="0" w:color="auto"/>
        <w:right w:val="none" w:sz="0" w:space="0" w:color="auto"/>
      </w:divBdr>
      <w:divsChild>
        <w:div w:id="1389449923">
          <w:marLeft w:val="0"/>
          <w:marRight w:val="0"/>
          <w:marTop w:val="0"/>
          <w:marBottom w:val="0"/>
          <w:divBdr>
            <w:top w:val="none" w:sz="0" w:space="0" w:color="auto"/>
            <w:left w:val="none" w:sz="0" w:space="0" w:color="auto"/>
            <w:bottom w:val="none" w:sz="0" w:space="0" w:color="auto"/>
            <w:right w:val="none" w:sz="0" w:space="0" w:color="auto"/>
          </w:divBdr>
          <w:divsChild>
            <w:div w:id="189458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383831">
      <w:bodyDiv w:val="1"/>
      <w:marLeft w:val="0"/>
      <w:marRight w:val="0"/>
      <w:marTop w:val="0"/>
      <w:marBottom w:val="0"/>
      <w:divBdr>
        <w:top w:val="none" w:sz="0" w:space="0" w:color="auto"/>
        <w:left w:val="none" w:sz="0" w:space="0" w:color="auto"/>
        <w:bottom w:val="none" w:sz="0" w:space="0" w:color="auto"/>
        <w:right w:val="none" w:sz="0" w:space="0" w:color="auto"/>
      </w:divBdr>
      <w:divsChild>
        <w:div w:id="1002778855">
          <w:marLeft w:val="0"/>
          <w:marRight w:val="0"/>
          <w:marTop w:val="0"/>
          <w:marBottom w:val="0"/>
          <w:divBdr>
            <w:top w:val="none" w:sz="0" w:space="0" w:color="auto"/>
            <w:left w:val="none" w:sz="0" w:space="0" w:color="auto"/>
            <w:bottom w:val="none" w:sz="0" w:space="0" w:color="auto"/>
            <w:right w:val="none" w:sz="0" w:space="0" w:color="auto"/>
          </w:divBdr>
        </w:div>
      </w:divsChild>
    </w:div>
    <w:div w:id="919603643">
      <w:bodyDiv w:val="1"/>
      <w:marLeft w:val="0"/>
      <w:marRight w:val="0"/>
      <w:marTop w:val="0"/>
      <w:marBottom w:val="0"/>
      <w:divBdr>
        <w:top w:val="none" w:sz="0" w:space="0" w:color="auto"/>
        <w:left w:val="none" w:sz="0" w:space="0" w:color="auto"/>
        <w:bottom w:val="none" w:sz="0" w:space="0" w:color="auto"/>
        <w:right w:val="none" w:sz="0" w:space="0" w:color="auto"/>
      </w:divBdr>
      <w:divsChild>
        <w:div w:id="74133842">
          <w:marLeft w:val="0"/>
          <w:marRight w:val="0"/>
          <w:marTop w:val="0"/>
          <w:marBottom w:val="0"/>
          <w:divBdr>
            <w:top w:val="none" w:sz="0" w:space="0" w:color="auto"/>
            <w:left w:val="none" w:sz="0" w:space="0" w:color="auto"/>
            <w:bottom w:val="none" w:sz="0" w:space="0" w:color="auto"/>
            <w:right w:val="none" w:sz="0" w:space="0" w:color="auto"/>
          </w:divBdr>
        </w:div>
      </w:divsChild>
    </w:div>
    <w:div w:id="981538739">
      <w:bodyDiv w:val="1"/>
      <w:marLeft w:val="0"/>
      <w:marRight w:val="0"/>
      <w:marTop w:val="0"/>
      <w:marBottom w:val="0"/>
      <w:divBdr>
        <w:top w:val="none" w:sz="0" w:space="0" w:color="auto"/>
        <w:left w:val="none" w:sz="0" w:space="0" w:color="auto"/>
        <w:bottom w:val="none" w:sz="0" w:space="0" w:color="auto"/>
        <w:right w:val="none" w:sz="0" w:space="0" w:color="auto"/>
      </w:divBdr>
      <w:divsChild>
        <w:div w:id="1449205730">
          <w:marLeft w:val="0"/>
          <w:marRight w:val="0"/>
          <w:marTop w:val="0"/>
          <w:marBottom w:val="0"/>
          <w:divBdr>
            <w:top w:val="none" w:sz="0" w:space="0" w:color="auto"/>
            <w:left w:val="none" w:sz="0" w:space="0" w:color="auto"/>
            <w:bottom w:val="none" w:sz="0" w:space="0" w:color="auto"/>
            <w:right w:val="none" w:sz="0" w:space="0" w:color="auto"/>
          </w:divBdr>
        </w:div>
      </w:divsChild>
    </w:div>
    <w:div w:id="1076783998">
      <w:bodyDiv w:val="1"/>
      <w:marLeft w:val="0"/>
      <w:marRight w:val="0"/>
      <w:marTop w:val="0"/>
      <w:marBottom w:val="0"/>
      <w:divBdr>
        <w:top w:val="none" w:sz="0" w:space="0" w:color="auto"/>
        <w:left w:val="none" w:sz="0" w:space="0" w:color="auto"/>
        <w:bottom w:val="none" w:sz="0" w:space="0" w:color="auto"/>
        <w:right w:val="none" w:sz="0" w:space="0" w:color="auto"/>
      </w:divBdr>
      <w:divsChild>
        <w:div w:id="570307366">
          <w:marLeft w:val="0"/>
          <w:marRight w:val="0"/>
          <w:marTop w:val="0"/>
          <w:marBottom w:val="0"/>
          <w:divBdr>
            <w:top w:val="none" w:sz="0" w:space="0" w:color="auto"/>
            <w:left w:val="none" w:sz="0" w:space="0" w:color="auto"/>
            <w:bottom w:val="none" w:sz="0" w:space="0" w:color="auto"/>
            <w:right w:val="none" w:sz="0" w:space="0" w:color="auto"/>
          </w:divBdr>
        </w:div>
      </w:divsChild>
    </w:div>
    <w:div w:id="1114714992">
      <w:bodyDiv w:val="1"/>
      <w:marLeft w:val="0"/>
      <w:marRight w:val="0"/>
      <w:marTop w:val="0"/>
      <w:marBottom w:val="0"/>
      <w:divBdr>
        <w:top w:val="none" w:sz="0" w:space="0" w:color="auto"/>
        <w:left w:val="none" w:sz="0" w:space="0" w:color="auto"/>
        <w:bottom w:val="none" w:sz="0" w:space="0" w:color="auto"/>
        <w:right w:val="none" w:sz="0" w:space="0" w:color="auto"/>
      </w:divBdr>
      <w:divsChild>
        <w:div w:id="1247762543">
          <w:marLeft w:val="0"/>
          <w:marRight w:val="0"/>
          <w:marTop w:val="0"/>
          <w:marBottom w:val="0"/>
          <w:divBdr>
            <w:top w:val="none" w:sz="0" w:space="0" w:color="auto"/>
            <w:left w:val="none" w:sz="0" w:space="0" w:color="auto"/>
            <w:bottom w:val="none" w:sz="0" w:space="0" w:color="auto"/>
            <w:right w:val="none" w:sz="0" w:space="0" w:color="auto"/>
          </w:divBdr>
        </w:div>
      </w:divsChild>
    </w:div>
    <w:div w:id="1155990911">
      <w:bodyDiv w:val="1"/>
      <w:marLeft w:val="0"/>
      <w:marRight w:val="0"/>
      <w:marTop w:val="0"/>
      <w:marBottom w:val="0"/>
      <w:divBdr>
        <w:top w:val="none" w:sz="0" w:space="0" w:color="auto"/>
        <w:left w:val="none" w:sz="0" w:space="0" w:color="auto"/>
        <w:bottom w:val="none" w:sz="0" w:space="0" w:color="auto"/>
        <w:right w:val="none" w:sz="0" w:space="0" w:color="auto"/>
      </w:divBdr>
      <w:divsChild>
        <w:div w:id="190654111">
          <w:marLeft w:val="0"/>
          <w:marRight w:val="0"/>
          <w:marTop w:val="0"/>
          <w:marBottom w:val="0"/>
          <w:divBdr>
            <w:top w:val="none" w:sz="0" w:space="0" w:color="auto"/>
            <w:left w:val="none" w:sz="0" w:space="0" w:color="auto"/>
            <w:bottom w:val="none" w:sz="0" w:space="0" w:color="auto"/>
            <w:right w:val="none" w:sz="0" w:space="0" w:color="auto"/>
          </w:divBdr>
        </w:div>
      </w:divsChild>
    </w:div>
    <w:div w:id="1164592136">
      <w:bodyDiv w:val="1"/>
      <w:marLeft w:val="0"/>
      <w:marRight w:val="0"/>
      <w:marTop w:val="0"/>
      <w:marBottom w:val="0"/>
      <w:divBdr>
        <w:top w:val="none" w:sz="0" w:space="0" w:color="auto"/>
        <w:left w:val="none" w:sz="0" w:space="0" w:color="auto"/>
        <w:bottom w:val="none" w:sz="0" w:space="0" w:color="auto"/>
        <w:right w:val="none" w:sz="0" w:space="0" w:color="auto"/>
      </w:divBdr>
      <w:divsChild>
        <w:div w:id="1837529135">
          <w:marLeft w:val="0"/>
          <w:marRight w:val="0"/>
          <w:marTop w:val="0"/>
          <w:marBottom w:val="0"/>
          <w:divBdr>
            <w:top w:val="none" w:sz="0" w:space="0" w:color="auto"/>
            <w:left w:val="none" w:sz="0" w:space="0" w:color="auto"/>
            <w:bottom w:val="none" w:sz="0" w:space="0" w:color="auto"/>
            <w:right w:val="none" w:sz="0" w:space="0" w:color="auto"/>
          </w:divBdr>
          <w:divsChild>
            <w:div w:id="506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326421">
      <w:bodyDiv w:val="1"/>
      <w:marLeft w:val="0"/>
      <w:marRight w:val="0"/>
      <w:marTop w:val="0"/>
      <w:marBottom w:val="0"/>
      <w:divBdr>
        <w:top w:val="none" w:sz="0" w:space="0" w:color="auto"/>
        <w:left w:val="none" w:sz="0" w:space="0" w:color="auto"/>
        <w:bottom w:val="none" w:sz="0" w:space="0" w:color="auto"/>
        <w:right w:val="none" w:sz="0" w:space="0" w:color="auto"/>
      </w:divBdr>
      <w:divsChild>
        <w:div w:id="1701591096">
          <w:marLeft w:val="0"/>
          <w:marRight w:val="0"/>
          <w:marTop w:val="0"/>
          <w:marBottom w:val="0"/>
          <w:divBdr>
            <w:top w:val="none" w:sz="0" w:space="0" w:color="auto"/>
            <w:left w:val="none" w:sz="0" w:space="0" w:color="auto"/>
            <w:bottom w:val="none" w:sz="0" w:space="0" w:color="auto"/>
            <w:right w:val="none" w:sz="0" w:space="0" w:color="auto"/>
          </w:divBdr>
        </w:div>
      </w:divsChild>
    </w:div>
    <w:div w:id="1254628801">
      <w:bodyDiv w:val="1"/>
      <w:marLeft w:val="0"/>
      <w:marRight w:val="0"/>
      <w:marTop w:val="0"/>
      <w:marBottom w:val="0"/>
      <w:divBdr>
        <w:top w:val="none" w:sz="0" w:space="0" w:color="auto"/>
        <w:left w:val="none" w:sz="0" w:space="0" w:color="auto"/>
        <w:bottom w:val="none" w:sz="0" w:space="0" w:color="auto"/>
        <w:right w:val="none" w:sz="0" w:space="0" w:color="auto"/>
      </w:divBdr>
      <w:divsChild>
        <w:div w:id="1583022862">
          <w:marLeft w:val="0"/>
          <w:marRight w:val="0"/>
          <w:marTop w:val="0"/>
          <w:marBottom w:val="0"/>
          <w:divBdr>
            <w:top w:val="none" w:sz="0" w:space="0" w:color="auto"/>
            <w:left w:val="none" w:sz="0" w:space="0" w:color="auto"/>
            <w:bottom w:val="none" w:sz="0" w:space="0" w:color="auto"/>
            <w:right w:val="none" w:sz="0" w:space="0" w:color="auto"/>
          </w:divBdr>
        </w:div>
      </w:divsChild>
    </w:div>
    <w:div w:id="1302465750">
      <w:bodyDiv w:val="1"/>
      <w:marLeft w:val="0"/>
      <w:marRight w:val="0"/>
      <w:marTop w:val="0"/>
      <w:marBottom w:val="0"/>
      <w:divBdr>
        <w:top w:val="none" w:sz="0" w:space="0" w:color="auto"/>
        <w:left w:val="none" w:sz="0" w:space="0" w:color="auto"/>
        <w:bottom w:val="none" w:sz="0" w:space="0" w:color="auto"/>
        <w:right w:val="none" w:sz="0" w:space="0" w:color="auto"/>
      </w:divBdr>
      <w:divsChild>
        <w:div w:id="1482229566">
          <w:marLeft w:val="0"/>
          <w:marRight w:val="0"/>
          <w:marTop w:val="0"/>
          <w:marBottom w:val="0"/>
          <w:divBdr>
            <w:top w:val="none" w:sz="0" w:space="0" w:color="auto"/>
            <w:left w:val="none" w:sz="0" w:space="0" w:color="auto"/>
            <w:bottom w:val="none" w:sz="0" w:space="0" w:color="auto"/>
            <w:right w:val="none" w:sz="0" w:space="0" w:color="auto"/>
          </w:divBdr>
        </w:div>
      </w:divsChild>
    </w:div>
    <w:div w:id="1351251790">
      <w:bodyDiv w:val="1"/>
      <w:marLeft w:val="0"/>
      <w:marRight w:val="0"/>
      <w:marTop w:val="0"/>
      <w:marBottom w:val="0"/>
      <w:divBdr>
        <w:top w:val="none" w:sz="0" w:space="0" w:color="auto"/>
        <w:left w:val="none" w:sz="0" w:space="0" w:color="auto"/>
        <w:bottom w:val="none" w:sz="0" w:space="0" w:color="auto"/>
        <w:right w:val="none" w:sz="0" w:space="0" w:color="auto"/>
      </w:divBdr>
      <w:divsChild>
        <w:div w:id="401563793">
          <w:marLeft w:val="0"/>
          <w:marRight w:val="0"/>
          <w:marTop w:val="0"/>
          <w:marBottom w:val="0"/>
          <w:divBdr>
            <w:top w:val="none" w:sz="0" w:space="0" w:color="auto"/>
            <w:left w:val="none" w:sz="0" w:space="0" w:color="auto"/>
            <w:bottom w:val="none" w:sz="0" w:space="0" w:color="auto"/>
            <w:right w:val="none" w:sz="0" w:space="0" w:color="auto"/>
          </w:divBdr>
          <w:divsChild>
            <w:div w:id="146893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707038">
      <w:bodyDiv w:val="1"/>
      <w:marLeft w:val="0"/>
      <w:marRight w:val="0"/>
      <w:marTop w:val="0"/>
      <w:marBottom w:val="0"/>
      <w:divBdr>
        <w:top w:val="none" w:sz="0" w:space="0" w:color="auto"/>
        <w:left w:val="none" w:sz="0" w:space="0" w:color="auto"/>
        <w:bottom w:val="none" w:sz="0" w:space="0" w:color="auto"/>
        <w:right w:val="none" w:sz="0" w:space="0" w:color="auto"/>
      </w:divBdr>
      <w:divsChild>
        <w:div w:id="793672945">
          <w:marLeft w:val="0"/>
          <w:marRight w:val="0"/>
          <w:marTop w:val="0"/>
          <w:marBottom w:val="0"/>
          <w:divBdr>
            <w:top w:val="none" w:sz="0" w:space="0" w:color="auto"/>
            <w:left w:val="none" w:sz="0" w:space="0" w:color="auto"/>
            <w:bottom w:val="none" w:sz="0" w:space="0" w:color="auto"/>
            <w:right w:val="none" w:sz="0" w:space="0" w:color="auto"/>
          </w:divBdr>
          <w:divsChild>
            <w:div w:id="95479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2283">
      <w:bodyDiv w:val="1"/>
      <w:marLeft w:val="0"/>
      <w:marRight w:val="0"/>
      <w:marTop w:val="0"/>
      <w:marBottom w:val="0"/>
      <w:divBdr>
        <w:top w:val="none" w:sz="0" w:space="0" w:color="auto"/>
        <w:left w:val="none" w:sz="0" w:space="0" w:color="auto"/>
        <w:bottom w:val="none" w:sz="0" w:space="0" w:color="auto"/>
        <w:right w:val="none" w:sz="0" w:space="0" w:color="auto"/>
      </w:divBdr>
      <w:divsChild>
        <w:div w:id="1356006206">
          <w:marLeft w:val="0"/>
          <w:marRight w:val="0"/>
          <w:marTop w:val="0"/>
          <w:marBottom w:val="0"/>
          <w:divBdr>
            <w:top w:val="none" w:sz="0" w:space="0" w:color="auto"/>
            <w:left w:val="none" w:sz="0" w:space="0" w:color="auto"/>
            <w:bottom w:val="none" w:sz="0" w:space="0" w:color="auto"/>
            <w:right w:val="none" w:sz="0" w:space="0" w:color="auto"/>
          </w:divBdr>
        </w:div>
      </w:divsChild>
    </w:div>
    <w:div w:id="1511335774">
      <w:bodyDiv w:val="1"/>
      <w:marLeft w:val="0"/>
      <w:marRight w:val="0"/>
      <w:marTop w:val="0"/>
      <w:marBottom w:val="0"/>
      <w:divBdr>
        <w:top w:val="none" w:sz="0" w:space="0" w:color="auto"/>
        <w:left w:val="none" w:sz="0" w:space="0" w:color="auto"/>
        <w:bottom w:val="none" w:sz="0" w:space="0" w:color="auto"/>
        <w:right w:val="none" w:sz="0" w:space="0" w:color="auto"/>
      </w:divBdr>
      <w:divsChild>
        <w:div w:id="2013676571">
          <w:marLeft w:val="0"/>
          <w:marRight w:val="0"/>
          <w:marTop w:val="0"/>
          <w:marBottom w:val="0"/>
          <w:divBdr>
            <w:top w:val="none" w:sz="0" w:space="0" w:color="auto"/>
            <w:left w:val="none" w:sz="0" w:space="0" w:color="auto"/>
            <w:bottom w:val="none" w:sz="0" w:space="0" w:color="auto"/>
            <w:right w:val="none" w:sz="0" w:space="0" w:color="auto"/>
          </w:divBdr>
        </w:div>
      </w:divsChild>
    </w:div>
    <w:div w:id="1539974014">
      <w:bodyDiv w:val="1"/>
      <w:marLeft w:val="0"/>
      <w:marRight w:val="0"/>
      <w:marTop w:val="0"/>
      <w:marBottom w:val="0"/>
      <w:divBdr>
        <w:top w:val="none" w:sz="0" w:space="0" w:color="auto"/>
        <w:left w:val="none" w:sz="0" w:space="0" w:color="auto"/>
        <w:bottom w:val="none" w:sz="0" w:space="0" w:color="auto"/>
        <w:right w:val="none" w:sz="0" w:space="0" w:color="auto"/>
      </w:divBdr>
      <w:divsChild>
        <w:div w:id="320545577">
          <w:marLeft w:val="0"/>
          <w:marRight w:val="0"/>
          <w:marTop w:val="0"/>
          <w:marBottom w:val="0"/>
          <w:divBdr>
            <w:top w:val="none" w:sz="0" w:space="0" w:color="auto"/>
            <w:left w:val="none" w:sz="0" w:space="0" w:color="auto"/>
            <w:bottom w:val="none" w:sz="0" w:space="0" w:color="auto"/>
            <w:right w:val="none" w:sz="0" w:space="0" w:color="auto"/>
          </w:divBdr>
        </w:div>
      </w:divsChild>
    </w:div>
    <w:div w:id="1556307725">
      <w:bodyDiv w:val="1"/>
      <w:marLeft w:val="0"/>
      <w:marRight w:val="0"/>
      <w:marTop w:val="0"/>
      <w:marBottom w:val="0"/>
      <w:divBdr>
        <w:top w:val="none" w:sz="0" w:space="0" w:color="auto"/>
        <w:left w:val="none" w:sz="0" w:space="0" w:color="auto"/>
        <w:bottom w:val="none" w:sz="0" w:space="0" w:color="auto"/>
        <w:right w:val="none" w:sz="0" w:space="0" w:color="auto"/>
      </w:divBdr>
      <w:divsChild>
        <w:div w:id="1033457448">
          <w:marLeft w:val="0"/>
          <w:marRight w:val="0"/>
          <w:marTop w:val="0"/>
          <w:marBottom w:val="0"/>
          <w:divBdr>
            <w:top w:val="none" w:sz="0" w:space="0" w:color="auto"/>
            <w:left w:val="none" w:sz="0" w:space="0" w:color="auto"/>
            <w:bottom w:val="none" w:sz="0" w:space="0" w:color="auto"/>
            <w:right w:val="none" w:sz="0" w:space="0" w:color="auto"/>
          </w:divBdr>
        </w:div>
      </w:divsChild>
    </w:div>
    <w:div w:id="1609852713">
      <w:bodyDiv w:val="1"/>
      <w:marLeft w:val="0"/>
      <w:marRight w:val="0"/>
      <w:marTop w:val="0"/>
      <w:marBottom w:val="0"/>
      <w:divBdr>
        <w:top w:val="none" w:sz="0" w:space="0" w:color="auto"/>
        <w:left w:val="none" w:sz="0" w:space="0" w:color="auto"/>
        <w:bottom w:val="none" w:sz="0" w:space="0" w:color="auto"/>
        <w:right w:val="none" w:sz="0" w:space="0" w:color="auto"/>
      </w:divBdr>
      <w:divsChild>
        <w:div w:id="61145324">
          <w:marLeft w:val="0"/>
          <w:marRight w:val="0"/>
          <w:marTop w:val="0"/>
          <w:marBottom w:val="0"/>
          <w:divBdr>
            <w:top w:val="none" w:sz="0" w:space="0" w:color="auto"/>
            <w:left w:val="none" w:sz="0" w:space="0" w:color="auto"/>
            <w:bottom w:val="none" w:sz="0" w:space="0" w:color="auto"/>
            <w:right w:val="none" w:sz="0" w:space="0" w:color="auto"/>
          </w:divBdr>
          <w:divsChild>
            <w:div w:id="191497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343466">
      <w:bodyDiv w:val="1"/>
      <w:marLeft w:val="0"/>
      <w:marRight w:val="0"/>
      <w:marTop w:val="0"/>
      <w:marBottom w:val="0"/>
      <w:divBdr>
        <w:top w:val="none" w:sz="0" w:space="0" w:color="auto"/>
        <w:left w:val="none" w:sz="0" w:space="0" w:color="auto"/>
        <w:bottom w:val="none" w:sz="0" w:space="0" w:color="auto"/>
        <w:right w:val="none" w:sz="0" w:space="0" w:color="auto"/>
      </w:divBdr>
      <w:divsChild>
        <w:div w:id="1727023338">
          <w:marLeft w:val="0"/>
          <w:marRight w:val="0"/>
          <w:marTop w:val="0"/>
          <w:marBottom w:val="0"/>
          <w:divBdr>
            <w:top w:val="none" w:sz="0" w:space="0" w:color="auto"/>
            <w:left w:val="none" w:sz="0" w:space="0" w:color="auto"/>
            <w:bottom w:val="none" w:sz="0" w:space="0" w:color="auto"/>
            <w:right w:val="none" w:sz="0" w:space="0" w:color="auto"/>
          </w:divBdr>
        </w:div>
      </w:divsChild>
    </w:div>
    <w:div w:id="1648239461">
      <w:bodyDiv w:val="1"/>
      <w:marLeft w:val="0"/>
      <w:marRight w:val="0"/>
      <w:marTop w:val="0"/>
      <w:marBottom w:val="0"/>
      <w:divBdr>
        <w:top w:val="none" w:sz="0" w:space="0" w:color="auto"/>
        <w:left w:val="none" w:sz="0" w:space="0" w:color="auto"/>
        <w:bottom w:val="none" w:sz="0" w:space="0" w:color="auto"/>
        <w:right w:val="none" w:sz="0" w:space="0" w:color="auto"/>
      </w:divBdr>
      <w:divsChild>
        <w:div w:id="1457524349">
          <w:marLeft w:val="0"/>
          <w:marRight w:val="0"/>
          <w:marTop w:val="0"/>
          <w:marBottom w:val="0"/>
          <w:divBdr>
            <w:top w:val="none" w:sz="0" w:space="0" w:color="auto"/>
            <w:left w:val="none" w:sz="0" w:space="0" w:color="auto"/>
            <w:bottom w:val="none" w:sz="0" w:space="0" w:color="auto"/>
            <w:right w:val="none" w:sz="0" w:space="0" w:color="auto"/>
          </w:divBdr>
        </w:div>
      </w:divsChild>
    </w:div>
    <w:div w:id="1653800965">
      <w:bodyDiv w:val="1"/>
      <w:marLeft w:val="0"/>
      <w:marRight w:val="0"/>
      <w:marTop w:val="0"/>
      <w:marBottom w:val="0"/>
      <w:divBdr>
        <w:top w:val="none" w:sz="0" w:space="0" w:color="auto"/>
        <w:left w:val="none" w:sz="0" w:space="0" w:color="auto"/>
        <w:bottom w:val="none" w:sz="0" w:space="0" w:color="auto"/>
        <w:right w:val="none" w:sz="0" w:space="0" w:color="auto"/>
      </w:divBdr>
      <w:divsChild>
        <w:div w:id="47262939">
          <w:marLeft w:val="0"/>
          <w:marRight w:val="0"/>
          <w:marTop w:val="0"/>
          <w:marBottom w:val="0"/>
          <w:divBdr>
            <w:top w:val="none" w:sz="0" w:space="0" w:color="auto"/>
            <w:left w:val="none" w:sz="0" w:space="0" w:color="auto"/>
            <w:bottom w:val="none" w:sz="0" w:space="0" w:color="auto"/>
            <w:right w:val="none" w:sz="0" w:space="0" w:color="auto"/>
          </w:divBdr>
        </w:div>
      </w:divsChild>
    </w:div>
    <w:div w:id="1660230989">
      <w:bodyDiv w:val="1"/>
      <w:marLeft w:val="0"/>
      <w:marRight w:val="0"/>
      <w:marTop w:val="0"/>
      <w:marBottom w:val="0"/>
      <w:divBdr>
        <w:top w:val="none" w:sz="0" w:space="0" w:color="auto"/>
        <w:left w:val="none" w:sz="0" w:space="0" w:color="auto"/>
        <w:bottom w:val="none" w:sz="0" w:space="0" w:color="auto"/>
        <w:right w:val="none" w:sz="0" w:space="0" w:color="auto"/>
      </w:divBdr>
      <w:divsChild>
        <w:div w:id="1108815291">
          <w:marLeft w:val="0"/>
          <w:marRight w:val="0"/>
          <w:marTop w:val="0"/>
          <w:marBottom w:val="0"/>
          <w:divBdr>
            <w:top w:val="none" w:sz="0" w:space="0" w:color="auto"/>
            <w:left w:val="none" w:sz="0" w:space="0" w:color="auto"/>
            <w:bottom w:val="none" w:sz="0" w:space="0" w:color="auto"/>
            <w:right w:val="none" w:sz="0" w:space="0" w:color="auto"/>
          </w:divBdr>
          <w:divsChild>
            <w:div w:id="177655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351542">
      <w:bodyDiv w:val="1"/>
      <w:marLeft w:val="0"/>
      <w:marRight w:val="0"/>
      <w:marTop w:val="0"/>
      <w:marBottom w:val="0"/>
      <w:divBdr>
        <w:top w:val="none" w:sz="0" w:space="0" w:color="auto"/>
        <w:left w:val="none" w:sz="0" w:space="0" w:color="auto"/>
        <w:bottom w:val="none" w:sz="0" w:space="0" w:color="auto"/>
        <w:right w:val="none" w:sz="0" w:space="0" w:color="auto"/>
      </w:divBdr>
      <w:divsChild>
        <w:div w:id="361519186">
          <w:marLeft w:val="0"/>
          <w:marRight w:val="0"/>
          <w:marTop w:val="0"/>
          <w:marBottom w:val="0"/>
          <w:divBdr>
            <w:top w:val="none" w:sz="0" w:space="0" w:color="auto"/>
            <w:left w:val="none" w:sz="0" w:space="0" w:color="auto"/>
            <w:bottom w:val="none" w:sz="0" w:space="0" w:color="auto"/>
            <w:right w:val="none" w:sz="0" w:space="0" w:color="auto"/>
          </w:divBdr>
          <w:divsChild>
            <w:div w:id="27822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597234">
      <w:bodyDiv w:val="1"/>
      <w:marLeft w:val="0"/>
      <w:marRight w:val="0"/>
      <w:marTop w:val="0"/>
      <w:marBottom w:val="0"/>
      <w:divBdr>
        <w:top w:val="none" w:sz="0" w:space="0" w:color="auto"/>
        <w:left w:val="none" w:sz="0" w:space="0" w:color="auto"/>
        <w:bottom w:val="none" w:sz="0" w:space="0" w:color="auto"/>
        <w:right w:val="none" w:sz="0" w:space="0" w:color="auto"/>
      </w:divBdr>
      <w:divsChild>
        <w:div w:id="1767339579">
          <w:marLeft w:val="0"/>
          <w:marRight w:val="0"/>
          <w:marTop w:val="0"/>
          <w:marBottom w:val="0"/>
          <w:divBdr>
            <w:top w:val="none" w:sz="0" w:space="0" w:color="auto"/>
            <w:left w:val="none" w:sz="0" w:space="0" w:color="auto"/>
            <w:bottom w:val="none" w:sz="0" w:space="0" w:color="auto"/>
            <w:right w:val="none" w:sz="0" w:space="0" w:color="auto"/>
          </w:divBdr>
        </w:div>
      </w:divsChild>
    </w:div>
    <w:div w:id="1886988083">
      <w:bodyDiv w:val="1"/>
      <w:marLeft w:val="0"/>
      <w:marRight w:val="0"/>
      <w:marTop w:val="0"/>
      <w:marBottom w:val="0"/>
      <w:divBdr>
        <w:top w:val="none" w:sz="0" w:space="0" w:color="auto"/>
        <w:left w:val="none" w:sz="0" w:space="0" w:color="auto"/>
        <w:bottom w:val="none" w:sz="0" w:space="0" w:color="auto"/>
        <w:right w:val="none" w:sz="0" w:space="0" w:color="auto"/>
      </w:divBdr>
      <w:divsChild>
        <w:div w:id="431978250">
          <w:marLeft w:val="0"/>
          <w:marRight w:val="0"/>
          <w:marTop w:val="0"/>
          <w:marBottom w:val="0"/>
          <w:divBdr>
            <w:top w:val="none" w:sz="0" w:space="0" w:color="auto"/>
            <w:left w:val="none" w:sz="0" w:space="0" w:color="auto"/>
            <w:bottom w:val="none" w:sz="0" w:space="0" w:color="auto"/>
            <w:right w:val="none" w:sz="0" w:space="0" w:color="auto"/>
          </w:divBdr>
        </w:div>
      </w:divsChild>
    </w:div>
    <w:div w:id="1934774166">
      <w:bodyDiv w:val="1"/>
      <w:marLeft w:val="0"/>
      <w:marRight w:val="0"/>
      <w:marTop w:val="0"/>
      <w:marBottom w:val="0"/>
      <w:divBdr>
        <w:top w:val="none" w:sz="0" w:space="0" w:color="auto"/>
        <w:left w:val="none" w:sz="0" w:space="0" w:color="auto"/>
        <w:bottom w:val="none" w:sz="0" w:space="0" w:color="auto"/>
        <w:right w:val="none" w:sz="0" w:space="0" w:color="auto"/>
      </w:divBdr>
      <w:divsChild>
        <w:div w:id="1247231283">
          <w:marLeft w:val="0"/>
          <w:marRight w:val="0"/>
          <w:marTop w:val="0"/>
          <w:marBottom w:val="0"/>
          <w:divBdr>
            <w:top w:val="none" w:sz="0" w:space="0" w:color="auto"/>
            <w:left w:val="none" w:sz="0" w:space="0" w:color="auto"/>
            <w:bottom w:val="none" w:sz="0" w:space="0" w:color="auto"/>
            <w:right w:val="none" w:sz="0" w:space="0" w:color="auto"/>
          </w:divBdr>
        </w:div>
      </w:divsChild>
    </w:div>
    <w:div w:id="2042702076">
      <w:bodyDiv w:val="1"/>
      <w:marLeft w:val="0"/>
      <w:marRight w:val="0"/>
      <w:marTop w:val="0"/>
      <w:marBottom w:val="0"/>
      <w:divBdr>
        <w:top w:val="none" w:sz="0" w:space="0" w:color="auto"/>
        <w:left w:val="none" w:sz="0" w:space="0" w:color="auto"/>
        <w:bottom w:val="none" w:sz="0" w:space="0" w:color="auto"/>
        <w:right w:val="none" w:sz="0" w:space="0" w:color="auto"/>
      </w:divBdr>
      <w:divsChild>
        <w:div w:id="2054648393">
          <w:marLeft w:val="0"/>
          <w:marRight w:val="0"/>
          <w:marTop w:val="0"/>
          <w:marBottom w:val="0"/>
          <w:divBdr>
            <w:top w:val="none" w:sz="0" w:space="0" w:color="auto"/>
            <w:left w:val="none" w:sz="0" w:space="0" w:color="auto"/>
            <w:bottom w:val="none" w:sz="0" w:space="0" w:color="auto"/>
            <w:right w:val="none" w:sz="0" w:space="0" w:color="auto"/>
          </w:divBdr>
        </w:div>
      </w:divsChild>
    </w:div>
    <w:div w:id="2133471751">
      <w:bodyDiv w:val="1"/>
      <w:marLeft w:val="0"/>
      <w:marRight w:val="0"/>
      <w:marTop w:val="0"/>
      <w:marBottom w:val="0"/>
      <w:divBdr>
        <w:top w:val="none" w:sz="0" w:space="0" w:color="auto"/>
        <w:left w:val="none" w:sz="0" w:space="0" w:color="auto"/>
        <w:bottom w:val="none" w:sz="0" w:space="0" w:color="auto"/>
        <w:right w:val="none" w:sz="0" w:space="0" w:color="auto"/>
      </w:divBdr>
      <w:divsChild>
        <w:div w:id="1465388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9C0FB0B-3081-4711-BF44-33386DE0CC1E}">
  <we:reference id="wa200001361" version="2.129.3.0" store="en-US" storeType="OMEX"/>
  <we:alternateReferences>
    <we:reference id="wa200001361" version="2.129.3.0" store="" storeType="OMEX"/>
  </we:alternateReferences>
  <we:properties>
    <we:property name="paperpal-document-id" value="&quot;c0c9e31d-4db1-4703-8e06-dd34c9781714&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57</TotalTime>
  <Pages>5</Pages>
  <Words>882</Words>
  <Characters>5030</Characters>
  <Application>Microsoft Office Word</Application>
  <DocSecurity>0</DocSecurity>
  <Lines>41</Lines>
  <Paragraphs>11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Naim Al Hussaini</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Local Server</dc:creator>
  <cp:lastModifiedBy>Local Server</cp:lastModifiedBy>
  <cp:revision>6</cp:revision>
  <dcterms:created xsi:type="dcterms:W3CDTF">2025-04-12T17:19:00Z</dcterms:created>
  <dcterms:modified xsi:type="dcterms:W3CDTF">2025-04-12T21:50:00Z</dcterms:modified>
</cp:coreProperties>
</file>