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6E8F0" w14:textId="151E5D5F" w:rsidR="005C6D43" w:rsidRPr="005C6D43" w:rsidRDefault="005C6D43" w:rsidP="005C6D43">
      <w:pPr>
        <w:rPr>
          <w:lang/>
        </w:rPr>
      </w:pPr>
      <w:r w:rsidRPr="005C6D43">
        <w:rPr>
          <w:lang/>
        </w:rPr>
        <w:drawing>
          <wp:inline distT="0" distB="0" distL="0" distR="0" wp14:anchorId="6591661A" wp14:editId="2C6E0E11">
            <wp:extent cx="5486400" cy="3657600"/>
            <wp:effectExtent l="0" t="0" r="0" b="0"/>
            <wp:docPr id="2329047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260965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2EB79" w14:textId="77777777" w:rsidR="005C6D43" w:rsidRPr="005C6D43" w:rsidRDefault="005C6D43" w:rsidP="005C6D43">
      <w:pPr>
        <w:rPr>
          <w:lang/>
        </w:rPr>
      </w:pPr>
      <w:r w:rsidRPr="005C6D43">
        <w:rPr>
          <w:lang/>
        </w:rPr>
        <w:t>Graphical Abstract: Mutation-induced remodeling of TP53 C238Y leads to the formation of a cryptic, druggable pocket centered on GLU 221, TYR 220, and PRO 219. This transformation challenges the classical notion of TP53 as an undruggable target</w:t>
      </w:r>
    </w:p>
    <w:p w14:paraId="159EB59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43"/>
    <w:rsid w:val="005C6D43"/>
    <w:rsid w:val="00732981"/>
    <w:rsid w:val="00AC0449"/>
    <w:rsid w:val="00AD604E"/>
    <w:rsid w:val="00F0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E84DF"/>
  <w15:chartTrackingRefBased/>
  <w15:docId w15:val="{82A5A7B5-2C42-4C3C-8CB9-AAB40B79A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D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D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D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D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D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D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D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6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6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6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6D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D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D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D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Springer Nature</Company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2025-04-04T03:16:00Z</dcterms:created>
  <dcterms:modified xsi:type="dcterms:W3CDTF">2025-04-04T03:16:00Z</dcterms:modified>
</cp:coreProperties>
</file>