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F03A19" w14:textId="77777777" w:rsidR="00550C17" w:rsidRPr="00961F3D" w:rsidRDefault="00550C17" w:rsidP="00550C17">
      <w:pPr>
        <w:pStyle w:val="Heading1"/>
      </w:pPr>
      <w:r w:rsidRPr="00961F3D">
        <w:t>Molecular subtypes of bladder cancer do not display microenvironment- or metastasis-induced plasticity</w:t>
      </w:r>
    </w:p>
    <w:p w14:paraId="47F1999D" w14:textId="322D7772" w:rsidR="00550C17" w:rsidRDefault="00550C17" w:rsidP="00550C17">
      <w:pPr>
        <w:pStyle w:val="NoSpacing"/>
        <w:rPr>
          <w:vertAlign w:val="superscript"/>
        </w:rPr>
      </w:pPr>
      <w:r w:rsidRPr="00DC4D1D">
        <w:t>Carina Bernardo</w:t>
      </w:r>
      <w:r w:rsidRPr="003E6F57">
        <w:rPr>
          <w:vertAlign w:val="superscript"/>
        </w:rPr>
        <w:t>1</w:t>
      </w:r>
      <w:r>
        <w:rPr>
          <w:vertAlign w:val="superscript"/>
        </w:rPr>
        <w:t>*</w:t>
      </w:r>
      <w:r w:rsidRPr="00DC4D1D">
        <w:t>, </w:t>
      </w:r>
      <w:proofErr w:type="spellStart"/>
      <w:r w:rsidRPr="00DC4D1D">
        <w:t>Subhayan</w:t>
      </w:r>
      <w:proofErr w:type="spellEnd"/>
      <w:r w:rsidRPr="00DC4D1D">
        <w:t xml:space="preserve"> Chattopadhyay</w:t>
      </w:r>
      <w:r w:rsidRPr="00C56EAD">
        <w:rPr>
          <w:vertAlign w:val="superscript"/>
        </w:rPr>
        <w:t>2</w:t>
      </w:r>
      <w:r w:rsidRPr="00DC4D1D">
        <w:t>, Natalie Andersson</w:t>
      </w:r>
      <w:r w:rsidRPr="00C56EAD">
        <w:rPr>
          <w:vertAlign w:val="superscript"/>
        </w:rPr>
        <w:t>2</w:t>
      </w:r>
      <w:r>
        <w:rPr>
          <w:vertAlign w:val="superscript"/>
        </w:rPr>
        <w:t>,3</w:t>
      </w:r>
      <w:r w:rsidRPr="00DC4D1D">
        <w:t>, Pontus Eriksson</w:t>
      </w:r>
      <w:r w:rsidRPr="00C56EAD">
        <w:rPr>
          <w:vertAlign w:val="superscript"/>
        </w:rPr>
        <w:t>1</w:t>
      </w:r>
      <w:r w:rsidRPr="00DC4D1D">
        <w:t>,</w:t>
      </w:r>
      <w:r>
        <w:t xml:space="preserve"> Benjamin Medle</w:t>
      </w:r>
      <w:r w:rsidRPr="00C56EAD">
        <w:rPr>
          <w:vertAlign w:val="superscript"/>
        </w:rPr>
        <w:t>1</w:t>
      </w:r>
      <w:r>
        <w:t>, Lena Tran</w:t>
      </w:r>
      <w:r w:rsidRPr="003E6F57">
        <w:rPr>
          <w:vertAlign w:val="superscript"/>
        </w:rPr>
        <w:t>1</w:t>
      </w:r>
      <w:r>
        <w:t>,</w:t>
      </w:r>
      <w:r w:rsidRPr="00DC4D1D">
        <w:t xml:space="preserve"> Nour </w:t>
      </w:r>
      <w:r>
        <w:t xml:space="preserve">al </w:t>
      </w:r>
      <w:proofErr w:type="spellStart"/>
      <w:r>
        <w:t>dain</w:t>
      </w:r>
      <w:proofErr w:type="spellEnd"/>
      <w:r w:rsidRPr="00DC4D1D">
        <w:t xml:space="preserve"> Marzouka</w:t>
      </w:r>
      <w:r>
        <w:rPr>
          <w:vertAlign w:val="superscript"/>
        </w:rPr>
        <w:t>4</w:t>
      </w:r>
      <w:r w:rsidRPr="00DC4D1D">
        <w:t>, </w:t>
      </w:r>
      <w:r>
        <w:t>Adam Mattsson</w:t>
      </w:r>
      <w:r w:rsidRPr="00C56EAD">
        <w:rPr>
          <w:vertAlign w:val="superscript"/>
        </w:rPr>
        <w:t>1</w:t>
      </w:r>
      <w:r>
        <w:t xml:space="preserve">, </w:t>
      </w:r>
      <w:r w:rsidRPr="00C56EAD">
        <w:t>Aymeric Zadoroznyj</w:t>
      </w:r>
      <w:r w:rsidRPr="00C56EAD">
        <w:rPr>
          <w:vertAlign w:val="superscript"/>
        </w:rPr>
        <w:t>1</w:t>
      </w:r>
      <w:r>
        <w:t xml:space="preserve">, </w:t>
      </w:r>
      <w:r w:rsidRPr="00DC4D1D">
        <w:t>Malin Larsson</w:t>
      </w:r>
      <w:r>
        <w:rPr>
          <w:vertAlign w:val="superscript"/>
        </w:rPr>
        <w:t>5</w:t>
      </w:r>
      <w:r w:rsidRPr="00DC4D1D">
        <w:t>, Fredrik Liedberg</w:t>
      </w:r>
      <w:r>
        <w:rPr>
          <w:vertAlign w:val="superscript"/>
        </w:rPr>
        <w:t>6</w:t>
      </w:r>
      <w:r w:rsidRPr="00DC4D1D">
        <w:t>, Mattias Höglund</w:t>
      </w:r>
      <w:r w:rsidRPr="00C56EAD">
        <w:rPr>
          <w:vertAlign w:val="superscript"/>
        </w:rPr>
        <w:t>1</w:t>
      </w:r>
      <w:r w:rsidRPr="00DC4D1D">
        <w:t>, Gottfrid Sjödahl</w:t>
      </w:r>
      <w:r>
        <w:rPr>
          <w:vertAlign w:val="superscript"/>
        </w:rPr>
        <w:t>6</w:t>
      </w:r>
    </w:p>
    <w:p w14:paraId="07AD5F80" w14:textId="77777777" w:rsidR="00550C17" w:rsidRPr="00C56EAD" w:rsidRDefault="00550C17" w:rsidP="00550C17">
      <w:pPr>
        <w:pStyle w:val="NoSpacing"/>
      </w:pPr>
    </w:p>
    <w:p w14:paraId="7597D364" w14:textId="38C11B31" w:rsidR="00550C17" w:rsidRDefault="00550C17" w:rsidP="00550C17">
      <w:pPr>
        <w:pStyle w:val="Heading3"/>
      </w:pPr>
      <w:r>
        <w:t>Supplementary M</w:t>
      </w:r>
      <w:r w:rsidR="0075010A">
        <w:t>ethods</w:t>
      </w:r>
    </w:p>
    <w:p w14:paraId="701587EA" w14:textId="77777777" w:rsidR="00CD2E48" w:rsidRDefault="00CD2E48" w:rsidP="00E45E4A">
      <w:pPr>
        <w:pStyle w:val="Heading4"/>
      </w:pPr>
      <w:r>
        <w:t>Sample processing</w:t>
      </w:r>
    </w:p>
    <w:p w14:paraId="2D6C7034" w14:textId="77777777" w:rsidR="00E45E4A" w:rsidRDefault="00CD2E48">
      <w:r w:rsidRPr="001E0185">
        <w:t xml:space="preserve">Tissue samples were lysed </w:t>
      </w:r>
      <w:r>
        <w:t>with</w:t>
      </w:r>
      <w:r w:rsidRPr="001E0185">
        <w:t xml:space="preserve"> RTL Plus lysis buffer (Qiagen) containing Dithiothreitol (DTT) and disrupted with Qiagen </w:t>
      </w:r>
      <w:proofErr w:type="spellStart"/>
      <w:r w:rsidRPr="001E0185">
        <w:t>TissueLyser</w:t>
      </w:r>
      <w:proofErr w:type="spellEnd"/>
      <w:r w:rsidRPr="001E0185">
        <w:t xml:space="preserve"> for 8 minutes. After disruption, the lysed samples were centrifuged in </w:t>
      </w:r>
      <w:proofErr w:type="spellStart"/>
      <w:r w:rsidRPr="001E0185">
        <w:t>QIAshredder</w:t>
      </w:r>
      <w:proofErr w:type="spellEnd"/>
      <w:r w:rsidRPr="001E0185">
        <w:t xml:space="preserve"> columns, and the lysates stored at -80</w:t>
      </w:r>
      <w:r>
        <w:t>°C</w:t>
      </w:r>
      <w:r w:rsidRPr="001E0185">
        <w:t xml:space="preserve"> until further processing. DNA and RNA were isolated </w:t>
      </w:r>
      <w:r>
        <w:t>via</w:t>
      </w:r>
      <w:r w:rsidRPr="001E0185">
        <w:t xml:space="preserve"> the </w:t>
      </w:r>
      <w:proofErr w:type="spellStart"/>
      <w:r w:rsidRPr="001E0185">
        <w:t>AllPrep</w:t>
      </w:r>
      <w:proofErr w:type="spellEnd"/>
      <w:r w:rsidRPr="001E0185">
        <w:t xml:space="preserve"> DNA/RNA mini kit in a </w:t>
      </w:r>
      <w:proofErr w:type="spellStart"/>
      <w:r w:rsidRPr="001E0185">
        <w:t>QIAcube</w:t>
      </w:r>
      <w:proofErr w:type="spellEnd"/>
      <w:r w:rsidRPr="001E0185">
        <w:t xml:space="preserve"> with standard protocols. RNA quality was evaluated with </w:t>
      </w:r>
      <w:r>
        <w:t>an</w:t>
      </w:r>
      <w:r w:rsidRPr="001E0185">
        <w:t xml:space="preserve"> Agilent 2100 Bioanalyzer system. </w:t>
      </w:r>
    </w:p>
    <w:p w14:paraId="470BA730" w14:textId="002FA9FA" w:rsidR="00E45E4A" w:rsidRDefault="00870158" w:rsidP="00CA2429">
      <w:pPr>
        <w:pStyle w:val="Heading4"/>
      </w:pPr>
      <w:r>
        <w:t>RNA data</w:t>
      </w:r>
      <w:r w:rsidR="00CA2429">
        <w:t xml:space="preserve"> analysis</w:t>
      </w:r>
    </w:p>
    <w:p w14:paraId="6387AD05" w14:textId="6AE91137" w:rsidR="000F59EF" w:rsidRDefault="000F59EF" w:rsidP="000F59EF">
      <w:r w:rsidRPr="001E0185">
        <w:t>F</w:t>
      </w:r>
      <w:r>
        <w:t>AST</w:t>
      </w:r>
      <w:r w:rsidRPr="001E0185">
        <w:t xml:space="preserve">Q files were preprocessed and aligned </w:t>
      </w:r>
      <w:r>
        <w:t>via</w:t>
      </w:r>
      <w:r w:rsidRPr="001E0185">
        <w:t xml:space="preserve"> the </w:t>
      </w:r>
      <w:proofErr w:type="spellStart"/>
      <w:r w:rsidRPr="001E0185">
        <w:t>nf</w:t>
      </w:r>
      <w:proofErr w:type="spellEnd"/>
      <w:r w:rsidRPr="001E0185">
        <w:t>-core/</w:t>
      </w:r>
      <w:proofErr w:type="spellStart"/>
      <w:r w:rsidRPr="001E0185">
        <w:t>rnaseq</w:t>
      </w:r>
      <w:proofErr w:type="spellEnd"/>
      <w:r w:rsidRPr="001E0185">
        <w:t xml:space="preserve"> pipeline (v. 3.9) using </w:t>
      </w:r>
      <w:proofErr w:type="spellStart"/>
      <w:r w:rsidRPr="00F74323">
        <w:rPr>
          <w:i/>
          <w:iCs/>
        </w:rPr>
        <w:t>nextflow</w:t>
      </w:r>
      <w:proofErr w:type="spellEnd"/>
      <w:r w:rsidRPr="001E0185">
        <w:t xml:space="preserve"> (v. 22.04.5). The GRCh38 reference genome and gene annotations release 108 were downloaded from </w:t>
      </w:r>
      <w:proofErr w:type="spellStart"/>
      <w:r w:rsidRPr="001E0185">
        <w:t>Ensembl</w:t>
      </w:r>
      <w:proofErr w:type="spellEnd"/>
      <w:r w:rsidRPr="001E0185">
        <w:t xml:space="preserve">. </w:t>
      </w:r>
      <w:r>
        <w:t>A</w:t>
      </w:r>
      <w:r w:rsidRPr="001E0185">
        <w:t>lignment and quantification were</w:t>
      </w:r>
      <w:r>
        <w:t xml:space="preserve"> performed with</w:t>
      </w:r>
      <w:r w:rsidRPr="001E0185">
        <w:t xml:space="preserve"> </w:t>
      </w:r>
      <w:r w:rsidRPr="00F74323">
        <w:rPr>
          <w:i/>
          <w:iCs/>
        </w:rPr>
        <w:t>STAR</w:t>
      </w:r>
      <w:r w:rsidRPr="001E0185">
        <w:t xml:space="preserve"> (v. 2.7.10a) and </w:t>
      </w:r>
      <w:r w:rsidRPr="00F74323">
        <w:rPr>
          <w:i/>
          <w:iCs/>
        </w:rPr>
        <w:t>RSEM</w:t>
      </w:r>
      <w:r w:rsidRPr="001E0185">
        <w:t xml:space="preserve"> (v. 1.3.1) after adapter and quality trimming (</w:t>
      </w:r>
      <w:proofErr w:type="spellStart"/>
      <w:r w:rsidRPr="00F74323">
        <w:rPr>
          <w:i/>
          <w:iCs/>
        </w:rPr>
        <w:t>trimgalore</w:t>
      </w:r>
      <w:proofErr w:type="spellEnd"/>
      <w:r w:rsidRPr="001E0185">
        <w:t>: 0.6.7) and removal of ribosomal RNA (</w:t>
      </w:r>
      <w:proofErr w:type="spellStart"/>
      <w:r w:rsidRPr="00F74323">
        <w:rPr>
          <w:i/>
          <w:iCs/>
        </w:rPr>
        <w:t>SortMeRNA</w:t>
      </w:r>
      <w:proofErr w:type="spellEnd"/>
      <w:r w:rsidRPr="001E0185">
        <w:t xml:space="preserve">: 4.3.4). </w:t>
      </w:r>
      <w:proofErr w:type="spellStart"/>
      <w:r w:rsidRPr="00F74323">
        <w:rPr>
          <w:i/>
          <w:iCs/>
        </w:rPr>
        <w:t>SAMtools</w:t>
      </w:r>
      <w:proofErr w:type="spellEnd"/>
      <w:r w:rsidRPr="001E0185">
        <w:t xml:space="preserve"> (v. 1.15.1) was used to sort and index alignments, </w:t>
      </w:r>
      <w:r>
        <w:t>P</w:t>
      </w:r>
      <w:r w:rsidRPr="001E0185">
        <w:t>icard (</w:t>
      </w:r>
      <w:r>
        <w:t xml:space="preserve">v. </w:t>
      </w:r>
      <w:r w:rsidRPr="001E0185">
        <w:t>2.27.4-</w:t>
      </w:r>
      <w:r w:rsidRPr="0013604E">
        <w:rPr>
          <w:i/>
          <w:iCs/>
        </w:rPr>
        <w:t>SNAPSHOT</w:t>
      </w:r>
      <w:r w:rsidRPr="001E0185">
        <w:t xml:space="preserve">) was used to mark duplicates and </w:t>
      </w:r>
      <w:proofErr w:type="spellStart"/>
      <w:r w:rsidRPr="00F74323">
        <w:rPr>
          <w:i/>
          <w:iCs/>
        </w:rPr>
        <w:t>Stringtie</w:t>
      </w:r>
      <w:proofErr w:type="spellEnd"/>
      <w:r w:rsidRPr="00F74323">
        <w:rPr>
          <w:i/>
          <w:iCs/>
        </w:rPr>
        <w:t xml:space="preserve"> </w:t>
      </w:r>
      <w:r w:rsidRPr="001E0185">
        <w:t>(v. 2.2.1)</w:t>
      </w:r>
      <w:r>
        <w:t xml:space="preserve"> was used</w:t>
      </w:r>
      <w:r w:rsidRPr="001E0185">
        <w:t xml:space="preserve"> for transcript assembly and quantification for quality analysis. Quality control was performed </w:t>
      </w:r>
      <w:r>
        <w:t>via</w:t>
      </w:r>
      <w:r w:rsidRPr="001E0185">
        <w:t xml:space="preserve"> </w:t>
      </w:r>
      <w:proofErr w:type="spellStart"/>
      <w:r w:rsidRPr="00F74323">
        <w:rPr>
          <w:i/>
          <w:iCs/>
        </w:rPr>
        <w:t>FastQC</w:t>
      </w:r>
      <w:proofErr w:type="spellEnd"/>
      <w:r w:rsidRPr="001E0185">
        <w:t xml:space="preserve"> (v. 0.11.9) and </w:t>
      </w:r>
      <w:proofErr w:type="spellStart"/>
      <w:r w:rsidRPr="00F74323">
        <w:rPr>
          <w:i/>
          <w:iCs/>
        </w:rPr>
        <w:t>MultiQC</w:t>
      </w:r>
      <w:proofErr w:type="spellEnd"/>
      <w:r w:rsidRPr="001E0185">
        <w:t xml:space="preserve"> (v. 1.13</w:t>
      </w:r>
      <w:r>
        <w:t>)</w:t>
      </w:r>
      <w:r w:rsidRPr="001E0185">
        <w:t xml:space="preserve">. </w:t>
      </w:r>
      <w:r w:rsidRPr="00DE7C4A">
        <w:t xml:space="preserve">Samples with </w:t>
      </w:r>
      <w:r>
        <w:t>fewer</w:t>
      </w:r>
      <w:r w:rsidRPr="00DE7C4A">
        <w:t xml:space="preserve"> than 15 million mapped reads were excluded from the analysis.</w:t>
      </w:r>
      <w:r>
        <w:t xml:space="preserve"> </w:t>
      </w:r>
      <w:r w:rsidRPr="001E0185">
        <w:t xml:space="preserve">The absence of significant batch effects was confirmed before proceeding with the analysis. </w:t>
      </w:r>
    </w:p>
    <w:p w14:paraId="7977EC7C" w14:textId="11B89953" w:rsidR="00CA2429" w:rsidRDefault="000F59EF">
      <w:r w:rsidRPr="001E0185">
        <w:t xml:space="preserve">RSEM merged gene counts were used to identify differentially expressed genes (DEGs) </w:t>
      </w:r>
      <w:r>
        <w:t>with</w:t>
      </w:r>
      <w:r w:rsidRPr="001E0185">
        <w:t xml:space="preserve"> </w:t>
      </w:r>
      <w:r>
        <w:t xml:space="preserve">the </w:t>
      </w:r>
      <w:r w:rsidRPr="0013604E">
        <w:rPr>
          <w:i/>
          <w:iCs/>
        </w:rPr>
        <w:t>DESeq2</w:t>
      </w:r>
      <w:r w:rsidRPr="001E0185">
        <w:t xml:space="preserve"> R package</w:t>
      </w:r>
      <w:r>
        <w:t xml:space="preserve"> </w:t>
      </w:r>
      <w:r w:rsidRPr="001E0185">
        <w:t>(</w:t>
      </w:r>
      <w:r>
        <w:t xml:space="preserve">v. </w:t>
      </w:r>
      <w:r w:rsidRPr="001E0185">
        <w:t>1.38.3).</w:t>
      </w:r>
      <w:r>
        <w:t xml:space="preserve"> </w:t>
      </w:r>
      <w:r w:rsidRPr="001E0185">
        <w:t xml:space="preserve">DEGs between locations for each model were </w:t>
      </w:r>
      <w:r>
        <w:t>determined</w:t>
      </w:r>
      <w:r w:rsidRPr="001E0185">
        <w:t xml:space="preserve"> using the </w:t>
      </w:r>
      <w:r>
        <w:t>l</w:t>
      </w:r>
      <w:r w:rsidRPr="001E0185">
        <w:t>ikelihood ratio test (chi-square test) for generalized linear models (GLMs)</w:t>
      </w:r>
      <w:r>
        <w:t>,</w:t>
      </w:r>
      <w:r w:rsidRPr="001E0185">
        <w:t xml:space="preserve"> which compare</w:t>
      </w:r>
      <w:r>
        <w:t>s</w:t>
      </w:r>
      <w:r w:rsidRPr="001E0185">
        <w:t xml:space="preserve"> two negative binomial models (a null model with no group effect and an alternative model with a group effect) fitted to count data. Bonferroni correction was applied to control for false discoveries (type I errors) during multiple testing. Pairwise comparison</w:t>
      </w:r>
      <w:r>
        <w:t>s</w:t>
      </w:r>
      <w:r w:rsidRPr="001E0185">
        <w:t xml:space="preserve"> to identify genes with significant differences in the mean expression levels between each group and the </w:t>
      </w:r>
      <w:r>
        <w:rPr>
          <w:rFonts w:cs="Times New Roman"/>
          <w:szCs w:val="24"/>
        </w:rPr>
        <w:t>SC</w:t>
      </w:r>
      <w:r w:rsidRPr="001E0185">
        <w:t xml:space="preserve"> group w</w:t>
      </w:r>
      <w:r>
        <w:t>ere</w:t>
      </w:r>
      <w:r w:rsidRPr="001E0185">
        <w:t xml:space="preserve"> performed using</w:t>
      </w:r>
      <w:r>
        <w:t xml:space="preserve"> the</w:t>
      </w:r>
      <w:r w:rsidRPr="001E0185">
        <w:t xml:space="preserve"> Wald test with an adjusted p-value &lt; 0.01 and an absolute log2FoldChange &gt; 1 as screening criteria.</w:t>
      </w:r>
    </w:p>
    <w:p w14:paraId="509141C3" w14:textId="77777777" w:rsidR="00E45E4A" w:rsidRDefault="00E45E4A" w:rsidP="00E45E4A">
      <w:pPr>
        <w:pStyle w:val="Heading4"/>
      </w:pPr>
      <w:r>
        <w:t xml:space="preserve">Phylogenetic analysis </w:t>
      </w:r>
    </w:p>
    <w:p w14:paraId="6F94ABDB" w14:textId="48843243" w:rsidR="00E45E4A" w:rsidRPr="001E0185" w:rsidRDefault="00E45E4A" w:rsidP="00E45E4A">
      <w:r>
        <w:t xml:space="preserve">After segmentation of the SNP array data using </w:t>
      </w:r>
      <w:proofErr w:type="gramStart"/>
      <w:r>
        <w:t>TAPs</w:t>
      </w:r>
      <w:proofErr w:type="gramEnd"/>
      <w:r>
        <w:t xml:space="preserve"> we noticed that some large segment calls were a mixture of smaller segments </w:t>
      </w:r>
      <w:r w:rsidRPr="001E0185">
        <w:t>with differing clonality status</w:t>
      </w:r>
      <w:r>
        <w:t>es</w:t>
      </w:r>
      <w:r w:rsidRPr="001E0185">
        <w:t xml:space="preserve">. To remedy this, we used the </w:t>
      </w:r>
      <w:proofErr w:type="spellStart"/>
      <w:r w:rsidRPr="001E0185">
        <w:t>DNAcopy</w:t>
      </w:r>
      <w:proofErr w:type="spellEnd"/>
      <w:r w:rsidRPr="001E0185">
        <w:t xml:space="preserve"> package to call segments according to both relative coverage and allele frequency separately. Interestingly, these generate micro segments that are typically unsuitable for quality control. We then employ</w:t>
      </w:r>
      <w:r>
        <w:t>ed</w:t>
      </w:r>
      <w:r w:rsidRPr="001E0185">
        <w:t xml:space="preserve"> a Bayesian merging algorithm where each segment </w:t>
      </w:r>
      <w:r>
        <w:t>is</w:t>
      </w:r>
      <w:r w:rsidRPr="001E0185">
        <w:t xml:space="preserve"> merged </w:t>
      </w:r>
      <w:r>
        <w:t>with</w:t>
      </w:r>
      <w:r w:rsidRPr="001E0185">
        <w:t xml:space="preserve"> the following segment if the posterior </w:t>
      </w:r>
      <w:r>
        <w:t xml:space="preserve">segment </w:t>
      </w:r>
      <w:r w:rsidRPr="001E0185">
        <w:t>does not differ significantly (confidence band of 20%) from the prior estimate</w:t>
      </w:r>
      <w:r>
        <w:t>,</w:t>
      </w:r>
      <w:r w:rsidRPr="001E0185">
        <w:t xml:space="preserve"> and the process </w:t>
      </w:r>
      <w:r>
        <w:t>is</w:t>
      </w:r>
      <w:r w:rsidRPr="001E0185">
        <w:t xml:space="preserve"> iterated to cover each chromosomal arm unless a break point is detected. At the break</w:t>
      </w:r>
      <w:r>
        <w:t>point,</w:t>
      </w:r>
      <w:r w:rsidRPr="001E0185">
        <w:t xml:space="preserve"> the process starts again. Estimates from both calls were merged to create a consensus </w:t>
      </w:r>
      <w:r w:rsidRPr="001E0185">
        <w:lastRenderedPageBreak/>
        <w:t xml:space="preserve">segment call. </w:t>
      </w:r>
      <w:r>
        <w:t xml:space="preserve">The </w:t>
      </w:r>
      <w:proofErr w:type="spellStart"/>
      <w:r>
        <w:t>l</w:t>
      </w:r>
      <w:r w:rsidRPr="001E0185">
        <w:t>ogR</w:t>
      </w:r>
      <w:proofErr w:type="spellEnd"/>
      <w:r w:rsidRPr="001E0185">
        <w:t xml:space="preserve"> and allelic imbalance values for these segments were then aggregated from the TAPS estimates of small regions. </w:t>
      </w:r>
      <w:r>
        <w:t>Notably,</w:t>
      </w:r>
      <w:r w:rsidRPr="001E0185">
        <w:t xml:space="preserve"> some small segments (&lt;10</w:t>
      </w:r>
      <w:r>
        <w:t xml:space="preserve"> </w:t>
      </w:r>
      <w:r w:rsidRPr="001E0185">
        <w:t>kb) with high ploidy status</w:t>
      </w:r>
      <w:r>
        <w:t xml:space="preserve"> were</w:t>
      </w:r>
      <w:r w:rsidRPr="001E0185">
        <w:t xml:space="preserve"> detected in some samples</w:t>
      </w:r>
      <w:r>
        <w:t>,</w:t>
      </w:r>
      <w:r w:rsidRPr="001E0185">
        <w:t xml:space="preserve"> possibly indicating amplicons. These were </w:t>
      </w:r>
      <w:r>
        <w:t>excluded</w:t>
      </w:r>
      <w:r w:rsidRPr="001E0185">
        <w:t xml:space="preserve"> from the analysis unless they appeared in more than one consecutively passaged sample and could thus be confidently called as to have been carried forward. Although these can provide information on </w:t>
      </w:r>
      <w:proofErr w:type="spellStart"/>
      <w:r w:rsidRPr="001E0185">
        <w:t>subclonal</w:t>
      </w:r>
      <w:proofErr w:type="spellEnd"/>
      <w:r w:rsidRPr="001E0185">
        <w:t xml:space="preserve"> diversification, they were </w:t>
      </w:r>
      <w:r>
        <w:t xml:space="preserve">often </w:t>
      </w:r>
      <w:r w:rsidRPr="001E0185">
        <w:t xml:space="preserve">not covered with </w:t>
      </w:r>
      <w:r>
        <w:t xml:space="preserve">an </w:t>
      </w:r>
      <w:r w:rsidRPr="001E0185">
        <w:t>adequate number of probes to be reliabl</w:t>
      </w:r>
      <w:r>
        <w:t>y</w:t>
      </w:r>
      <w:r w:rsidRPr="001E0185">
        <w:t xml:space="preserve"> called across all samples in a single lineage. In general, only segments </w:t>
      </w:r>
      <w:r>
        <w:t>with l</w:t>
      </w:r>
      <w:r w:rsidRPr="001E0185">
        <w:t>ength</w:t>
      </w:r>
      <w:r>
        <w:t xml:space="preserve">s greater </w:t>
      </w:r>
      <w:r w:rsidRPr="001E0185">
        <w:t>than or equal to 0.1 Mb were included in downstream phylogenetic analyses. The script for these steps can be found in (</w:t>
      </w:r>
      <w:hyperlink r:id="rId8" w:tgtFrame="_blank" w:tooltip="https://github.com/Subhayan18/Bernardo_et.al.git" w:history="1">
        <w:r w:rsidR="00F74323" w:rsidRPr="00F74323">
          <w:rPr>
            <w:rStyle w:val="Hyperlink"/>
          </w:rPr>
          <w:t>https://github.com/Subhayan18/Bernardo_et.al.git</w:t>
        </w:r>
      </w:hyperlink>
      <w:r w:rsidRPr="001E0185">
        <w:t>).</w:t>
      </w:r>
    </w:p>
    <w:p w14:paraId="1DD36F35" w14:textId="126F54B3" w:rsidR="00DD0C8A" w:rsidRPr="001E0185" w:rsidRDefault="00DD0C8A" w:rsidP="00DD0C8A">
      <w:r w:rsidRPr="001E0185">
        <w:t xml:space="preserve">The final clonal deconvolution for phylogenetic analysis was based on the following rules </w:t>
      </w:r>
      <w:sdt>
        <w:sdtPr>
          <w:rPr>
            <w:color w:val="000000"/>
            <w:sz w:val="24"/>
          </w:rPr>
          <w:tag w:val="MENDELEY_CITATION_v3_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"/>
          <w:id w:val="1885677109"/>
          <w:placeholder>
            <w:docPart w:val="8951EDECD52D46B1BD18A0B906FC5A61"/>
          </w:placeholder>
        </w:sdtPr>
        <w:sdtContent>
          <w:r w:rsidRPr="00DD0C8A">
            <w:rPr>
              <w:rFonts w:eastAsia="Times New Roman"/>
              <w:color w:val="000000"/>
            </w:rPr>
            <w:t>(Karlsson et al., 2024)</w:t>
          </w:r>
        </w:sdtContent>
      </w:sdt>
      <w:r w:rsidRPr="001E0185">
        <w:t xml:space="preserve">: </w:t>
      </w:r>
    </w:p>
    <w:p w14:paraId="535DF435" w14:textId="77777777" w:rsidR="00DD0C8A" w:rsidRPr="001E0185" w:rsidRDefault="00DD0C8A" w:rsidP="00DD0C8A">
      <w:pPr>
        <w:pStyle w:val="ListParagraph"/>
        <w:numPr>
          <w:ilvl w:val="0"/>
          <w:numId w:val="1"/>
        </w:numPr>
        <w:spacing w:before="120" w:after="0" w:line="360" w:lineRule="auto"/>
      </w:pPr>
      <w:r>
        <w:t xml:space="preserve">Owing </w:t>
      </w:r>
      <w:r w:rsidRPr="001E0185">
        <w:t>to a 10% error margin at clone size estimation with</w:t>
      </w:r>
      <w:r>
        <w:t xml:space="preserve"> the</w:t>
      </w:r>
      <w:r w:rsidRPr="001E0185">
        <w:t xml:space="preserve"> SNP array, the final estimated sizes were rounded to the nearest 5%</w:t>
      </w:r>
      <w:r>
        <w:t>,</w:t>
      </w:r>
      <w:r w:rsidRPr="001E0185">
        <w:t xml:space="preserve"> assuming a +/- 5% spread.</w:t>
      </w:r>
    </w:p>
    <w:p w14:paraId="566E78AF" w14:textId="77777777" w:rsidR="00DD0C8A" w:rsidRPr="001E0185" w:rsidRDefault="00DD0C8A" w:rsidP="00DD0C8A">
      <w:pPr>
        <w:pStyle w:val="ListParagraph"/>
        <w:numPr>
          <w:ilvl w:val="0"/>
          <w:numId w:val="1"/>
        </w:numPr>
        <w:spacing w:before="120" w:after="0" w:line="360" w:lineRule="auto"/>
      </w:pPr>
      <w:r w:rsidRPr="001E0185">
        <w:t xml:space="preserve">The sum of subclone sizes was allowed to reach an addition of 20% over the 100% limit </w:t>
      </w:r>
      <w:r>
        <w:t>owing</w:t>
      </w:r>
      <w:r w:rsidRPr="001E0185">
        <w:t xml:space="preserve"> to the 10% additive error margin</w:t>
      </w:r>
      <w:r>
        <w:t>,</w:t>
      </w:r>
      <w:r w:rsidRPr="001E0185">
        <w:t xml:space="preserve"> as two concomitant subclones may yield a 20% overestimate in clone size.</w:t>
      </w:r>
    </w:p>
    <w:p w14:paraId="6718ACD6" w14:textId="77777777" w:rsidR="00DD0C8A" w:rsidRPr="001E0185" w:rsidRDefault="00DD0C8A" w:rsidP="00DD0C8A">
      <w:pPr>
        <w:pStyle w:val="ListParagraph"/>
        <w:numPr>
          <w:ilvl w:val="0"/>
          <w:numId w:val="1"/>
        </w:numPr>
        <w:spacing w:before="120" w:after="0" w:line="360" w:lineRule="auto"/>
      </w:pPr>
      <w:r>
        <w:t>The t</w:t>
      </w:r>
      <w:r w:rsidRPr="001E0185">
        <w:t xml:space="preserve">umor cell content was multiplicatively normalized to 100% if the total clone size sum </w:t>
      </w:r>
      <w:r>
        <w:t>exceeded</w:t>
      </w:r>
      <w:r w:rsidRPr="001E0185">
        <w:t xml:space="preserve"> 100%. </w:t>
      </w:r>
    </w:p>
    <w:p w14:paraId="38AB70B9" w14:textId="77777777" w:rsidR="00DD0C8A" w:rsidRPr="00D2486F" w:rsidRDefault="00DD0C8A" w:rsidP="00DD0C8A">
      <w:pPr>
        <w:pStyle w:val="ListParagraph"/>
        <w:numPr>
          <w:ilvl w:val="0"/>
          <w:numId w:val="1"/>
        </w:numPr>
        <w:spacing w:before="120" w:after="0" w:line="360" w:lineRule="auto"/>
      </w:pPr>
      <w:r w:rsidRPr="001E0185">
        <w:t xml:space="preserve">Copy </w:t>
      </w:r>
      <w:r w:rsidRPr="00D2486F">
        <w:t xml:space="preserve">number neutral events in a sample against a background of </w:t>
      </w:r>
      <w:proofErr w:type="spellStart"/>
      <w:r w:rsidRPr="00D2486F">
        <w:t>hyperdiploidy</w:t>
      </w:r>
      <w:proofErr w:type="spellEnd"/>
      <w:r w:rsidRPr="00D2486F">
        <w:t xml:space="preserve"> (ex. 2+1) was assumed to occur by losing an allele from the minor branch (2+0 instead of 1+1) if many of the other samples from the same experiment also displayed the same ploidy base.</w:t>
      </w:r>
    </w:p>
    <w:p w14:paraId="24104106" w14:textId="77777777" w:rsidR="00DD0C8A" w:rsidRPr="00D2486F" w:rsidRDefault="00DD0C8A" w:rsidP="00DD0C8A">
      <w:pPr>
        <w:rPr>
          <w:rFonts w:cstheme="minorHAnsi"/>
        </w:rPr>
      </w:pPr>
      <w:r w:rsidRPr="00D2486F">
        <w:t xml:space="preserve">Segment-specific aggregated </w:t>
      </w:r>
      <w:proofErr w:type="spellStart"/>
      <w:r w:rsidRPr="00D2486F">
        <w:t>logR</w:t>
      </w:r>
      <w:proofErr w:type="spellEnd"/>
      <w:r w:rsidRPr="00D2486F">
        <w:t xml:space="preserve"> values were obtained from SNP-array analyses as described previously. </w:t>
      </w:r>
      <w:r w:rsidRPr="00D2486F">
        <w:rPr>
          <w:rFonts w:cstheme="minorHAnsi"/>
        </w:rPr>
        <w:t>The standard expression for the proportion of the total number of alleles at the site of analysis and a normalized normal copy number is as follows:</w:t>
      </w:r>
    </w:p>
    <w:p w14:paraId="1E9B5886" w14:textId="77777777" w:rsidR="00DD0C8A" w:rsidRPr="00D2486F" w:rsidRDefault="00DD0C8A" w:rsidP="00DD0C8A">
      <w:pPr>
        <w:spacing w:before="100" w:beforeAutospacing="1" w:after="0"/>
        <w:jc w:val="center"/>
        <w:rPr>
          <w:rFonts w:eastAsiaTheme="minorEastAsia" w:cstheme="minorHAnsi"/>
          <w:kern w:val="2"/>
          <w:szCs w:val="24"/>
          <w:lang w:eastAsia="zh-CN"/>
          <w14:ligatures w14:val="standardContextual"/>
        </w:rPr>
      </w:pPr>
      <m:oMath>
        <m:r>
          <w:rPr>
            <w:rFonts w:ascii="Cambria Math" w:eastAsiaTheme="minorEastAsia" w:hAnsi="Cambria Math" w:cstheme="minorHAnsi"/>
            <w:kern w:val="2"/>
            <w:szCs w:val="24"/>
            <w:lang w:eastAsia="zh-CN"/>
            <w14:ligatures w14:val="standardContextual"/>
          </w:rPr>
          <m:t>logR</m:t>
        </m:r>
      </m:oMath>
      <w:r w:rsidRPr="00D2486F">
        <w:rPr>
          <w:rFonts w:eastAsiaTheme="minorEastAsia" w:cstheme="minorHAnsi"/>
          <w:kern w:val="2"/>
          <w:szCs w:val="24"/>
          <w:lang w:eastAsia="zh-CN"/>
          <w14:ligatures w14:val="standardContextual"/>
        </w:rPr>
        <w:t xml:space="preserve"> = {MCF*(CNa + CNb) + (1-</w:t>
      </w:r>
      <w:proofErr w:type="gramStart"/>
      <w:r w:rsidRPr="00D2486F">
        <w:rPr>
          <w:rFonts w:eastAsiaTheme="minorEastAsia" w:cstheme="minorHAnsi"/>
          <w:kern w:val="2"/>
          <w:szCs w:val="24"/>
          <w:lang w:eastAsia="zh-CN"/>
          <w14:ligatures w14:val="standardContextual"/>
        </w:rPr>
        <w:t>MCF)*CNb}/</w:t>
      </w:r>
      <w:proofErr w:type="gramEnd"/>
      <w:r w:rsidRPr="00D2486F">
        <w:rPr>
          <w:rFonts w:eastAsiaTheme="minorEastAsia" w:cstheme="minorHAnsi"/>
          <w:kern w:val="2"/>
          <w:szCs w:val="24"/>
          <w:lang w:eastAsia="zh-CN"/>
          <w14:ligatures w14:val="standardContextual"/>
        </w:rPr>
        <w:t>CNp</w:t>
      </w:r>
    </w:p>
    <w:p w14:paraId="489FE23F" w14:textId="77777777" w:rsidR="00DD0C8A" w:rsidRPr="00D2486F" w:rsidRDefault="00DD0C8A" w:rsidP="00DD0C8A">
      <w:pPr>
        <w:rPr>
          <w:rFonts w:cstheme="minorHAnsi"/>
          <w:lang w:eastAsia="zh-CN"/>
        </w:rPr>
      </w:pPr>
      <w:r w:rsidRPr="00D2486F">
        <w:rPr>
          <w:rFonts w:cstheme="minorHAnsi"/>
          <w:lang w:eastAsia="zh-CN"/>
        </w:rPr>
        <w:t xml:space="preserve">The copy number of the aberrant segment is </w:t>
      </w:r>
      <w:proofErr w:type="spellStart"/>
      <w:r w:rsidRPr="00D2486F">
        <w:rPr>
          <w:rFonts w:cstheme="minorHAnsi"/>
          <w:lang w:eastAsia="zh-CN"/>
        </w:rPr>
        <w:t>CNa</w:t>
      </w:r>
      <w:proofErr w:type="spellEnd"/>
      <w:r w:rsidRPr="00D2486F">
        <w:rPr>
          <w:rFonts w:cstheme="minorHAnsi"/>
          <w:lang w:eastAsia="zh-CN"/>
        </w:rPr>
        <w:t xml:space="preserve">, the copy number of the background cells (either the number of alleles in the parental clone or that of the </w:t>
      </w:r>
      <w:r w:rsidRPr="00D2486F">
        <w:rPr>
          <w:rFonts w:cstheme="minorHAnsi"/>
          <w:i/>
          <w:iCs/>
          <w:lang w:eastAsia="zh-CN"/>
        </w:rPr>
        <w:t>normal</w:t>
      </w:r>
      <w:r w:rsidRPr="00D2486F">
        <w:rPr>
          <w:rFonts w:cstheme="minorHAnsi"/>
          <w:lang w:eastAsia="zh-CN"/>
        </w:rPr>
        <w:t xml:space="preserve"> cells) is </w:t>
      </w:r>
      <w:proofErr w:type="spellStart"/>
      <w:r w:rsidRPr="00D2486F">
        <w:rPr>
          <w:rFonts w:cstheme="minorHAnsi"/>
          <w:lang w:eastAsia="zh-CN"/>
        </w:rPr>
        <w:t>CNb</w:t>
      </w:r>
      <w:proofErr w:type="spellEnd"/>
      <w:r w:rsidRPr="00D2486F">
        <w:rPr>
          <w:rFonts w:cstheme="minorHAnsi"/>
          <w:lang w:eastAsia="zh-CN"/>
        </w:rPr>
        <w:t xml:space="preserve">, and the ploidy level to which the array is adjusted is </w:t>
      </w:r>
      <w:proofErr w:type="spellStart"/>
      <w:r w:rsidRPr="00D2486F">
        <w:rPr>
          <w:rFonts w:cstheme="minorHAnsi"/>
          <w:lang w:eastAsia="zh-CN"/>
        </w:rPr>
        <w:t>CNp</w:t>
      </w:r>
      <w:proofErr w:type="spellEnd"/>
      <w:r w:rsidRPr="00D2486F">
        <w:rPr>
          <w:rFonts w:cstheme="minorHAnsi"/>
          <w:lang w:eastAsia="zh-CN"/>
        </w:rPr>
        <w:t>. To estimate the MCF, one can use the following formula:</w:t>
      </w:r>
    </w:p>
    <w:p w14:paraId="38B7755C" w14:textId="77777777" w:rsidR="00DD0C8A" w:rsidRPr="00D2486F" w:rsidRDefault="00000000" w:rsidP="00DD0C8A">
      <w:pPr>
        <w:spacing w:before="100" w:beforeAutospacing="1" w:after="0"/>
        <w:jc w:val="center"/>
        <w:rPr>
          <w:rFonts w:eastAsiaTheme="minorEastAsia" w:cstheme="minorHAnsi"/>
          <w:kern w:val="2"/>
          <w:szCs w:val="24"/>
          <w:lang w:eastAsia="zh-CN"/>
          <w14:ligatures w14:val="standardContextual"/>
        </w:rPr>
      </w:pPr>
      <m:oMath>
        <m:acc>
          <m:accPr>
            <m:ctrlPr>
              <w:rPr>
                <w:rFonts w:ascii="Cambria Math" w:eastAsiaTheme="minorEastAsia" w:hAnsi="Cambria Math" w:cstheme="minorHAnsi"/>
                <w:i/>
                <w:kern w:val="2"/>
                <w:szCs w:val="24"/>
                <w:lang w:eastAsia="zh-CN"/>
                <w14:ligatures w14:val="standardContextual"/>
              </w:rPr>
            </m:ctrlPr>
          </m:accPr>
          <m:e>
            <m:r>
              <w:rPr>
                <w:rFonts w:ascii="Cambria Math" w:eastAsiaTheme="minorEastAsia" w:hAnsi="Cambria Math" w:cstheme="minorHAnsi"/>
                <w:kern w:val="2"/>
                <w:szCs w:val="24"/>
                <w:lang w:eastAsia="zh-CN"/>
                <w14:ligatures w14:val="standardContextual"/>
              </w:rPr>
              <m:t>MCF</m:t>
            </m:r>
          </m:e>
        </m:acc>
        <m:r>
          <w:rPr>
            <w:rFonts w:ascii="Cambria Math" w:eastAsiaTheme="minorEastAsia" w:hAnsi="Cambria Math" w:cstheme="minorHAnsi"/>
            <w:kern w:val="2"/>
            <w:szCs w:val="24"/>
            <w:lang w:eastAsia="zh-CN"/>
            <w14:ligatures w14:val="standardContextual"/>
          </w:rPr>
          <m:t xml:space="preserve"> </m:t>
        </m:r>
      </m:oMath>
      <w:r w:rsidR="00DD0C8A" w:rsidRPr="00D2486F">
        <w:rPr>
          <w:rFonts w:eastAsiaTheme="minorEastAsia" w:cstheme="minorHAnsi"/>
          <w:kern w:val="2"/>
          <w:szCs w:val="24"/>
          <w:lang w:eastAsia="zh-CN"/>
          <w14:ligatures w14:val="standardContextual"/>
        </w:rPr>
        <w:t xml:space="preserve">= {CNp * </w:t>
      </w:r>
      <m:oMath>
        <m:r>
          <w:rPr>
            <w:rFonts w:ascii="Cambria Math" w:eastAsiaTheme="minorEastAsia" w:hAnsi="Cambria Math" w:cstheme="minorHAnsi"/>
            <w:kern w:val="2"/>
            <w:szCs w:val="24"/>
            <w:lang w:eastAsia="zh-CN"/>
            <w14:ligatures w14:val="standardContextual"/>
          </w:rPr>
          <m:t>logR</m:t>
        </m:r>
      </m:oMath>
      <w:r w:rsidR="00DD0C8A" w:rsidRPr="00D2486F">
        <w:rPr>
          <w:rFonts w:eastAsiaTheme="minorEastAsia" w:cstheme="minorHAnsi"/>
          <w:kern w:val="2"/>
          <w:szCs w:val="24"/>
          <w:lang w:eastAsia="zh-CN"/>
          <w14:ligatures w14:val="standardContextual"/>
        </w:rPr>
        <w:t xml:space="preserve"> – CNb} / CNa</w:t>
      </w:r>
    </w:p>
    <w:p w14:paraId="711E2887" w14:textId="77777777" w:rsidR="00DD0C8A" w:rsidRPr="00D2486F" w:rsidRDefault="00DD0C8A" w:rsidP="00DD0C8A">
      <w:pPr>
        <w:rPr>
          <w:rFonts w:cstheme="minorHAnsi"/>
          <w:lang w:eastAsia="zh-CN"/>
        </w:rPr>
      </w:pPr>
      <w:r w:rsidRPr="00D2486F">
        <w:rPr>
          <w:rFonts w:cstheme="minorHAnsi"/>
          <w:lang w:eastAsia="zh-CN"/>
        </w:rPr>
        <w:t>This estimate can vary depending on the sequencing platform and may require rescaling accordingly. The MCF value can also be estimated from the mirrored B-allele frequency (</w:t>
      </w:r>
      <w:proofErr w:type="spellStart"/>
      <w:r w:rsidRPr="00D2486F">
        <w:rPr>
          <w:rFonts w:cstheme="minorHAnsi"/>
          <w:lang w:eastAsia="zh-CN"/>
        </w:rPr>
        <w:t>mBAF</w:t>
      </w:r>
      <w:proofErr w:type="spellEnd"/>
      <w:r w:rsidRPr="00D2486F">
        <w:rPr>
          <w:rFonts w:cstheme="minorHAnsi"/>
          <w:lang w:eastAsia="zh-CN"/>
        </w:rPr>
        <w:t>) assuming that for a set of mutations, the B-allele frequencies are greater than or equal to those of the other alleles (A). Hence,</w:t>
      </w:r>
    </w:p>
    <w:p w14:paraId="2D05C8A4" w14:textId="77777777" w:rsidR="00DD0C8A" w:rsidRPr="00D2486F" w:rsidRDefault="00DD0C8A" w:rsidP="00DD0C8A">
      <w:pPr>
        <w:spacing w:before="100" w:beforeAutospacing="1" w:after="0"/>
        <w:jc w:val="center"/>
        <w:rPr>
          <w:rFonts w:eastAsiaTheme="minorEastAsia" w:cstheme="minorHAnsi"/>
          <w:kern w:val="2"/>
          <w:szCs w:val="24"/>
          <w:lang w:eastAsia="zh-CN"/>
          <w14:ligatures w14:val="standardContextual"/>
        </w:rPr>
      </w:pPr>
      <w:proofErr w:type="spellStart"/>
      <w:r w:rsidRPr="00D2486F">
        <w:rPr>
          <w:rFonts w:eastAsiaTheme="minorEastAsia" w:cstheme="minorHAnsi"/>
          <w:kern w:val="2"/>
          <w:szCs w:val="24"/>
          <w:lang w:eastAsia="zh-CN"/>
          <w14:ligatures w14:val="standardContextual"/>
        </w:rPr>
        <w:t>mBAF</w:t>
      </w:r>
      <w:proofErr w:type="spellEnd"/>
      <w:r w:rsidRPr="00D2486F">
        <w:rPr>
          <w:rFonts w:eastAsiaTheme="minorEastAsia" w:cstheme="minorHAnsi"/>
          <w:kern w:val="2"/>
          <w:szCs w:val="24"/>
          <w:lang w:eastAsia="zh-CN"/>
          <w14:ligatures w14:val="standardContextual"/>
        </w:rPr>
        <w:t xml:space="preserve"> = Nb/(</w:t>
      </w:r>
      <w:proofErr w:type="spellStart"/>
      <w:r w:rsidRPr="00D2486F">
        <w:rPr>
          <w:rFonts w:eastAsiaTheme="minorEastAsia" w:cstheme="minorHAnsi"/>
          <w:kern w:val="2"/>
          <w:szCs w:val="24"/>
          <w:lang w:eastAsia="zh-CN"/>
          <w14:ligatures w14:val="standardContextual"/>
        </w:rPr>
        <w:t>Na+Nb</w:t>
      </w:r>
      <w:proofErr w:type="spellEnd"/>
      <w:r w:rsidRPr="00D2486F">
        <w:rPr>
          <w:rFonts w:eastAsiaTheme="minorEastAsia" w:cstheme="minorHAnsi"/>
          <w:kern w:val="2"/>
          <w:szCs w:val="24"/>
          <w:lang w:eastAsia="zh-CN"/>
          <w14:ligatures w14:val="standardContextual"/>
        </w:rPr>
        <w:t>)</w:t>
      </w:r>
    </w:p>
    <w:p w14:paraId="51EF1052" w14:textId="77777777" w:rsidR="00DD0C8A" w:rsidRPr="00D2486F" w:rsidRDefault="00DD0C8A" w:rsidP="00DD0C8A">
      <w:pPr>
        <w:rPr>
          <w:rFonts w:cstheme="minorHAnsi"/>
          <w:lang w:eastAsia="zh-CN"/>
        </w:rPr>
      </w:pPr>
      <w:r w:rsidRPr="00D2486F">
        <w:rPr>
          <w:rFonts w:cstheme="minorHAnsi"/>
          <w:lang w:eastAsia="zh-CN"/>
        </w:rPr>
        <w:t>Here, Nb and Na indicate the number of B and A alleles, respectively. The total number of B alleles given with Nb in a sample at a specific location is the sum of the B-allele fractions in the tumor and that in the normal whose relative fractions can be assumed to add up to one. Hence,</w:t>
      </w:r>
    </w:p>
    <w:p w14:paraId="5B520456" w14:textId="77777777" w:rsidR="00DD0C8A" w:rsidRPr="00D2486F" w:rsidRDefault="00DD0C8A" w:rsidP="00DD0C8A">
      <w:pPr>
        <w:spacing w:before="100" w:beforeAutospacing="1" w:after="0"/>
        <w:jc w:val="center"/>
        <w:rPr>
          <w:rFonts w:eastAsiaTheme="minorEastAsia" w:cstheme="minorHAnsi"/>
          <w:kern w:val="2"/>
          <w:szCs w:val="24"/>
          <w:lang w:eastAsia="zh-CN"/>
          <w14:ligatures w14:val="standardContextual"/>
        </w:rPr>
      </w:pPr>
      <w:r w:rsidRPr="00D2486F">
        <w:rPr>
          <w:rFonts w:eastAsiaTheme="minorEastAsia" w:cstheme="minorHAnsi"/>
          <w:kern w:val="2"/>
          <w:szCs w:val="24"/>
          <w:lang w:eastAsia="zh-CN"/>
          <w14:ligatures w14:val="standardContextual"/>
        </w:rPr>
        <w:t xml:space="preserve">Nb = </w:t>
      </w:r>
      <w:proofErr w:type="spellStart"/>
      <w:r w:rsidRPr="00D2486F">
        <w:rPr>
          <w:rFonts w:eastAsiaTheme="minorEastAsia" w:cstheme="minorHAnsi"/>
          <w:kern w:val="2"/>
          <w:szCs w:val="24"/>
          <w:lang w:eastAsia="zh-CN"/>
          <w14:ligatures w14:val="standardContextual"/>
        </w:rPr>
        <w:t>Nb</w:t>
      </w:r>
      <w:r w:rsidRPr="00D2486F">
        <w:rPr>
          <w:rFonts w:eastAsiaTheme="minorEastAsia" w:cstheme="minorHAnsi"/>
          <w:kern w:val="2"/>
          <w:szCs w:val="24"/>
          <w:vertAlign w:val="subscript"/>
          <w:lang w:eastAsia="zh-CN"/>
          <w14:ligatures w14:val="standardContextual"/>
        </w:rPr>
        <w:t>Tumor</w:t>
      </w:r>
      <w:proofErr w:type="spellEnd"/>
      <w:r w:rsidRPr="00D2486F">
        <w:rPr>
          <w:rFonts w:eastAsiaTheme="minorEastAsia" w:cstheme="minorHAnsi"/>
          <w:kern w:val="2"/>
          <w:szCs w:val="24"/>
          <w:lang w:eastAsia="zh-CN"/>
          <w14:ligatures w14:val="standardContextual"/>
        </w:rPr>
        <w:t xml:space="preserve"> + </w:t>
      </w:r>
      <w:proofErr w:type="spellStart"/>
      <w:r w:rsidRPr="00D2486F">
        <w:rPr>
          <w:rFonts w:eastAsiaTheme="minorEastAsia" w:cstheme="minorHAnsi"/>
          <w:kern w:val="2"/>
          <w:szCs w:val="24"/>
          <w:lang w:eastAsia="zh-CN"/>
          <w14:ligatures w14:val="standardContextual"/>
        </w:rPr>
        <w:t>Nb</w:t>
      </w:r>
      <w:r w:rsidRPr="00D2486F">
        <w:rPr>
          <w:rFonts w:eastAsiaTheme="minorEastAsia" w:cstheme="minorHAnsi"/>
          <w:kern w:val="2"/>
          <w:szCs w:val="24"/>
          <w:vertAlign w:val="subscript"/>
          <w:lang w:eastAsia="zh-CN"/>
          <w14:ligatures w14:val="standardContextual"/>
        </w:rPr>
        <w:t>Normal</w:t>
      </w:r>
      <w:proofErr w:type="spellEnd"/>
      <w:r w:rsidRPr="00D2486F">
        <w:rPr>
          <w:rFonts w:eastAsiaTheme="minorEastAsia" w:cstheme="minorHAnsi"/>
          <w:kern w:val="2"/>
          <w:szCs w:val="24"/>
          <w:lang w:eastAsia="zh-CN"/>
          <w14:ligatures w14:val="standardContextual"/>
        </w:rPr>
        <w:t xml:space="preserve"> = </w:t>
      </w:r>
      <w:proofErr w:type="spellStart"/>
      <w:r w:rsidRPr="00D2486F">
        <w:rPr>
          <w:rFonts w:eastAsiaTheme="minorEastAsia" w:cstheme="minorHAnsi"/>
          <w:kern w:val="2"/>
          <w:szCs w:val="24"/>
          <w:lang w:eastAsia="zh-CN"/>
          <w14:ligatures w14:val="standardContextual"/>
        </w:rPr>
        <w:t>B</w:t>
      </w:r>
      <w:r w:rsidRPr="00D2486F">
        <w:rPr>
          <w:rFonts w:eastAsiaTheme="minorEastAsia" w:cstheme="minorHAnsi"/>
          <w:kern w:val="2"/>
          <w:szCs w:val="24"/>
          <w:vertAlign w:val="subscript"/>
          <w:lang w:eastAsia="zh-CN"/>
          <w14:ligatures w14:val="standardContextual"/>
        </w:rPr>
        <w:t>Tumor</w:t>
      </w:r>
      <w:proofErr w:type="spellEnd"/>
      <w:r w:rsidRPr="00D2486F">
        <w:rPr>
          <w:rFonts w:eastAsiaTheme="minorEastAsia" w:cstheme="minorHAnsi"/>
          <w:kern w:val="2"/>
          <w:szCs w:val="24"/>
          <w:lang w:eastAsia="zh-CN"/>
          <w14:ligatures w14:val="standardContextual"/>
        </w:rPr>
        <w:t xml:space="preserve"> * MCF + (</w:t>
      </w:r>
      <w:proofErr w:type="spellStart"/>
      <w:r w:rsidRPr="00D2486F">
        <w:rPr>
          <w:rFonts w:eastAsiaTheme="minorEastAsia" w:cstheme="minorHAnsi"/>
          <w:kern w:val="2"/>
          <w:szCs w:val="24"/>
          <w:lang w:eastAsia="zh-CN"/>
          <w14:ligatures w14:val="standardContextual"/>
        </w:rPr>
        <w:t>B</w:t>
      </w:r>
      <w:r w:rsidRPr="00D2486F">
        <w:rPr>
          <w:rFonts w:eastAsiaTheme="minorEastAsia" w:cstheme="minorHAnsi"/>
          <w:kern w:val="2"/>
          <w:szCs w:val="24"/>
          <w:vertAlign w:val="subscript"/>
          <w:lang w:eastAsia="zh-CN"/>
          <w14:ligatures w14:val="standardContextual"/>
        </w:rPr>
        <w:t>Tumor</w:t>
      </w:r>
      <w:proofErr w:type="spellEnd"/>
      <w:r w:rsidRPr="00D2486F">
        <w:rPr>
          <w:rFonts w:eastAsiaTheme="minorEastAsia" w:cstheme="minorHAnsi"/>
          <w:kern w:val="2"/>
          <w:szCs w:val="24"/>
          <w:lang w:eastAsia="zh-CN"/>
          <w14:ligatures w14:val="standardContextual"/>
        </w:rPr>
        <w:t xml:space="preserve"> + </w:t>
      </w:r>
      <w:proofErr w:type="spellStart"/>
      <w:r w:rsidRPr="00D2486F">
        <w:rPr>
          <w:rFonts w:eastAsiaTheme="minorEastAsia" w:cstheme="minorHAnsi"/>
          <w:kern w:val="2"/>
          <w:szCs w:val="24"/>
          <w:lang w:eastAsia="zh-CN"/>
          <w14:ligatures w14:val="standardContextual"/>
        </w:rPr>
        <w:t>B</w:t>
      </w:r>
      <w:r w:rsidRPr="00D2486F">
        <w:rPr>
          <w:rFonts w:eastAsiaTheme="minorEastAsia" w:cstheme="minorHAnsi"/>
          <w:kern w:val="2"/>
          <w:szCs w:val="24"/>
          <w:vertAlign w:val="subscript"/>
          <w:lang w:eastAsia="zh-CN"/>
          <w14:ligatures w14:val="standardContextual"/>
        </w:rPr>
        <w:t>Normal</w:t>
      </w:r>
      <w:proofErr w:type="spellEnd"/>
      <w:r w:rsidRPr="00D2486F">
        <w:rPr>
          <w:rFonts w:eastAsiaTheme="minorEastAsia" w:cstheme="minorHAnsi"/>
          <w:kern w:val="2"/>
          <w:szCs w:val="24"/>
          <w:lang w:eastAsia="zh-CN"/>
          <w14:ligatures w14:val="standardContextual"/>
        </w:rPr>
        <w:t>) * (1-MCF) and,</w:t>
      </w:r>
    </w:p>
    <w:p w14:paraId="747D3C51" w14:textId="77777777" w:rsidR="00DD0C8A" w:rsidRPr="00D2486F" w:rsidRDefault="00DD0C8A" w:rsidP="00DD0C8A">
      <w:pPr>
        <w:spacing w:before="100" w:beforeAutospacing="1" w:after="0"/>
        <w:jc w:val="center"/>
        <w:rPr>
          <w:rFonts w:eastAsiaTheme="minorEastAsia" w:cstheme="minorHAnsi"/>
          <w:kern w:val="2"/>
          <w:szCs w:val="24"/>
          <w:lang w:eastAsia="zh-CN"/>
          <w14:ligatures w14:val="standardContextual"/>
        </w:rPr>
      </w:pPr>
      <w:r w:rsidRPr="00D2486F">
        <w:rPr>
          <w:rFonts w:eastAsiaTheme="minorEastAsia" w:cstheme="minorHAnsi"/>
          <w:kern w:val="2"/>
          <w:szCs w:val="24"/>
          <w:lang w:eastAsia="zh-CN"/>
          <w14:ligatures w14:val="standardContextual"/>
        </w:rPr>
        <w:t xml:space="preserve">Na = </w:t>
      </w:r>
      <w:proofErr w:type="spellStart"/>
      <w:r w:rsidRPr="00D2486F">
        <w:rPr>
          <w:rFonts w:eastAsiaTheme="minorEastAsia" w:cstheme="minorHAnsi"/>
          <w:kern w:val="2"/>
          <w:szCs w:val="24"/>
          <w:lang w:eastAsia="zh-CN"/>
          <w14:ligatures w14:val="standardContextual"/>
        </w:rPr>
        <w:t>Na</w:t>
      </w:r>
      <w:r w:rsidRPr="00D2486F">
        <w:rPr>
          <w:rFonts w:eastAsiaTheme="minorEastAsia" w:cstheme="minorHAnsi"/>
          <w:kern w:val="2"/>
          <w:szCs w:val="24"/>
          <w:vertAlign w:val="subscript"/>
          <w:lang w:eastAsia="zh-CN"/>
          <w14:ligatures w14:val="standardContextual"/>
        </w:rPr>
        <w:t>Tumor</w:t>
      </w:r>
      <w:proofErr w:type="spellEnd"/>
      <w:r w:rsidRPr="00D2486F">
        <w:rPr>
          <w:rFonts w:eastAsiaTheme="minorEastAsia" w:cstheme="minorHAnsi"/>
          <w:kern w:val="2"/>
          <w:szCs w:val="24"/>
          <w:lang w:eastAsia="zh-CN"/>
          <w14:ligatures w14:val="standardContextual"/>
        </w:rPr>
        <w:t xml:space="preserve"> + </w:t>
      </w:r>
      <w:proofErr w:type="spellStart"/>
      <w:r w:rsidRPr="00D2486F">
        <w:rPr>
          <w:rFonts w:eastAsiaTheme="minorEastAsia" w:cstheme="minorHAnsi"/>
          <w:kern w:val="2"/>
          <w:szCs w:val="24"/>
          <w:lang w:eastAsia="zh-CN"/>
          <w14:ligatures w14:val="standardContextual"/>
        </w:rPr>
        <w:t>Na</w:t>
      </w:r>
      <w:r w:rsidRPr="00D2486F">
        <w:rPr>
          <w:rFonts w:eastAsiaTheme="minorEastAsia" w:cstheme="minorHAnsi"/>
          <w:kern w:val="2"/>
          <w:szCs w:val="24"/>
          <w:vertAlign w:val="subscript"/>
          <w:lang w:eastAsia="zh-CN"/>
          <w14:ligatures w14:val="standardContextual"/>
        </w:rPr>
        <w:t>Normal</w:t>
      </w:r>
      <w:proofErr w:type="spellEnd"/>
      <w:r w:rsidRPr="00D2486F">
        <w:rPr>
          <w:rFonts w:eastAsiaTheme="minorEastAsia" w:cstheme="minorHAnsi"/>
          <w:kern w:val="2"/>
          <w:szCs w:val="24"/>
          <w:lang w:eastAsia="zh-CN"/>
          <w14:ligatures w14:val="standardContextual"/>
        </w:rPr>
        <w:t xml:space="preserve"> = </w:t>
      </w:r>
      <w:proofErr w:type="spellStart"/>
      <w:r w:rsidRPr="00D2486F">
        <w:rPr>
          <w:rFonts w:eastAsiaTheme="minorEastAsia" w:cstheme="minorHAnsi"/>
          <w:kern w:val="2"/>
          <w:szCs w:val="24"/>
          <w:lang w:eastAsia="zh-CN"/>
          <w14:ligatures w14:val="standardContextual"/>
        </w:rPr>
        <w:t>A</w:t>
      </w:r>
      <w:r w:rsidRPr="00D2486F">
        <w:rPr>
          <w:rFonts w:eastAsiaTheme="minorEastAsia" w:cstheme="minorHAnsi"/>
          <w:kern w:val="2"/>
          <w:szCs w:val="24"/>
          <w:vertAlign w:val="subscript"/>
          <w:lang w:eastAsia="zh-CN"/>
          <w14:ligatures w14:val="standardContextual"/>
        </w:rPr>
        <w:t>Tumor</w:t>
      </w:r>
      <w:proofErr w:type="spellEnd"/>
      <w:r w:rsidRPr="00D2486F">
        <w:rPr>
          <w:rFonts w:eastAsiaTheme="minorEastAsia" w:cstheme="minorHAnsi"/>
          <w:kern w:val="2"/>
          <w:szCs w:val="24"/>
          <w:lang w:eastAsia="zh-CN"/>
          <w14:ligatures w14:val="standardContextual"/>
        </w:rPr>
        <w:t xml:space="preserve"> * MCF + (</w:t>
      </w:r>
      <w:proofErr w:type="spellStart"/>
      <w:r w:rsidRPr="00D2486F">
        <w:rPr>
          <w:rFonts w:eastAsiaTheme="minorEastAsia" w:cstheme="minorHAnsi"/>
          <w:kern w:val="2"/>
          <w:szCs w:val="24"/>
          <w:lang w:eastAsia="zh-CN"/>
          <w14:ligatures w14:val="standardContextual"/>
        </w:rPr>
        <w:t>A</w:t>
      </w:r>
      <w:r w:rsidRPr="00D2486F">
        <w:rPr>
          <w:rFonts w:eastAsiaTheme="minorEastAsia" w:cstheme="minorHAnsi"/>
          <w:kern w:val="2"/>
          <w:szCs w:val="24"/>
          <w:vertAlign w:val="subscript"/>
          <w:lang w:eastAsia="zh-CN"/>
          <w14:ligatures w14:val="standardContextual"/>
        </w:rPr>
        <w:t>Tumor</w:t>
      </w:r>
      <w:proofErr w:type="spellEnd"/>
      <w:r w:rsidRPr="00D2486F">
        <w:rPr>
          <w:rFonts w:eastAsiaTheme="minorEastAsia" w:cstheme="minorHAnsi"/>
          <w:kern w:val="2"/>
          <w:szCs w:val="24"/>
          <w:lang w:eastAsia="zh-CN"/>
          <w14:ligatures w14:val="standardContextual"/>
        </w:rPr>
        <w:t xml:space="preserve"> + </w:t>
      </w:r>
      <w:proofErr w:type="spellStart"/>
      <w:r w:rsidRPr="00D2486F">
        <w:rPr>
          <w:rFonts w:eastAsiaTheme="minorEastAsia" w:cstheme="minorHAnsi"/>
          <w:kern w:val="2"/>
          <w:szCs w:val="24"/>
          <w:lang w:eastAsia="zh-CN"/>
          <w14:ligatures w14:val="standardContextual"/>
        </w:rPr>
        <w:t>A</w:t>
      </w:r>
      <w:r w:rsidRPr="00D2486F">
        <w:rPr>
          <w:rFonts w:eastAsiaTheme="minorEastAsia" w:cstheme="minorHAnsi"/>
          <w:kern w:val="2"/>
          <w:szCs w:val="24"/>
          <w:vertAlign w:val="subscript"/>
          <w:lang w:eastAsia="zh-CN"/>
          <w14:ligatures w14:val="standardContextual"/>
        </w:rPr>
        <w:t>Normal</w:t>
      </w:r>
      <w:proofErr w:type="spellEnd"/>
      <w:r w:rsidRPr="00D2486F">
        <w:rPr>
          <w:rFonts w:eastAsiaTheme="minorEastAsia" w:cstheme="minorHAnsi"/>
          <w:kern w:val="2"/>
          <w:szCs w:val="24"/>
          <w:lang w:eastAsia="zh-CN"/>
          <w14:ligatures w14:val="standardContextual"/>
        </w:rPr>
        <w:t>) * (1-MCF)</w:t>
      </w:r>
    </w:p>
    <w:p w14:paraId="037FF0E8" w14:textId="77777777" w:rsidR="00DD0C8A" w:rsidRPr="00D2486F" w:rsidRDefault="00DD0C8A" w:rsidP="00DD0C8A">
      <w:pPr>
        <w:rPr>
          <w:rFonts w:cstheme="minorHAnsi"/>
          <w:lang w:eastAsia="zh-CN"/>
        </w:rPr>
      </w:pPr>
      <w:r w:rsidRPr="00D2486F">
        <w:rPr>
          <w:rFonts w:cstheme="minorHAnsi"/>
          <w:lang w:eastAsia="zh-CN"/>
        </w:rPr>
        <w:t>which can be simplified to:</w:t>
      </w:r>
    </w:p>
    <w:p w14:paraId="5E49A2F6" w14:textId="77777777" w:rsidR="00DD0C8A" w:rsidRPr="00D2486F" w:rsidRDefault="00000000" w:rsidP="00DD0C8A">
      <w:pPr>
        <w:spacing w:before="100" w:beforeAutospacing="1" w:after="0"/>
        <w:jc w:val="center"/>
        <w:rPr>
          <w:rFonts w:eastAsiaTheme="minorEastAsia" w:cstheme="minorHAnsi"/>
          <w:kern w:val="2"/>
          <w:szCs w:val="24"/>
          <w:lang w:eastAsia="zh-CN"/>
          <w14:ligatures w14:val="standardContextual"/>
        </w:rPr>
      </w:pPr>
      <m:oMath>
        <m:acc>
          <m:accPr>
            <m:ctrlPr>
              <w:rPr>
                <w:rFonts w:ascii="Cambria Math" w:eastAsiaTheme="minorEastAsia" w:hAnsi="Cambria Math" w:cstheme="minorHAnsi"/>
                <w:i/>
                <w:kern w:val="2"/>
                <w:szCs w:val="24"/>
                <w:lang w:eastAsia="zh-CN"/>
                <w14:ligatures w14:val="standardContextual"/>
              </w:rPr>
            </m:ctrlPr>
          </m:accPr>
          <m:e>
            <m:r>
              <w:rPr>
                <w:rFonts w:ascii="Cambria Math" w:eastAsiaTheme="minorEastAsia" w:hAnsi="Cambria Math" w:cstheme="minorHAnsi"/>
                <w:kern w:val="2"/>
                <w:szCs w:val="24"/>
                <w:lang w:eastAsia="zh-CN"/>
                <w14:ligatures w14:val="standardContextual"/>
              </w:rPr>
              <m:t>MCF</m:t>
            </m:r>
          </m:e>
        </m:acc>
      </m:oMath>
      <w:r w:rsidR="00DD0C8A" w:rsidRPr="00D2486F">
        <w:rPr>
          <w:rFonts w:eastAsiaTheme="minorEastAsia" w:cstheme="minorHAnsi"/>
          <w:kern w:val="2"/>
          <w:szCs w:val="24"/>
          <w:lang w:eastAsia="zh-CN"/>
          <w14:ligatures w14:val="standardContextual"/>
        </w:rPr>
        <w:t xml:space="preserve"> = (1 – 2 mBAF) / {mBAF * (CNa+CNb-2) – CNb + 1}</w:t>
      </w:r>
    </w:p>
    <w:p w14:paraId="49FD976D" w14:textId="77777777" w:rsidR="00DD0C8A" w:rsidRPr="00D2486F" w:rsidRDefault="00DD0C8A" w:rsidP="00DD0C8A">
      <w:pPr>
        <w:rPr>
          <w:rFonts w:cstheme="minorHAnsi"/>
          <w:lang w:eastAsia="zh-CN"/>
        </w:rPr>
      </w:pPr>
      <w:r w:rsidRPr="00D2486F">
        <w:rPr>
          <w:rFonts w:cstheme="minorHAnsi"/>
          <w:lang w:eastAsia="zh-CN"/>
        </w:rPr>
        <w:t xml:space="preserve">The </w:t>
      </w:r>
      <w:proofErr w:type="spellStart"/>
      <w:r w:rsidRPr="00D2486F">
        <w:rPr>
          <w:rFonts w:cstheme="minorHAnsi"/>
          <w:lang w:eastAsia="zh-CN"/>
        </w:rPr>
        <w:t>mBAF</w:t>
      </w:r>
      <w:proofErr w:type="spellEnd"/>
      <w:r w:rsidRPr="00D2486F">
        <w:rPr>
          <w:rFonts w:cstheme="minorHAnsi"/>
          <w:lang w:eastAsia="zh-CN"/>
        </w:rPr>
        <w:t xml:space="preserve"> values can be estimated from TAPS-generated estimates of allelic imbalance surmised according to the segment calls:</w:t>
      </w:r>
    </w:p>
    <w:p w14:paraId="20A70532" w14:textId="77777777" w:rsidR="00DD0C8A" w:rsidRPr="00D2486F" w:rsidRDefault="00000000" w:rsidP="00DD0C8A">
      <w:pPr>
        <w:spacing w:before="100" w:beforeAutospacing="1" w:after="0"/>
        <w:jc w:val="center"/>
        <w:rPr>
          <w:rFonts w:eastAsiaTheme="minorEastAsia" w:cstheme="minorHAnsi"/>
          <w:kern w:val="2"/>
          <w:szCs w:val="24"/>
          <w:lang w:eastAsia="zh-CN"/>
          <w14:ligatures w14:val="standardContextual"/>
        </w:rPr>
      </w:pPr>
      <m:oMath>
        <m:acc>
          <m:accPr>
            <m:ctrlPr>
              <w:rPr>
                <w:rFonts w:ascii="Cambria Math" w:eastAsiaTheme="minorEastAsia" w:hAnsi="Cambria Math" w:cstheme="minorHAnsi"/>
                <w:i/>
                <w:kern w:val="2"/>
                <w:szCs w:val="24"/>
                <w:lang w:eastAsia="zh-CN"/>
                <w14:ligatures w14:val="standardContextual"/>
              </w:rPr>
            </m:ctrlPr>
          </m:accPr>
          <m:e>
            <m:r>
              <w:rPr>
                <w:rFonts w:ascii="Cambria Math" w:eastAsiaTheme="minorEastAsia" w:hAnsi="Cambria Math" w:cstheme="minorHAnsi"/>
                <w:kern w:val="2"/>
                <w:szCs w:val="24"/>
                <w:lang w:eastAsia="zh-CN"/>
                <w14:ligatures w14:val="standardContextual"/>
              </w:rPr>
              <m:t>mBAF</m:t>
            </m:r>
          </m:e>
        </m:acc>
      </m:oMath>
      <w:r w:rsidR="00DD0C8A" w:rsidRPr="00D2486F">
        <w:rPr>
          <w:rFonts w:eastAsiaTheme="minorEastAsia" w:cstheme="minorHAnsi"/>
          <w:kern w:val="2"/>
          <w:szCs w:val="24"/>
          <w:lang w:eastAsia="zh-CN"/>
          <w14:ligatures w14:val="standardContextual"/>
        </w:rPr>
        <w:t xml:space="preserve"> = 0.5 + Allelic Imbalance * 0.5</w:t>
      </w:r>
    </w:p>
    <w:p w14:paraId="427F056A" w14:textId="7317114E" w:rsidR="00DD0C8A" w:rsidRPr="00D2486F" w:rsidRDefault="00DD0C8A" w:rsidP="00DD0C8A">
      <w:pPr>
        <w:rPr>
          <w:lang w:eastAsia="zh-CN"/>
        </w:rPr>
      </w:pPr>
      <w:r w:rsidRPr="00D2486F">
        <w:rPr>
          <w:lang w:eastAsia="zh-CN"/>
        </w:rPr>
        <w:t xml:space="preserve">Most basic measures describing the appearance of a phylogenetic tree overlook the complexity of the evolutionary network. For example, when a linear evolutionary pattern is compared with a branching evolutionary pattern, the tree length and number of subclones of two trees may be identical, yet the complexity of the branching pattern may be markedly different. To capture these differences, we introduced an additional network measure </w:t>
      </w:r>
      <w:sdt>
        <w:sdtPr>
          <w:rPr>
            <w:color w:val="000000"/>
            <w:sz w:val="24"/>
            <w:lang w:eastAsia="zh-CN"/>
          </w:rPr>
          <w:tag w:val="MENDELEY_CITATION_v3_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"/>
          <w:id w:val="-360517857"/>
          <w:placeholder>
            <w:docPart w:val="8951EDECD52D46B1BD18A0B906FC5A61"/>
          </w:placeholder>
        </w:sdtPr>
        <w:sdtContent>
          <w:r w:rsidRPr="00D2486F">
            <w:rPr>
              <w:rFonts w:eastAsia="Times New Roman"/>
              <w:color w:val="000000"/>
            </w:rPr>
            <w:t>(Petersson et al., 2022)</w:t>
          </w:r>
        </w:sdtContent>
      </w:sdt>
      <w:r w:rsidRPr="00D2486F">
        <w:rPr>
          <w:lang w:eastAsia="zh-CN"/>
        </w:rPr>
        <w:t>. A phylogenetic tree, being a monotonic network, structurally resembles a decision tree, which is often used to support decision-making by predicting different outcomes based on various actions. Both structures feature nodes and branches, ending in terminal nodes or leaves, and start from a common point, such as the most recent common ancestor in clonal evolution. We translated the phylogenies into a decision tree format by assigning each node and branching point to a generation, with complexity varying at order O(2n) from 0 to 2</w:t>
      </w:r>
      <w:r w:rsidRPr="00D2486F">
        <w:rPr>
          <w:vertAlign w:val="superscript"/>
          <w:lang w:eastAsia="zh-CN"/>
        </w:rPr>
        <w:t>(i-1)</w:t>
      </w:r>
      <w:r w:rsidRPr="00D2486F">
        <w:rPr>
          <w:lang w:eastAsia="zh-CN"/>
        </w:rPr>
        <w:t xml:space="preserve">, I being the generation and n being the nodes at the </w:t>
      </w:r>
      <w:proofErr w:type="spellStart"/>
      <w:r w:rsidRPr="00D2486F">
        <w:rPr>
          <w:lang w:eastAsia="zh-CN"/>
        </w:rPr>
        <w:t>i</w:t>
      </w:r>
      <w:r w:rsidRPr="00D2486F">
        <w:rPr>
          <w:vertAlign w:val="superscript"/>
          <w:lang w:eastAsia="zh-CN"/>
        </w:rPr>
        <w:t>th</w:t>
      </w:r>
      <w:proofErr w:type="spellEnd"/>
      <w:r w:rsidRPr="00D2486F">
        <w:rPr>
          <w:lang w:eastAsia="zh-CN"/>
        </w:rPr>
        <w:t xml:space="preserve"> generation. The number of terminal nodes in each generation contributes to the complexity at order O(n) with the complexity measure (</w:t>
      </w:r>
      <m:oMath>
        <m:r>
          <w:rPr>
            <w:rFonts w:ascii="Cambria Math" w:hAnsi="Cambria Math"/>
            <w:lang w:eastAsia="zh-CN"/>
          </w:rPr>
          <m:t>Y</m:t>
        </m:r>
      </m:oMath>
      <w:r w:rsidRPr="00D2486F">
        <w:rPr>
          <w:lang w:eastAsia="zh-CN"/>
        </w:rPr>
        <w:t>) ranging between 0.5 (purely branched evolution) and 2.0 (purely linear evolution). We perform a nonlinear one-to-one transformation on this measure to realign the metric centering at 0 (</w:t>
      </w:r>
      <m:oMath>
        <m:acc>
          <m:accPr>
            <m:ctrlPr>
              <w:rPr>
                <w:rFonts w:ascii="Cambria Math" w:hAnsi="Cambria Math"/>
                <w:i/>
                <w:lang w:eastAsia="zh-CN"/>
              </w:rPr>
            </m:ctrlPr>
          </m:accPr>
          <m:e>
            <m:r>
              <w:rPr>
                <w:rFonts w:ascii="Cambria Math" w:hAnsi="Cambria Math"/>
                <w:lang w:eastAsia="zh-CN"/>
              </w:rPr>
              <m:t>Y</m:t>
            </m:r>
          </m:e>
        </m:acc>
      </m:oMath>
      <w:r w:rsidRPr="00D2486F">
        <w:rPr>
          <w:lang w:eastAsia="zh-CN"/>
        </w:rPr>
        <w:t xml:space="preserve"> between -1 (purely branched) and 1 (purely linear)).</w:t>
      </w:r>
    </w:p>
    <w:p w14:paraId="1DFF7A78" w14:textId="77777777" w:rsidR="00DD0C8A" w:rsidRPr="00D2486F" w:rsidRDefault="00000000" w:rsidP="00DD0C8A">
      <w:pPr>
        <w:spacing w:before="100" w:beforeAutospacing="1" w:after="0"/>
        <w:jc w:val="center"/>
        <w:rPr>
          <w:rFonts w:eastAsiaTheme="minorEastAsia" w:cstheme="minorHAnsi"/>
          <w:kern w:val="2"/>
          <w:szCs w:val="24"/>
          <w:lang w:eastAsia="zh-CN"/>
          <w14:ligatures w14:val="standardContextual"/>
        </w:rPr>
      </w:pPr>
      <m:oMathPara>
        <m:oMath>
          <m:acc>
            <m:accPr>
              <m:ctrlPr>
                <w:rPr>
                  <w:rFonts w:ascii="Cambria Math" w:eastAsiaTheme="minorEastAsia" w:hAnsi="Cambria Math" w:cstheme="minorHAnsi"/>
                  <w:i/>
                  <w:kern w:val="2"/>
                  <w:szCs w:val="24"/>
                  <w:lang w:eastAsia="zh-CN"/>
                  <w14:ligatures w14:val="standardContextual"/>
                </w:rPr>
              </m:ctrlPr>
            </m:accPr>
            <m:e>
              <m:r>
                <w:rPr>
                  <w:rFonts w:ascii="Cambria Math" w:eastAsiaTheme="minorEastAsia" w:hAnsi="Cambria Math" w:cstheme="minorHAnsi"/>
                  <w:kern w:val="2"/>
                  <w:szCs w:val="24"/>
                  <w:lang w:eastAsia="zh-CN"/>
                  <w14:ligatures w14:val="standardContextual"/>
                </w:rPr>
                <m:t>Y</m:t>
              </m:r>
            </m:e>
          </m:acc>
          <m:r>
            <w:rPr>
              <w:rFonts w:ascii="Cambria Math" w:eastAsiaTheme="minorEastAsia" w:hAnsi="Cambria Math" w:cstheme="minorHAnsi"/>
              <w:kern w:val="2"/>
              <w:szCs w:val="24"/>
              <w:lang w:eastAsia="zh-CN"/>
              <w14:ligatures w14:val="standardContextual"/>
            </w:rPr>
            <m:t xml:space="preserve">= </m:t>
          </m:r>
          <m:f>
            <m:fPr>
              <m:ctrlPr>
                <w:rPr>
                  <w:rFonts w:ascii="Cambria Math" w:eastAsiaTheme="minorEastAsia" w:hAnsi="Cambria Math" w:cstheme="minorHAnsi"/>
                  <w:i/>
                  <w:kern w:val="2"/>
                  <w:szCs w:val="24"/>
                  <w:lang w:eastAsia="zh-CN"/>
                  <w14:ligatures w14:val="standardContextual"/>
                </w:rPr>
              </m:ctrlPr>
            </m:fPr>
            <m:num>
              <m:r>
                <w:rPr>
                  <w:rFonts w:ascii="Cambria Math" w:eastAsiaTheme="minorEastAsia" w:hAnsi="Cambria Math" w:cstheme="minorHAnsi"/>
                  <w:kern w:val="2"/>
                  <w:szCs w:val="24"/>
                  <w:lang w:eastAsia="zh-CN"/>
                  <w14:ligatures w14:val="standardContextual"/>
                </w:rPr>
                <m:t>2(Y-0.5)</m:t>
              </m:r>
            </m:num>
            <m:den>
              <m:r>
                <w:rPr>
                  <w:rFonts w:ascii="Cambria Math" w:eastAsiaTheme="minorEastAsia" w:hAnsi="Cambria Math" w:cstheme="minorHAnsi"/>
                  <w:kern w:val="2"/>
                  <w:szCs w:val="24"/>
                  <w:lang w:eastAsia="zh-CN"/>
                  <w14:ligatures w14:val="standardContextual"/>
                </w:rPr>
                <m:t>1.5</m:t>
              </m:r>
            </m:den>
          </m:f>
          <m:r>
            <w:rPr>
              <w:rFonts w:ascii="Cambria Math" w:eastAsiaTheme="minorEastAsia" w:hAnsi="Cambria Math" w:cstheme="minorHAnsi"/>
              <w:kern w:val="2"/>
              <w:szCs w:val="24"/>
              <w:lang w:eastAsia="zh-CN"/>
              <w14:ligatures w14:val="standardContextual"/>
            </w:rPr>
            <m:t>-1</m:t>
          </m:r>
        </m:oMath>
      </m:oMathPara>
    </w:p>
    <w:p w14:paraId="6D0A0197" w14:textId="77777777" w:rsidR="00DD0C8A" w:rsidRPr="00D2486F" w:rsidRDefault="00DD0C8A" w:rsidP="00DD0C8A">
      <w:pPr>
        <w:spacing w:before="100" w:beforeAutospacing="1" w:after="0"/>
        <w:jc w:val="center"/>
        <w:rPr>
          <w:rFonts w:eastAsiaTheme="minorEastAsia" w:cstheme="minorHAnsi"/>
          <w:kern w:val="2"/>
          <w:szCs w:val="24"/>
          <w:lang w:eastAsia="zh-CN"/>
          <w14:ligatures w14:val="standardContextual"/>
        </w:rPr>
      </w:pPr>
    </w:p>
    <w:p w14:paraId="2AA86E67" w14:textId="77777777" w:rsidR="00DD0C8A" w:rsidRDefault="00DD0C8A" w:rsidP="001C4A3D">
      <w:pPr>
        <w:pStyle w:val="Heading3"/>
      </w:pPr>
      <w:r>
        <w:t xml:space="preserve">References </w:t>
      </w:r>
    </w:p>
    <w:sdt>
      <w:sdtPr>
        <w:rPr>
          <w:color w:val="000000"/>
        </w:rPr>
        <w:tag w:val="MENDELEY_BIBLIOGRAPHY"/>
        <w:id w:val="-1076124190"/>
        <w:placeholder>
          <w:docPart w:val="DefaultPlaceholder_-1854013440"/>
        </w:placeholder>
      </w:sdtPr>
      <w:sdtContent>
        <w:p w14:paraId="63DFA9EA" w14:textId="77777777" w:rsidR="00DD0C8A" w:rsidRPr="00DD0C8A" w:rsidRDefault="00DD0C8A">
          <w:pPr>
            <w:autoSpaceDE w:val="0"/>
            <w:autoSpaceDN w:val="0"/>
            <w:ind w:hanging="480"/>
            <w:divId w:val="738331218"/>
            <w:rPr>
              <w:rFonts w:eastAsia="Times New Roman"/>
              <w:color w:val="000000"/>
              <w:sz w:val="24"/>
              <w:szCs w:val="24"/>
            </w:rPr>
          </w:pPr>
          <w:r w:rsidRPr="00DD0C8A">
            <w:rPr>
              <w:rFonts w:eastAsia="Times New Roman"/>
              <w:color w:val="000000"/>
            </w:rPr>
            <w:t xml:space="preserve">Karlsson, J., Yasui, H., Mañas, A., Andersson, N., Hansson, K., Aaltonen, K., Jansson, C., Durand, G., Ravi, N., Ferro, M., Yang, M., Chattopadhyay, S., Paulsson, K., </w:t>
          </w:r>
          <w:proofErr w:type="spellStart"/>
          <w:r w:rsidRPr="00DD0C8A">
            <w:rPr>
              <w:rFonts w:eastAsia="Times New Roman"/>
              <w:color w:val="000000"/>
            </w:rPr>
            <w:t>Spierings</w:t>
          </w:r>
          <w:proofErr w:type="spellEnd"/>
          <w:r w:rsidRPr="00DD0C8A">
            <w:rPr>
              <w:rFonts w:eastAsia="Times New Roman"/>
              <w:color w:val="000000"/>
            </w:rPr>
            <w:t xml:space="preserve">, D., </w:t>
          </w:r>
          <w:proofErr w:type="spellStart"/>
          <w:r w:rsidRPr="00DD0C8A">
            <w:rPr>
              <w:rFonts w:eastAsia="Times New Roman"/>
              <w:color w:val="000000"/>
            </w:rPr>
            <w:t>Foijer</w:t>
          </w:r>
          <w:proofErr w:type="spellEnd"/>
          <w:r w:rsidRPr="00DD0C8A">
            <w:rPr>
              <w:rFonts w:eastAsia="Times New Roman"/>
              <w:color w:val="000000"/>
            </w:rPr>
            <w:t xml:space="preserve">, F., </w:t>
          </w:r>
          <w:proofErr w:type="spellStart"/>
          <w:r w:rsidRPr="00DD0C8A">
            <w:rPr>
              <w:rFonts w:eastAsia="Times New Roman"/>
              <w:color w:val="000000"/>
            </w:rPr>
            <w:t>Valind</w:t>
          </w:r>
          <w:proofErr w:type="spellEnd"/>
          <w:r w:rsidRPr="00DD0C8A">
            <w:rPr>
              <w:rFonts w:eastAsia="Times New Roman"/>
              <w:color w:val="000000"/>
            </w:rPr>
            <w:t xml:space="preserve">, A., Bexell, D., &amp; </w:t>
          </w:r>
          <w:proofErr w:type="spellStart"/>
          <w:r w:rsidRPr="00DD0C8A">
            <w:rPr>
              <w:rFonts w:eastAsia="Times New Roman"/>
              <w:color w:val="000000"/>
            </w:rPr>
            <w:t>Gisselsson</w:t>
          </w:r>
          <w:proofErr w:type="spellEnd"/>
          <w:r w:rsidRPr="00DD0C8A">
            <w:rPr>
              <w:rFonts w:eastAsia="Times New Roman"/>
              <w:color w:val="000000"/>
            </w:rPr>
            <w:t xml:space="preserve">, D. (2024). Early evolutionary branching across spatial domains predisposes to clonal replacement under chemotherapy in neuroblastoma. </w:t>
          </w:r>
          <w:r w:rsidRPr="00DD0C8A">
            <w:rPr>
              <w:rFonts w:eastAsia="Times New Roman"/>
              <w:i/>
              <w:iCs/>
              <w:color w:val="000000"/>
            </w:rPr>
            <w:t>Nature Communications</w:t>
          </w:r>
          <w:r w:rsidRPr="00DD0C8A">
            <w:rPr>
              <w:rFonts w:eastAsia="Times New Roman"/>
              <w:color w:val="000000"/>
            </w:rPr>
            <w:t xml:space="preserve">, </w:t>
          </w:r>
          <w:r w:rsidRPr="00DD0C8A">
            <w:rPr>
              <w:rFonts w:eastAsia="Times New Roman"/>
              <w:i/>
              <w:iCs/>
              <w:color w:val="000000"/>
            </w:rPr>
            <w:t>15</w:t>
          </w:r>
          <w:r w:rsidRPr="00DD0C8A">
            <w:rPr>
              <w:rFonts w:eastAsia="Times New Roman"/>
              <w:color w:val="000000"/>
            </w:rPr>
            <w:t>(1), 8992. https://doi.org/10.1038/s41467-024-53334-x</w:t>
          </w:r>
        </w:p>
        <w:p w14:paraId="168664D4" w14:textId="77777777" w:rsidR="00DD0C8A" w:rsidRPr="00DD0C8A" w:rsidRDefault="00DD0C8A">
          <w:pPr>
            <w:autoSpaceDE w:val="0"/>
            <w:autoSpaceDN w:val="0"/>
            <w:ind w:hanging="480"/>
            <w:divId w:val="1508861610"/>
            <w:rPr>
              <w:rFonts w:eastAsia="Times New Roman"/>
              <w:color w:val="000000"/>
            </w:rPr>
          </w:pPr>
          <w:r w:rsidRPr="00DD0C8A">
            <w:rPr>
              <w:rFonts w:eastAsia="Times New Roman"/>
              <w:color w:val="000000"/>
            </w:rPr>
            <w:t xml:space="preserve">Petersson, A., Andersson, N., Hau, S. O., Eberhard, J., Karlsson, J., Chattopadhyay, S., </w:t>
          </w:r>
          <w:proofErr w:type="spellStart"/>
          <w:r w:rsidRPr="00DD0C8A">
            <w:rPr>
              <w:rFonts w:eastAsia="Times New Roman"/>
              <w:color w:val="000000"/>
            </w:rPr>
            <w:t>Valind</w:t>
          </w:r>
          <w:proofErr w:type="spellEnd"/>
          <w:r w:rsidRPr="00DD0C8A">
            <w:rPr>
              <w:rFonts w:eastAsia="Times New Roman"/>
              <w:color w:val="000000"/>
            </w:rPr>
            <w:t xml:space="preserve">, A., </w:t>
          </w:r>
          <w:proofErr w:type="spellStart"/>
          <w:r w:rsidRPr="00DD0C8A">
            <w:rPr>
              <w:rFonts w:eastAsia="Times New Roman"/>
              <w:color w:val="000000"/>
            </w:rPr>
            <w:t>Elebro</w:t>
          </w:r>
          <w:proofErr w:type="spellEnd"/>
          <w:r w:rsidRPr="00DD0C8A">
            <w:rPr>
              <w:rFonts w:eastAsia="Times New Roman"/>
              <w:color w:val="000000"/>
            </w:rPr>
            <w:t xml:space="preserve">, J., Nodin, B., Leandersson, K., </w:t>
          </w:r>
          <w:proofErr w:type="spellStart"/>
          <w:r w:rsidRPr="00DD0C8A">
            <w:rPr>
              <w:rFonts w:eastAsia="Times New Roman"/>
              <w:color w:val="000000"/>
            </w:rPr>
            <w:t>Gisselsson</w:t>
          </w:r>
          <w:proofErr w:type="spellEnd"/>
          <w:r w:rsidRPr="00DD0C8A">
            <w:rPr>
              <w:rFonts w:eastAsia="Times New Roman"/>
              <w:color w:val="000000"/>
            </w:rPr>
            <w:t xml:space="preserve">, D., &amp; </w:t>
          </w:r>
          <w:proofErr w:type="spellStart"/>
          <w:r w:rsidRPr="00DD0C8A">
            <w:rPr>
              <w:rFonts w:eastAsia="Times New Roman"/>
              <w:color w:val="000000"/>
            </w:rPr>
            <w:t>Jirström</w:t>
          </w:r>
          <w:proofErr w:type="spellEnd"/>
          <w:r w:rsidRPr="00DD0C8A">
            <w:rPr>
              <w:rFonts w:eastAsia="Times New Roman"/>
              <w:color w:val="000000"/>
            </w:rPr>
            <w:t xml:space="preserve">, K. (2022). Branching Copy-Number Evolution and Parallel Immune Profiles across the Regional Tumor Space of Resected Pancreatic Cancer. </w:t>
          </w:r>
          <w:r w:rsidRPr="00DD0C8A">
            <w:rPr>
              <w:rFonts w:eastAsia="Times New Roman"/>
              <w:i/>
              <w:iCs/>
              <w:color w:val="000000"/>
            </w:rPr>
            <w:t>Molecular Cancer Research</w:t>
          </w:r>
          <w:r w:rsidRPr="00DD0C8A">
            <w:rPr>
              <w:rFonts w:eastAsia="Times New Roman"/>
              <w:color w:val="000000"/>
            </w:rPr>
            <w:t xml:space="preserve">, </w:t>
          </w:r>
          <w:r w:rsidRPr="00DD0C8A">
            <w:rPr>
              <w:rFonts w:eastAsia="Times New Roman"/>
              <w:i/>
              <w:iCs/>
              <w:color w:val="000000"/>
            </w:rPr>
            <w:t>20</w:t>
          </w:r>
          <w:r w:rsidRPr="00DD0C8A">
            <w:rPr>
              <w:rFonts w:eastAsia="Times New Roman"/>
              <w:color w:val="000000"/>
            </w:rPr>
            <w:t>(5), 749–761. https://doi.org/10.1158/1541-7786.MCR-21-0986/680161/AM/BRANCHING-COPY-NUMBER-EVOLUTION-AND-PARALLEL</w:t>
          </w:r>
        </w:p>
        <w:p w14:paraId="4C810B9D" w14:textId="77777777" w:rsidR="00DD0C8A" w:rsidRDefault="00DD0C8A" w:rsidP="00DD0C8A">
          <w:r w:rsidRPr="00DD0C8A">
            <w:rPr>
              <w:rFonts w:eastAsia="Times New Roman"/>
              <w:color w:val="000000"/>
            </w:rPr>
            <w:t> </w:t>
          </w:r>
        </w:p>
      </w:sdtContent>
    </w:sdt>
    <w:p w14:paraId="335B7EA3" w14:textId="1B2744A4" w:rsidR="00550C17" w:rsidRDefault="00550C17" w:rsidP="00DD0C8A">
      <w:pPr>
        <w:rPr>
          <w:sz w:val="30"/>
          <w:szCs w:val="30"/>
        </w:rPr>
      </w:pPr>
      <w:r>
        <w:br w:type="page"/>
      </w:r>
    </w:p>
    <w:p w14:paraId="02FCFE91" w14:textId="61F25B5D" w:rsidR="006129F5" w:rsidRPr="006129F5" w:rsidRDefault="00D20038" w:rsidP="007654F1">
      <w:pPr>
        <w:pStyle w:val="Heading3"/>
      </w:pPr>
      <w:r>
        <w:lastRenderedPageBreak/>
        <w:t>Supplementary tables</w:t>
      </w:r>
    </w:p>
    <w:tbl>
      <w:tblPr>
        <w:tblStyle w:val="PlainTable2"/>
        <w:tblpPr w:leftFromText="180" w:rightFromText="180" w:vertAnchor="text" w:horzAnchor="margin" w:tblpY="1055"/>
        <w:tblW w:w="0" w:type="auto"/>
        <w:tblLook w:val="04A0" w:firstRow="1" w:lastRow="0" w:firstColumn="1" w:lastColumn="0" w:noHBand="0" w:noVBand="1"/>
      </w:tblPr>
      <w:tblGrid>
        <w:gridCol w:w="962"/>
        <w:gridCol w:w="2190"/>
        <w:gridCol w:w="1871"/>
        <w:gridCol w:w="1574"/>
        <w:gridCol w:w="1435"/>
        <w:gridCol w:w="1256"/>
      </w:tblGrid>
      <w:tr w:rsidR="0048102B" w:rsidRPr="00E127A6" w14:paraId="5CB972F6" w14:textId="77777777" w:rsidTr="009A5A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dxa"/>
            <w:vAlign w:val="center"/>
          </w:tcPr>
          <w:p w14:paraId="5B49193E" w14:textId="77777777" w:rsidR="0048102B" w:rsidRPr="00E127A6" w:rsidRDefault="0048102B" w:rsidP="00E127A6">
            <w:pPr>
              <w:pStyle w:val="NoSpacing"/>
            </w:pPr>
            <w:r w:rsidRPr="00E127A6">
              <w:t>Model</w:t>
            </w:r>
          </w:p>
        </w:tc>
        <w:tc>
          <w:tcPr>
            <w:tcW w:w="2190" w:type="dxa"/>
            <w:vAlign w:val="center"/>
          </w:tcPr>
          <w:p w14:paraId="1E5A4727" w14:textId="77777777" w:rsidR="0048102B" w:rsidRPr="00E127A6" w:rsidRDefault="0048102B" w:rsidP="00E127A6">
            <w:pPr>
              <w:pStyle w:val="NoSpacing"/>
              <w:cnfStyle w:val="100000000000" w:firstRow="1" w:lastRow="0" w:firstColumn="0" w:lastColumn="0" w:oddVBand="0" w:evenVBand="0" w:oddHBand="0" w:evenHBand="0" w:firstRowFirstColumn="0" w:firstRowLastColumn="0" w:lastRowFirstColumn="0" w:lastRowLastColumn="0"/>
            </w:pPr>
            <w:r w:rsidRPr="00E127A6">
              <w:t>JAX_ID</w:t>
            </w:r>
          </w:p>
        </w:tc>
        <w:tc>
          <w:tcPr>
            <w:tcW w:w="1871" w:type="dxa"/>
            <w:vAlign w:val="center"/>
          </w:tcPr>
          <w:p w14:paraId="08685EAA" w14:textId="659E7B20" w:rsidR="0048102B" w:rsidRPr="00E127A6" w:rsidRDefault="0048102B" w:rsidP="00E127A6">
            <w:pPr>
              <w:pStyle w:val="NoSpacing"/>
              <w:cnfStyle w:val="100000000000" w:firstRow="1" w:lastRow="0" w:firstColumn="0" w:lastColumn="0" w:oddVBand="0" w:evenVBand="0" w:oddHBand="0" w:evenHBand="0" w:firstRowFirstColumn="0" w:firstRowLastColumn="0" w:lastRowFirstColumn="0" w:lastRowLastColumn="0"/>
            </w:pPr>
            <w:r w:rsidRPr="00E127A6">
              <w:t>Histology</w:t>
            </w:r>
          </w:p>
        </w:tc>
        <w:tc>
          <w:tcPr>
            <w:tcW w:w="1574" w:type="dxa"/>
            <w:vAlign w:val="center"/>
          </w:tcPr>
          <w:p w14:paraId="27045BC7" w14:textId="77777777" w:rsidR="0048102B" w:rsidRPr="00E127A6" w:rsidRDefault="0048102B" w:rsidP="00E127A6">
            <w:pPr>
              <w:pStyle w:val="NoSpacing"/>
              <w:cnfStyle w:val="100000000000" w:firstRow="1" w:lastRow="0" w:firstColumn="0" w:lastColumn="0" w:oddVBand="0" w:evenVBand="0" w:oddHBand="0" w:evenHBand="0" w:firstRowFirstColumn="0" w:firstRowLastColumn="0" w:lastRowFirstColumn="0" w:lastRowLastColumn="0"/>
            </w:pPr>
            <w:r w:rsidRPr="00E127A6">
              <w:t>Grade/Stage</w:t>
            </w:r>
          </w:p>
        </w:tc>
        <w:tc>
          <w:tcPr>
            <w:tcW w:w="1435" w:type="dxa"/>
            <w:vAlign w:val="center"/>
          </w:tcPr>
          <w:p w14:paraId="6D41A7B9" w14:textId="77777777" w:rsidR="0048102B" w:rsidRPr="00E127A6" w:rsidRDefault="0048102B" w:rsidP="00E127A6">
            <w:pPr>
              <w:pStyle w:val="NoSpacing"/>
              <w:cnfStyle w:val="100000000000" w:firstRow="1" w:lastRow="0" w:firstColumn="0" w:lastColumn="0" w:oddVBand="0" w:evenVBand="0" w:oddHBand="0" w:evenHBand="0" w:firstRowFirstColumn="0" w:firstRowLastColumn="0" w:lastRowFirstColumn="0" w:lastRowLastColumn="0"/>
            </w:pPr>
            <w:r w:rsidRPr="00E127A6">
              <w:t>Gender/Age</w:t>
            </w:r>
          </w:p>
        </w:tc>
        <w:tc>
          <w:tcPr>
            <w:tcW w:w="1256" w:type="dxa"/>
            <w:vAlign w:val="center"/>
          </w:tcPr>
          <w:p w14:paraId="0ACC5A86" w14:textId="2E6ABEB9" w:rsidR="0048102B" w:rsidRPr="00E127A6" w:rsidRDefault="0048102B" w:rsidP="00E127A6">
            <w:pPr>
              <w:pStyle w:val="NoSpacing"/>
              <w:cnfStyle w:val="100000000000" w:firstRow="1" w:lastRow="0" w:firstColumn="0" w:lastColumn="0" w:oddVBand="0" w:evenVBand="0" w:oddHBand="0" w:evenHBand="0" w:firstRowFirstColumn="0" w:firstRowLastColumn="0" w:lastRowFirstColumn="0" w:lastRowLastColumn="0"/>
            </w:pPr>
            <w:r w:rsidRPr="00E127A6">
              <w:t>Treatment na</w:t>
            </w:r>
            <w:r w:rsidR="009A5A9F" w:rsidRPr="00E127A6">
              <w:t>i</w:t>
            </w:r>
            <w:r w:rsidRPr="00E127A6">
              <w:t>ve</w:t>
            </w:r>
          </w:p>
        </w:tc>
      </w:tr>
      <w:tr w:rsidR="0048102B" w:rsidRPr="00E127A6" w14:paraId="07F8B226" w14:textId="77777777" w:rsidTr="0048102B">
        <w:tc>
          <w:tcPr>
            <w:cnfStyle w:val="001000000000" w:firstRow="0" w:lastRow="0" w:firstColumn="1" w:lastColumn="0" w:oddVBand="0" w:evenVBand="0" w:oddHBand="0" w:evenHBand="0" w:firstRowFirstColumn="0" w:firstRowLastColumn="0" w:lastRowFirstColumn="0" w:lastRowLastColumn="0"/>
            <w:tcW w:w="962" w:type="dxa"/>
          </w:tcPr>
          <w:p w14:paraId="517C2E9E" w14:textId="77777777" w:rsidR="0048102B" w:rsidRPr="00E127A6" w:rsidRDefault="0048102B" w:rsidP="00E127A6">
            <w:pPr>
              <w:pStyle w:val="NoSpacing"/>
            </w:pPr>
            <w:r w:rsidRPr="00E127A6">
              <w:t>Uro</w:t>
            </w:r>
          </w:p>
        </w:tc>
        <w:tc>
          <w:tcPr>
            <w:tcW w:w="2190" w:type="dxa"/>
          </w:tcPr>
          <w:p w14:paraId="241548C7"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J000104256</w:t>
            </w:r>
          </w:p>
        </w:tc>
        <w:tc>
          <w:tcPr>
            <w:tcW w:w="1871" w:type="dxa"/>
          </w:tcPr>
          <w:p w14:paraId="5F95CAEA" w14:textId="21B7132D"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UBC</w:t>
            </w:r>
          </w:p>
        </w:tc>
        <w:tc>
          <w:tcPr>
            <w:tcW w:w="1574" w:type="dxa"/>
          </w:tcPr>
          <w:p w14:paraId="10965DEF"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NA</w:t>
            </w:r>
          </w:p>
        </w:tc>
        <w:tc>
          <w:tcPr>
            <w:tcW w:w="1435" w:type="dxa"/>
          </w:tcPr>
          <w:p w14:paraId="739E5504"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M/79</w:t>
            </w:r>
          </w:p>
        </w:tc>
        <w:tc>
          <w:tcPr>
            <w:tcW w:w="1256" w:type="dxa"/>
          </w:tcPr>
          <w:p w14:paraId="1C306754"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yes</w:t>
            </w:r>
          </w:p>
        </w:tc>
      </w:tr>
      <w:tr w:rsidR="0048102B" w:rsidRPr="00E127A6" w14:paraId="507E9488" w14:textId="77777777" w:rsidTr="0048102B">
        <w:tc>
          <w:tcPr>
            <w:cnfStyle w:val="001000000000" w:firstRow="0" w:lastRow="0" w:firstColumn="1" w:lastColumn="0" w:oddVBand="0" w:evenVBand="0" w:oddHBand="0" w:evenHBand="0" w:firstRowFirstColumn="0" w:firstRowLastColumn="0" w:lastRowFirstColumn="0" w:lastRowLastColumn="0"/>
            <w:tcW w:w="962" w:type="dxa"/>
          </w:tcPr>
          <w:p w14:paraId="6AD70ADB" w14:textId="77777777" w:rsidR="0048102B" w:rsidRPr="00E127A6" w:rsidRDefault="0048102B" w:rsidP="00E127A6">
            <w:pPr>
              <w:pStyle w:val="NoSpacing"/>
            </w:pPr>
            <w:r w:rsidRPr="00E127A6">
              <w:t>Uro.2</w:t>
            </w:r>
          </w:p>
        </w:tc>
        <w:tc>
          <w:tcPr>
            <w:tcW w:w="2190" w:type="dxa"/>
          </w:tcPr>
          <w:p w14:paraId="56C87675"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TM01002(BL0591F)</w:t>
            </w:r>
          </w:p>
        </w:tc>
        <w:tc>
          <w:tcPr>
            <w:tcW w:w="1871" w:type="dxa"/>
          </w:tcPr>
          <w:p w14:paraId="63754CEE" w14:textId="230C6539"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Papillary UBC</w:t>
            </w:r>
          </w:p>
        </w:tc>
        <w:tc>
          <w:tcPr>
            <w:tcW w:w="1574" w:type="dxa"/>
          </w:tcPr>
          <w:p w14:paraId="26152BEA" w14:textId="3773FF4B"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LG/</w:t>
            </w:r>
            <w:proofErr w:type="spellStart"/>
            <w:r w:rsidRPr="00E127A6">
              <w:t>pTis</w:t>
            </w:r>
            <w:proofErr w:type="spellEnd"/>
            <w:r w:rsidRPr="00E127A6">
              <w:t xml:space="preserve"> N0</w:t>
            </w:r>
          </w:p>
        </w:tc>
        <w:tc>
          <w:tcPr>
            <w:tcW w:w="1435" w:type="dxa"/>
          </w:tcPr>
          <w:p w14:paraId="1542879A"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M/65</w:t>
            </w:r>
          </w:p>
        </w:tc>
        <w:tc>
          <w:tcPr>
            <w:tcW w:w="1256" w:type="dxa"/>
          </w:tcPr>
          <w:p w14:paraId="3458DF62"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yes</w:t>
            </w:r>
          </w:p>
        </w:tc>
      </w:tr>
      <w:tr w:rsidR="0048102B" w:rsidRPr="00E127A6" w14:paraId="7DCB451C" w14:textId="77777777" w:rsidTr="0048102B">
        <w:tc>
          <w:tcPr>
            <w:cnfStyle w:val="001000000000" w:firstRow="0" w:lastRow="0" w:firstColumn="1" w:lastColumn="0" w:oddVBand="0" w:evenVBand="0" w:oddHBand="0" w:evenHBand="0" w:firstRowFirstColumn="0" w:firstRowLastColumn="0" w:lastRowFirstColumn="0" w:lastRowLastColumn="0"/>
            <w:tcW w:w="962" w:type="dxa"/>
          </w:tcPr>
          <w:p w14:paraId="23150EC2" w14:textId="77777777" w:rsidR="0048102B" w:rsidRPr="00E127A6" w:rsidRDefault="0048102B" w:rsidP="00E127A6">
            <w:pPr>
              <w:pStyle w:val="NoSpacing"/>
            </w:pPr>
            <w:r w:rsidRPr="00E127A6">
              <w:t>GU.1</w:t>
            </w:r>
          </w:p>
        </w:tc>
        <w:tc>
          <w:tcPr>
            <w:tcW w:w="2190" w:type="dxa"/>
          </w:tcPr>
          <w:p w14:paraId="79E3EAC9"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J000101121</w:t>
            </w:r>
          </w:p>
        </w:tc>
        <w:tc>
          <w:tcPr>
            <w:tcW w:w="1871" w:type="dxa"/>
          </w:tcPr>
          <w:p w14:paraId="37B317B5" w14:textId="21A7549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UBC</w:t>
            </w:r>
          </w:p>
        </w:tc>
        <w:tc>
          <w:tcPr>
            <w:tcW w:w="1574" w:type="dxa"/>
          </w:tcPr>
          <w:p w14:paraId="6CA149CD" w14:textId="05140D1D"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HG/</w:t>
            </w:r>
            <w:r w:rsidR="00887A7C" w:rsidRPr="00E127A6">
              <w:t>p</w:t>
            </w:r>
            <w:r w:rsidRPr="00E127A6">
              <w:t>T2</w:t>
            </w:r>
          </w:p>
        </w:tc>
        <w:tc>
          <w:tcPr>
            <w:tcW w:w="1435" w:type="dxa"/>
          </w:tcPr>
          <w:p w14:paraId="02992F85"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M/67</w:t>
            </w:r>
          </w:p>
        </w:tc>
        <w:tc>
          <w:tcPr>
            <w:tcW w:w="1256" w:type="dxa"/>
          </w:tcPr>
          <w:p w14:paraId="49C0A01D"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no</w:t>
            </w:r>
          </w:p>
        </w:tc>
      </w:tr>
      <w:tr w:rsidR="0048102B" w:rsidRPr="00E127A6" w14:paraId="1145FA56" w14:textId="77777777" w:rsidTr="0048102B">
        <w:tc>
          <w:tcPr>
            <w:cnfStyle w:val="001000000000" w:firstRow="0" w:lastRow="0" w:firstColumn="1" w:lastColumn="0" w:oddVBand="0" w:evenVBand="0" w:oddHBand="0" w:evenHBand="0" w:firstRowFirstColumn="0" w:firstRowLastColumn="0" w:lastRowFirstColumn="0" w:lastRowLastColumn="0"/>
            <w:tcW w:w="962" w:type="dxa"/>
          </w:tcPr>
          <w:p w14:paraId="7A274C70" w14:textId="77777777" w:rsidR="0048102B" w:rsidRPr="00E127A6" w:rsidRDefault="0048102B" w:rsidP="00E127A6">
            <w:pPr>
              <w:pStyle w:val="NoSpacing"/>
            </w:pPr>
            <w:r w:rsidRPr="00E127A6">
              <w:t>GU.2</w:t>
            </w:r>
          </w:p>
        </w:tc>
        <w:tc>
          <w:tcPr>
            <w:tcW w:w="2190" w:type="dxa"/>
          </w:tcPr>
          <w:p w14:paraId="50AC5BE6"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TM00023(BL0429F)</w:t>
            </w:r>
          </w:p>
        </w:tc>
        <w:tc>
          <w:tcPr>
            <w:tcW w:w="1871" w:type="dxa"/>
          </w:tcPr>
          <w:p w14:paraId="7F4E6017" w14:textId="59446A19"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Adenocarcinoma</w:t>
            </w:r>
          </w:p>
        </w:tc>
        <w:tc>
          <w:tcPr>
            <w:tcW w:w="1574" w:type="dxa"/>
          </w:tcPr>
          <w:p w14:paraId="7CC954E1" w14:textId="2273B2B0"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HG/pT4N3M1</w:t>
            </w:r>
          </w:p>
        </w:tc>
        <w:tc>
          <w:tcPr>
            <w:tcW w:w="1435" w:type="dxa"/>
          </w:tcPr>
          <w:p w14:paraId="52CA25C3"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F/60</w:t>
            </w:r>
          </w:p>
        </w:tc>
        <w:tc>
          <w:tcPr>
            <w:tcW w:w="1256" w:type="dxa"/>
          </w:tcPr>
          <w:p w14:paraId="30178494"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yes</w:t>
            </w:r>
          </w:p>
        </w:tc>
      </w:tr>
      <w:tr w:rsidR="0048102B" w:rsidRPr="00E127A6" w14:paraId="05147AA2" w14:textId="77777777" w:rsidTr="0048102B">
        <w:tc>
          <w:tcPr>
            <w:cnfStyle w:val="001000000000" w:firstRow="0" w:lastRow="0" w:firstColumn="1" w:lastColumn="0" w:oddVBand="0" w:evenVBand="0" w:oddHBand="0" w:evenHBand="0" w:firstRowFirstColumn="0" w:firstRowLastColumn="0" w:lastRowFirstColumn="0" w:lastRowLastColumn="0"/>
            <w:tcW w:w="962" w:type="dxa"/>
          </w:tcPr>
          <w:p w14:paraId="44A15D2E" w14:textId="77777777" w:rsidR="0048102B" w:rsidRPr="00E127A6" w:rsidRDefault="0048102B" w:rsidP="00E127A6">
            <w:pPr>
              <w:pStyle w:val="NoSpacing"/>
            </w:pPr>
            <w:r w:rsidRPr="00E127A6">
              <w:t>BaSq.1</w:t>
            </w:r>
          </w:p>
        </w:tc>
        <w:tc>
          <w:tcPr>
            <w:tcW w:w="2190" w:type="dxa"/>
          </w:tcPr>
          <w:p w14:paraId="7D80806E"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J000100646</w:t>
            </w:r>
          </w:p>
        </w:tc>
        <w:tc>
          <w:tcPr>
            <w:tcW w:w="1871" w:type="dxa"/>
          </w:tcPr>
          <w:p w14:paraId="45CBEA2E" w14:textId="17CBC9DF"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UBC</w:t>
            </w:r>
          </w:p>
        </w:tc>
        <w:tc>
          <w:tcPr>
            <w:tcW w:w="1574" w:type="dxa"/>
          </w:tcPr>
          <w:p w14:paraId="3AE3C80B"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HG/NA</w:t>
            </w:r>
          </w:p>
        </w:tc>
        <w:tc>
          <w:tcPr>
            <w:tcW w:w="1435" w:type="dxa"/>
          </w:tcPr>
          <w:p w14:paraId="4F7E25F6"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M/72</w:t>
            </w:r>
          </w:p>
        </w:tc>
        <w:tc>
          <w:tcPr>
            <w:tcW w:w="1256" w:type="dxa"/>
          </w:tcPr>
          <w:p w14:paraId="358331A6"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yes</w:t>
            </w:r>
          </w:p>
        </w:tc>
      </w:tr>
      <w:tr w:rsidR="0048102B" w:rsidRPr="00E127A6" w14:paraId="0C6862CE" w14:textId="77777777" w:rsidTr="0048102B">
        <w:tc>
          <w:tcPr>
            <w:cnfStyle w:val="001000000000" w:firstRow="0" w:lastRow="0" w:firstColumn="1" w:lastColumn="0" w:oddVBand="0" w:evenVBand="0" w:oddHBand="0" w:evenHBand="0" w:firstRowFirstColumn="0" w:firstRowLastColumn="0" w:lastRowFirstColumn="0" w:lastRowLastColumn="0"/>
            <w:tcW w:w="962" w:type="dxa"/>
          </w:tcPr>
          <w:p w14:paraId="7DB15DB5" w14:textId="77777777" w:rsidR="0048102B" w:rsidRPr="00E127A6" w:rsidRDefault="0048102B" w:rsidP="00E127A6">
            <w:pPr>
              <w:pStyle w:val="NoSpacing"/>
            </w:pPr>
            <w:r w:rsidRPr="00E127A6">
              <w:t>BaSq.2</w:t>
            </w:r>
          </w:p>
        </w:tc>
        <w:tc>
          <w:tcPr>
            <w:tcW w:w="2190" w:type="dxa"/>
          </w:tcPr>
          <w:p w14:paraId="1864E630"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TM00026(BL0479F)</w:t>
            </w:r>
          </w:p>
        </w:tc>
        <w:tc>
          <w:tcPr>
            <w:tcW w:w="1871" w:type="dxa"/>
          </w:tcPr>
          <w:p w14:paraId="71DF759C" w14:textId="6F3E271C"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UBC</w:t>
            </w:r>
          </w:p>
        </w:tc>
        <w:tc>
          <w:tcPr>
            <w:tcW w:w="1574" w:type="dxa"/>
          </w:tcPr>
          <w:p w14:paraId="24AFC807" w14:textId="0B5E51CD"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HG/pT2b</w:t>
            </w:r>
          </w:p>
        </w:tc>
        <w:tc>
          <w:tcPr>
            <w:tcW w:w="1435" w:type="dxa"/>
          </w:tcPr>
          <w:p w14:paraId="06996CD1"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F/78</w:t>
            </w:r>
          </w:p>
        </w:tc>
        <w:tc>
          <w:tcPr>
            <w:tcW w:w="1256" w:type="dxa"/>
          </w:tcPr>
          <w:p w14:paraId="46F05136" w14:textId="770C950F"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yes</w:t>
            </w:r>
          </w:p>
        </w:tc>
      </w:tr>
      <w:tr w:rsidR="0048102B" w:rsidRPr="00E127A6" w14:paraId="0CB3358C" w14:textId="77777777" w:rsidTr="0048102B">
        <w:tc>
          <w:tcPr>
            <w:cnfStyle w:val="001000000000" w:firstRow="0" w:lastRow="0" w:firstColumn="1" w:lastColumn="0" w:oddVBand="0" w:evenVBand="0" w:oddHBand="0" w:evenHBand="0" w:firstRowFirstColumn="0" w:firstRowLastColumn="0" w:lastRowFirstColumn="0" w:lastRowLastColumn="0"/>
            <w:tcW w:w="962" w:type="dxa"/>
          </w:tcPr>
          <w:p w14:paraId="1BA338AD" w14:textId="77777777" w:rsidR="0048102B" w:rsidRPr="00E127A6" w:rsidRDefault="0048102B" w:rsidP="00E127A6">
            <w:pPr>
              <w:pStyle w:val="NoSpacing"/>
            </w:pPr>
            <w:r w:rsidRPr="00E127A6">
              <w:t>BaSq.3</w:t>
            </w:r>
          </w:p>
        </w:tc>
        <w:tc>
          <w:tcPr>
            <w:tcW w:w="2190" w:type="dxa"/>
          </w:tcPr>
          <w:p w14:paraId="5FC21565"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J000099207</w:t>
            </w:r>
          </w:p>
        </w:tc>
        <w:tc>
          <w:tcPr>
            <w:tcW w:w="1871" w:type="dxa"/>
          </w:tcPr>
          <w:p w14:paraId="33BBA7A6" w14:textId="50F0D02C"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UBC</w:t>
            </w:r>
          </w:p>
        </w:tc>
        <w:tc>
          <w:tcPr>
            <w:tcW w:w="1574" w:type="dxa"/>
          </w:tcPr>
          <w:p w14:paraId="411B4A9F"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HG/NA</w:t>
            </w:r>
          </w:p>
        </w:tc>
        <w:tc>
          <w:tcPr>
            <w:tcW w:w="1435" w:type="dxa"/>
          </w:tcPr>
          <w:p w14:paraId="4F0A7BE5"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M/76</w:t>
            </w:r>
          </w:p>
        </w:tc>
        <w:tc>
          <w:tcPr>
            <w:tcW w:w="1256" w:type="dxa"/>
          </w:tcPr>
          <w:p w14:paraId="603FDAA1"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no</w:t>
            </w:r>
          </w:p>
        </w:tc>
      </w:tr>
      <w:tr w:rsidR="0048102B" w:rsidRPr="00E127A6" w14:paraId="5DD8D1D6" w14:textId="77777777" w:rsidTr="0048102B">
        <w:tc>
          <w:tcPr>
            <w:cnfStyle w:val="001000000000" w:firstRow="0" w:lastRow="0" w:firstColumn="1" w:lastColumn="0" w:oddVBand="0" w:evenVBand="0" w:oddHBand="0" w:evenHBand="0" w:firstRowFirstColumn="0" w:firstRowLastColumn="0" w:lastRowFirstColumn="0" w:lastRowLastColumn="0"/>
            <w:tcW w:w="962" w:type="dxa"/>
          </w:tcPr>
          <w:p w14:paraId="5219F448" w14:textId="77777777" w:rsidR="0048102B" w:rsidRPr="00E127A6" w:rsidRDefault="0048102B" w:rsidP="00E127A6">
            <w:pPr>
              <w:pStyle w:val="NoSpacing"/>
            </w:pPr>
            <w:r w:rsidRPr="00E127A6">
              <w:t>BaSq.4</w:t>
            </w:r>
          </w:p>
        </w:tc>
        <w:tc>
          <w:tcPr>
            <w:tcW w:w="2190" w:type="dxa"/>
          </w:tcPr>
          <w:p w14:paraId="48BD3F61"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TM01029(BL0215F)</w:t>
            </w:r>
          </w:p>
        </w:tc>
        <w:tc>
          <w:tcPr>
            <w:tcW w:w="1871" w:type="dxa"/>
          </w:tcPr>
          <w:p w14:paraId="1F35422F" w14:textId="5C6ED8C3"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Papillary UBC</w:t>
            </w:r>
          </w:p>
        </w:tc>
        <w:tc>
          <w:tcPr>
            <w:tcW w:w="1574" w:type="dxa"/>
          </w:tcPr>
          <w:p w14:paraId="5938C5A9"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HG/MIBC</w:t>
            </w:r>
          </w:p>
        </w:tc>
        <w:tc>
          <w:tcPr>
            <w:tcW w:w="1435" w:type="dxa"/>
          </w:tcPr>
          <w:p w14:paraId="7203D442"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M/77</w:t>
            </w:r>
          </w:p>
        </w:tc>
        <w:tc>
          <w:tcPr>
            <w:tcW w:w="1256" w:type="dxa"/>
          </w:tcPr>
          <w:p w14:paraId="17F2EF73" w14:textId="77777777" w:rsidR="0048102B" w:rsidRPr="00E127A6" w:rsidRDefault="0048102B" w:rsidP="00E127A6">
            <w:pPr>
              <w:pStyle w:val="NoSpacing"/>
              <w:cnfStyle w:val="000000000000" w:firstRow="0" w:lastRow="0" w:firstColumn="0" w:lastColumn="0" w:oddVBand="0" w:evenVBand="0" w:oddHBand="0" w:evenHBand="0" w:firstRowFirstColumn="0" w:firstRowLastColumn="0" w:lastRowFirstColumn="0" w:lastRowLastColumn="0"/>
            </w:pPr>
            <w:r w:rsidRPr="00E127A6">
              <w:t>yes</w:t>
            </w:r>
          </w:p>
        </w:tc>
      </w:tr>
    </w:tbl>
    <w:p w14:paraId="06896339" w14:textId="2879957D" w:rsidR="005D5F23" w:rsidRDefault="005D5F23" w:rsidP="00EF1FE0">
      <w:r w:rsidRPr="005D5F23">
        <w:rPr>
          <w:b/>
          <w:bCs/>
        </w:rPr>
        <w:t xml:space="preserve">Supplementary </w:t>
      </w:r>
      <w:r w:rsidR="009E6866">
        <w:rPr>
          <w:b/>
          <w:bCs/>
        </w:rPr>
        <w:t>T</w:t>
      </w:r>
      <w:r w:rsidR="00D20038" w:rsidRPr="005D5F23">
        <w:rPr>
          <w:b/>
          <w:bCs/>
        </w:rPr>
        <w:t xml:space="preserve">able </w:t>
      </w:r>
      <w:r w:rsidR="00205E0A">
        <w:rPr>
          <w:b/>
          <w:bCs/>
        </w:rPr>
        <w:t>1</w:t>
      </w:r>
      <w:r w:rsidR="00D20038" w:rsidRPr="005D5F23">
        <w:rPr>
          <w:b/>
          <w:bCs/>
        </w:rPr>
        <w:t>.</w:t>
      </w:r>
      <w:r w:rsidR="00D20038">
        <w:t xml:space="preserve"> </w:t>
      </w:r>
      <w:r w:rsidR="005B5657">
        <w:t>Clinical c</w:t>
      </w:r>
      <w:r w:rsidR="00D20038">
        <w:t xml:space="preserve">haracteristics of </w:t>
      </w:r>
      <w:r w:rsidR="00EF1FE0">
        <w:t>donor</w:t>
      </w:r>
      <w:r w:rsidR="005B5657">
        <w:t xml:space="preserve"> patients. Additional data and information for the PDX models is available here: </w:t>
      </w:r>
      <w:hyperlink r:id="rId9" w:history="1">
        <w:r w:rsidR="005B5657" w:rsidRPr="0087132A">
          <w:rPr>
            <w:rStyle w:val="Hyperlink"/>
          </w:rPr>
          <w:t>https://tumor.informatics.jax.org/mtbwi/pdxSearch.do</w:t>
        </w:r>
      </w:hyperlink>
      <w:r w:rsidR="00D20038">
        <w:t xml:space="preserve">. </w:t>
      </w:r>
    </w:p>
    <w:p w14:paraId="03433CCA" w14:textId="77777777" w:rsidR="005D5F23" w:rsidRDefault="005D5F23"/>
    <w:p w14:paraId="457F3478" w14:textId="77777777" w:rsidR="00EF1FE0" w:rsidRDefault="00EF1FE0">
      <w:pPr>
        <w:rPr>
          <w:b/>
          <w:bCs/>
        </w:rPr>
      </w:pPr>
      <w:bookmarkStart w:id="0" w:name="_Hlk191373686"/>
    </w:p>
    <w:p w14:paraId="097FE9C8" w14:textId="5A417123" w:rsidR="00205E0A" w:rsidRPr="006129F5" w:rsidRDefault="00205E0A" w:rsidP="00205E0A">
      <w:r w:rsidRPr="005D5F23">
        <w:rPr>
          <w:b/>
          <w:bCs/>
        </w:rPr>
        <w:t xml:space="preserve">Supplementary </w:t>
      </w:r>
      <w:r w:rsidR="009E6866">
        <w:rPr>
          <w:b/>
          <w:bCs/>
        </w:rPr>
        <w:t>T</w:t>
      </w:r>
      <w:r w:rsidRPr="005D5F23">
        <w:rPr>
          <w:b/>
          <w:bCs/>
        </w:rPr>
        <w:t xml:space="preserve">able </w:t>
      </w:r>
      <w:r>
        <w:rPr>
          <w:b/>
          <w:bCs/>
        </w:rPr>
        <w:t xml:space="preserve">2. </w:t>
      </w:r>
      <w:r w:rsidRPr="006129F5">
        <w:t>List of primary antibodies and specific clones used for immunohistochemistry analysis.</w:t>
      </w:r>
    </w:p>
    <w:tbl>
      <w:tblPr>
        <w:tblStyle w:val="PlainTable2"/>
        <w:tblW w:w="0" w:type="auto"/>
        <w:tblLook w:val="04A0" w:firstRow="1" w:lastRow="0" w:firstColumn="1" w:lastColumn="0" w:noHBand="0" w:noVBand="1"/>
      </w:tblPr>
      <w:tblGrid>
        <w:gridCol w:w="1671"/>
        <w:gridCol w:w="1134"/>
        <w:gridCol w:w="1417"/>
        <w:gridCol w:w="2211"/>
      </w:tblGrid>
      <w:tr w:rsidR="0000415E" w:rsidRPr="006129F5" w14:paraId="2EEF3BFE" w14:textId="77777777" w:rsidTr="00D21A6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0B384F30" w14:textId="77777777" w:rsidR="0000415E" w:rsidRPr="006129F5" w:rsidRDefault="0000415E" w:rsidP="000C6D9F">
            <w:pPr>
              <w:pStyle w:val="NoSpacing"/>
            </w:pPr>
            <w:r w:rsidRPr="006129F5">
              <w:t>Marker</w:t>
            </w:r>
          </w:p>
        </w:tc>
        <w:tc>
          <w:tcPr>
            <w:tcW w:w="1134" w:type="dxa"/>
          </w:tcPr>
          <w:p w14:paraId="5F1C9C8C" w14:textId="62BD3DA6" w:rsidR="0000415E" w:rsidRPr="006129F5" w:rsidRDefault="0000415E" w:rsidP="000C6D9F">
            <w:pPr>
              <w:pStyle w:val="NoSpacing"/>
              <w:cnfStyle w:val="100000000000" w:firstRow="1" w:lastRow="0" w:firstColumn="0" w:lastColumn="0" w:oddVBand="0" w:evenVBand="0" w:oddHBand="0" w:evenHBand="0" w:firstRowFirstColumn="0" w:firstRowLastColumn="0" w:lastRowFirstColumn="0" w:lastRowLastColumn="0"/>
            </w:pPr>
            <w:r>
              <w:t>Dilution</w:t>
            </w:r>
          </w:p>
        </w:tc>
        <w:tc>
          <w:tcPr>
            <w:tcW w:w="1417" w:type="dxa"/>
            <w:vAlign w:val="center"/>
          </w:tcPr>
          <w:p w14:paraId="0A429A64" w14:textId="38318734" w:rsidR="0000415E" w:rsidRPr="006129F5" w:rsidRDefault="0000415E" w:rsidP="000C6D9F">
            <w:pPr>
              <w:pStyle w:val="NoSpacing"/>
              <w:cnfStyle w:val="100000000000" w:firstRow="1" w:lastRow="0" w:firstColumn="0" w:lastColumn="0" w:oddVBand="0" w:evenVBand="0" w:oddHBand="0" w:evenHBand="0" w:firstRowFirstColumn="0" w:firstRowLastColumn="0" w:lastRowFirstColumn="0" w:lastRowLastColumn="0"/>
            </w:pPr>
            <w:r w:rsidRPr="006129F5">
              <w:t>Clone</w:t>
            </w:r>
          </w:p>
        </w:tc>
        <w:tc>
          <w:tcPr>
            <w:tcW w:w="2211" w:type="dxa"/>
            <w:vAlign w:val="center"/>
          </w:tcPr>
          <w:p w14:paraId="3829996A" w14:textId="77777777" w:rsidR="0000415E" w:rsidRPr="006129F5" w:rsidRDefault="0000415E" w:rsidP="000C6D9F">
            <w:pPr>
              <w:pStyle w:val="NoSpacing"/>
              <w:cnfStyle w:val="100000000000" w:firstRow="1" w:lastRow="0" w:firstColumn="0" w:lastColumn="0" w:oddVBand="0" w:evenVBand="0" w:oddHBand="0" w:evenHBand="0" w:firstRowFirstColumn="0" w:firstRowLastColumn="0" w:lastRowFirstColumn="0" w:lastRowLastColumn="0"/>
            </w:pPr>
            <w:r w:rsidRPr="006129F5">
              <w:t>Provider</w:t>
            </w:r>
          </w:p>
        </w:tc>
      </w:tr>
      <w:tr w:rsidR="0000415E" w:rsidRPr="006129F5" w14:paraId="0A00C333"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2ADD59DD" w14:textId="77777777" w:rsidR="0000415E" w:rsidRPr="006129F5" w:rsidRDefault="0000415E" w:rsidP="000C6D9F">
            <w:pPr>
              <w:pStyle w:val="NoSpacing"/>
            </w:pPr>
            <w:r w:rsidRPr="006129F5">
              <w:t>CCNB1</w:t>
            </w:r>
          </w:p>
        </w:tc>
        <w:tc>
          <w:tcPr>
            <w:tcW w:w="1134" w:type="dxa"/>
          </w:tcPr>
          <w:p w14:paraId="2E32B1B1" w14:textId="16C4923E" w:rsidR="0000415E" w:rsidRPr="00CA2429" w:rsidRDefault="0000415E" w:rsidP="000C6D9F">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val="en-SE" w:eastAsia="en-SE"/>
              </w:rPr>
            </w:pPr>
            <w:r>
              <w:rPr>
                <w:rFonts w:eastAsia="Times New Roman"/>
                <w:color w:val="000000"/>
                <w:lang w:val="en-SE" w:eastAsia="en-SE"/>
              </w:rPr>
              <w:t>1:50</w:t>
            </w:r>
          </w:p>
        </w:tc>
        <w:tc>
          <w:tcPr>
            <w:tcW w:w="1417" w:type="dxa"/>
            <w:vAlign w:val="center"/>
          </w:tcPr>
          <w:p w14:paraId="08CD3DEB" w14:textId="67AE8BB6"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CA2429">
              <w:rPr>
                <w:rFonts w:eastAsia="Times New Roman"/>
                <w:color w:val="000000"/>
                <w:lang w:val="en-SE" w:eastAsia="en-SE"/>
              </w:rPr>
              <w:t>Y106</w:t>
            </w:r>
          </w:p>
        </w:tc>
        <w:tc>
          <w:tcPr>
            <w:tcW w:w="2211" w:type="dxa"/>
            <w:vAlign w:val="center"/>
          </w:tcPr>
          <w:p w14:paraId="44CD108D"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proofErr w:type="spellStart"/>
            <w:r w:rsidRPr="006129F5">
              <w:t>LifeSpan-BioSciences</w:t>
            </w:r>
            <w:proofErr w:type="spellEnd"/>
          </w:p>
        </w:tc>
      </w:tr>
      <w:tr w:rsidR="0000415E" w:rsidRPr="006129F5" w14:paraId="4EB53104"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5A4D2410" w14:textId="77777777" w:rsidR="0000415E" w:rsidRPr="006129F5" w:rsidRDefault="0000415E" w:rsidP="000C6D9F">
            <w:pPr>
              <w:pStyle w:val="NoSpacing"/>
            </w:pPr>
            <w:r w:rsidRPr="006129F5">
              <w:t>CK5</w:t>
            </w:r>
          </w:p>
        </w:tc>
        <w:tc>
          <w:tcPr>
            <w:tcW w:w="1134" w:type="dxa"/>
          </w:tcPr>
          <w:p w14:paraId="0D7CA4E8" w14:textId="57A5EAF4" w:rsidR="0000415E" w:rsidRPr="00CA2429" w:rsidRDefault="0000415E" w:rsidP="000C6D9F">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val="en-SE" w:eastAsia="en-SE"/>
              </w:rPr>
            </w:pPr>
            <w:r>
              <w:rPr>
                <w:rFonts w:eastAsia="Times New Roman"/>
                <w:color w:val="000000"/>
                <w:lang w:val="en-SE" w:eastAsia="en-SE"/>
              </w:rPr>
              <w:t>1:25</w:t>
            </w:r>
          </w:p>
        </w:tc>
        <w:tc>
          <w:tcPr>
            <w:tcW w:w="1417" w:type="dxa"/>
            <w:vAlign w:val="center"/>
          </w:tcPr>
          <w:p w14:paraId="5C6D5DEA" w14:textId="69D78E58"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CA2429">
              <w:rPr>
                <w:rFonts w:eastAsia="Times New Roman"/>
                <w:color w:val="000000"/>
                <w:lang w:val="en-SE" w:eastAsia="en-SE"/>
              </w:rPr>
              <w:t>EP1601Y</w:t>
            </w:r>
          </w:p>
        </w:tc>
        <w:tc>
          <w:tcPr>
            <w:tcW w:w="2211" w:type="dxa"/>
            <w:vAlign w:val="center"/>
          </w:tcPr>
          <w:p w14:paraId="6AB8CD9F"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proofErr w:type="spellStart"/>
            <w:r w:rsidRPr="006129F5">
              <w:t>Thermo</w:t>
            </w:r>
            <w:proofErr w:type="spellEnd"/>
            <w:r w:rsidRPr="006129F5">
              <w:t xml:space="preserve"> Scientific</w:t>
            </w:r>
          </w:p>
        </w:tc>
      </w:tr>
      <w:tr w:rsidR="0000415E" w:rsidRPr="006129F5" w14:paraId="6E55B8B6"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182641A5" w14:textId="77777777" w:rsidR="0000415E" w:rsidRPr="006129F5" w:rsidRDefault="0000415E" w:rsidP="000C6D9F">
            <w:pPr>
              <w:pStyle w:val="NoSpacing"/>
            </w:pPr>
            <w:r w:rsidRPr="006129F5">
              <w:t>CK14</w:t>
            </w:r>
          </w:p>
        </w:tc>
        <w:tc>
          <w:tcPr>
            <w:tcW w:w="1134" w:type="dxa"/>
          </w:tcPr>
          <w:p w14:paraId="7FCEF9F6" w14:textId="56A73D69" w:rsidR="0000415E" w:rsidRPr="00CA2429" w:rsidRDefault="0000415E" w:rsidP="000C6D9F">
            <w:pPr>
              <w:pStyle w:val="NoSpacing"/>
              <w:cnfStyle w:val="000000000000" w:firstRow="0" w:lastRow="0" w:firstColumn="0" w:lastColumn="0" w:oddVBand="0" w:evenVBand="0" w:oddHBand="0" w:evenHBand="0" w:firstRowFirstColumn="0" w:firstRowLastColumn="0" w:lastRowFirstColumn="0" w:lastRowLastColumn="0"/>
              <w:rPr>
                <w:rFonts w:eastAsia="Times New Roman"/>
                <w:color w:val="000000"/>
                <w:lang w:val="en-SE" w:eastAsia="en-SE"/>
              </w:rPr>
            </w:pPr>
            <w:r>
              <w:rPr>
                <w:rFonts w:eastAsia="Times New Roman"/>
                <w:color w:val="000000"/>
                <w:lang w:val="en-SE" w:eastAsia="en-SE"/>
              </w:rPr>
              <w:t>1:50</w:t>
            </w:r>
          </w:p>
        </w:tc>
        <w:tc>
          <w:tcPr>
            <w:tcW w:w="1417" w:type="dxa"/>
            <w:vAlign w:val="center"/>
          </w:tcPr>
          <w:p w14:paraId="0EB10C98" w14:textId="01CF1115"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CA2429">
              <w:rPr>
                <w:rFonts w:eastAsia="Times New Roman"/>
                <w:color w:val="000000"/>
                <w:lang w:val="en-SE" w:eastAsia="en-SE"/>
              </w:rPr>
              <w:t>LL002</w:t>
            </w:r>
          </w:p>
        </w:tc>
        <w:tc>
          <w:tcPr>
            <w:tcW w:w="2211" w:type="dxa"/>
            <w:vAlign w:val="center"/>
          </w:tcPr>
          <w:p w14:paraId="393CD8CB"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Leica Biosystems</w:t>
            </w:r>
          </w:p>
        </w:tc>
      </w:tr>
      <w:tr w:rsidR="0000415E" w:rsidRPr="006129F5" w14:paraId="00CB2B12"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699C1D91" w14:textId="77777777" w:rsidR="0000415E" w:rsidRPr="006129F5" w:rsidRDefault="0000415E" w:rsidP="000C6D9F">
            <w:pPr>
              <w:pStyle w:val="NoSpacing"/>
            </w:pPr>
            <w:r w:rsidRPr="006129F5">
              <w:t>RB1</w:t>
            </w:r>
          </w:p>
        </w:tc>
        <w:tc>
          <w:tcPr>
            <w:tcW w:w="1134" w:type="dxa"/>
          </w:tcPr>
          <w:p w14:paraId="53785BDD" w14:textId="69A09FE9"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1:500</w:t>
            </w:r>
          </w:p>
        </w:tc>
        <w:tc>
          <w:tcPr>
            <w:tcW w:w="1417" w:type="dxa"/>
            <w:vAlign w:val="center"/>
          </w:tcPr>
          <w:p w14:paraId="252742D5" w14:textId="4258606F"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4H1</w:t>
            </w:r>
          </w:p>
        </w:tc>
        <w:tc>
          <w:tcPr>
            <w:tcW w:w="2211" w:type="dxa"/>
            <w:vAlign w:val="center"/>
          </w:tcPr>
          <w:p w14:paraId="6E3BA238"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Cell Signaling</w:t>
            </w:r>
          </w:p>
        </w:tc>
      </w:tr>
      <w:tr w:rsidR="0000415E" w:rsidRPr="006129F5" w14:paraId="0D978373"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0D3FF43C" w14:textId="77777777" w:rsidR="0000415E" w:rsidRPr="006129F5" w:rsidRDefault="0000415E" w:rsidP="000C6D9F">
            <w:pPr>
              <w:pStyle w:val="NoSpacing"/>
            </w:pPr>
            <w:r w:rsidRPr="006129F5">
              <w:t>PPARG</w:t>
            </w:r>
          </w:p>
        </w:tc>
        <w:tc>
          <w:tcPr>
            <w:tcW w:w="1134" w:type="dxa"/>
          </w:tcPr>
          <w:p w14:paraId="179C444A" w14:textId="3958B2AB"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1:50</w:t>
            </w:r>
          </w:p>
        </w:tc>
        <w:tc>
          <w:tcPr>
            <w:tcW w:w="1417" w:type="dxa"/>
            <w:vAlign w:val="center"/>
          </w:tcPr>
          <w:p w14:paraId="69895918" w14:textId="4B690972"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C26H12</w:t>
            </w:r>
          </w:p>
        </w:tc>
        <w:tc>
          <w:tcPr>
            <w:tcW w:w="2211" w:type="dxa"/>
            <w:vAlign w:val="center"/>
          </w:tcPr>
          <w:p w14:paraId="552BD502"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Cell Signaling</w:t>
            </w:r>
          </w:p>
        </w:tc>
      </w:tr>
      <w:tr w:rsidR="0000415E" w:rsidRPr="006129F5" w14:paraId="16A70DC9"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089A7E77" w14:textId="77777777" w:rsidR="0000415E" w:rsidRPr="006129F5" w:rsidRDefault="0000415E" w:rsidP="000C6D9F">
            <w:pPr>
              <w:pStyle w:val="NoSpacing"/>
            </w:pPr>
            <w:r w:rsidRPr="006129F5">
              <w:t>GATA3</w:t>
            </w:r>
          </w:p>
        </w:tc>
        <w:tc>
          <w:tcPr>
            <w:tcW w:w="1134" w:type="dxa"/>
          </w:tcPr>
          <w:p w14:paraId="22691583" w14:textId="2E936382"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1:800</w:t>
            </w:r>
          </w:p>
        </w:tc>
        <w:tc>
          <w:tcPr>
            <w:tcW w:w="1417" w:type="dxa"/>
            <w:vAlign w:val="center"/>
          </w:tcPr>
          <w:p w14:paraId="29F24ABD" w14:textId="60F4979C"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L50-823</w:t>
            </w:r>
          </w:p>
        </w:tc>
        <w:tc>
          <w:tcPr>
            <w:tcW w:w="2211" w:type="dxa"/>
            <w:vAlign w:val="center"/>
          </w:tcPr>
          <w:p w14:paraId="4F29EE48"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proofErr w:type="spellStart"/>
            <w:r w:rsidRPr="006129F5">
              <w:t>CellMarque</w:t>
            </w:r>
            <w:proofErr w:type="spellEnd"/>
          </w:p>
        </w:tc>
      </w:tr>
      <w:tr w:rsidR="0000415E" w:rsidRPr="006129F5" w14:paraId="492CFFBC"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21C89264" w14:textId="77777777" w:rsidR="0000415E" w:rsidRPr="006129F5" w:rsidRDefault="0000415E" w:rsidP="000C6D9F">
            <w:pPr>
              <w:pStyle w:val="NoSpacing"/>
            </w:pPr>
            <w:r w:rsidRPr="006129F5">
              <w:t>FGFR3</w:t>
            </w:r>
          </w:p>
        </w:tc>
        <w:tc>
          <w:tcPr>
            <w:tcW w:w="1134" w:type="dxa"/>
          </w:tcPr>
          <w:p w14:paraId="0AF527BC" w14:textId="3CC67156"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1:50</w:t>
            </w:r>
          </w:p>
        </w:tc>
        <w:tc>
          <w:tcPr>
            <w:tcW w:w="1417" w:type="dxa"/>
            <w:vAlign w:val="center"/>
          </w:tcPr>
          <w:p w14:paraId="26A4CCEA" w14:textId="346B1443"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B-9</w:t>
            </w:r>
          </w:p>
        </w:tc>
        <w:tc>
          <w:tcPr>
            <w:tcW w:w="2211" w:type="dxa"/>
            <w:vAlign w:val="center"/>
          </w:tcPr>
          <w:p w14:paraId="1B55E488"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Santa Cruz Biotech</w:t>
            </w:r>
          </w:p>
        </w:tc>
      </w:tr>
      <w:tr w:rsidR="0000415E" w:rsidRPr="006129F5" w14:paraId="1291F4D4"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5E5BB054" w14:textId="77777777" w:rsidR="0000415E" w:rsidRPr="006129F5" w:rsidRDefault="0000415E" w:rsidP="000C6D9F">
            <w:pPr>
              <w:pStyle w:val="NoSpacing"/>
            </w:pPr>
            <w:r w:rsidRPr="006129F5">
              <w:t>EGFR</w:t>
            </w:r>
          </w:p>
        </w:tc>
        <w:tc>
          <w:tcPr>
            <w:tcW w:w="1134" w:type="dxa"/>
          </w:tcPr>
          <w:p w14:paraId="39A693A6" w14:textId="236F6B02"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1:50</w:t>
            </w:r>
          </w:p>
        </w:tc>
        <w:tc>
          <w:tcPr>
            <w:tcW w:w="1417" w:type="dxa"/>
            <w:vAlign w:val="center"/>
          </w:tcPr>
          <w:p w14:paraId="7E8868F8" w14:textId="7A01FF28"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E30</w:t>
            </w:r>
          </w:p>
        </w:tc>
        <w:tc>
          <w:tcPr>
            <w:tcW w:w="2211" w:type="dxa"/>
            <w:vAlign w:val="center"/>
          </w:tcPr>
          <w:p w14:paraId="522FE5DB"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Agilent Technologies</w:t>
            </w:r>
          </w:p>
        </w:tc>
      </w:tr>
      <w:tr w:rsidR="0000415E" w:rsidRPr="006129F5" w14:paraId="39A88A6A"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046A1C92" w14:textId="77777777" w:rsidR="0000415E" w:rsidRPr="006129F5" w:rsidRDefault="0000415E" w:rsidP="000C6D9F">
            <w:pPr>
              <w:pStyle w:val="NoSpacing"/>
            </w:pPr>
            <w:r w:rsidRPr="006129F5">
              <w:t>CDH3</w:t>
            </w:r>
          </w:p>
        </w:tc>
        <w:tc>
          <w:tcPr>
            <w:tcW w:w="1134" w:type="dxa"/>
          </w:tcPr>
          <w:p w14:paraId="7AA271E8" w14:textId="61755C76"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1:200</w:t>
            </w:r>
          </w:p>
        </w:tc>
        <w:tc>
          <w:tcPr>
            <w:tcW w:w="1417" w:type="dxa"/>
            <w:vAlign w:val="center"/>
          </w:tcPr>
          <w:p w14:paraId="75D6BF50" w14:textId="467B135B"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56-pcadherin</w:t>
            </w:r>
          </w:p>
        </w:tc>
        <w:tc>
          <w:tcPr>
            <w:tcW w:w="2211" w:type="dxa"/>
            <w:vAlign w:val="center"/>
          </w:tcPr>
          <w:p w14:paraId="4A765BB2"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 xml:space="preserve">BD </w:t>
            </w:r>
            <w:proofErr w:type="spellStart"/>
            <w:r w:rsidRPr="006129F5">
              <w:t>bBioScience</w:t>
            </w:r>
            <w:proofErr w:type="spellEnd"/>
          </w:p>
        </w:tc>
      </w:tr>
      <w:tr w:rsidR="0000415E" w:rsidRPr="006129F5" w14:paraId="3AC0C167"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11D2DAAE" w14:textId="77777777" w:rsidR="0000415E" w:rsidRPr="006129F5" w:rsidRDefault="0000415E" w:rsidP="000C6D9F">
            <w:pPr>
              <w:pStyle w:val="NoSpacing"/>
            </w:pPr>
            <w:r w:rsidRPr="006129F5">
              <w:t>CCND1</w:t>
            </w:r>
          </w:p>
        </w:tc>
        <w:tc>
          <w:tcPr>
            <w:tcW w:w="1134" w:type="dxa"/>
          </w:tcPr>
          <w:p w14:paraId="171F2417" w14:textId="6DA7A615"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1:50</w:t>
            </w:r>
          </w:p>
        </w:tc>
        <w:tc>
          <w:tcPr>
            <w:tcW w:w="1417" w:type="dxa"/>
            <w:vAlign w:val="center"/>
          </w:tcPr>
          <w:p w14:paraId="611BF457" w14:textId="44F8C80B"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EP12</w:t>
            </w:r>
          </w:p>
        </w:tc>
        <w:tc>
          <w:tcPr>
            <w:tcW w:w="2211" w:type="dxa"/>
            <w:vAlign w:val="center"/>
          </w:tcPr>
          <w:p w14:paraId="0879911D"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Agilent Technologies</w:t>
            </w:r>
          </w:p>
        </w:tc>
      </w:tr>
      <w:tr w:rsidR="0000415E" w:rsidRPr="006129F5" w14:paraId="7259C879"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0FC86B48" w14:textId="77777777" w:rsidR="0000415E" w:rsidRPr="006129F5" w:rsidRDefault="0000415E" w:rsidP="000C6D9F">
            <w:pPr>
              <w:pStyle w:val="NoSpacing"/>
            </w:pPr>
            <w:r w:rsidRPr="006129F5">
              <w:t>P63</w:t>
            </w:r>
          </w:p>
        </w:tc>
        <w:tc>
          <w:tcPr>
            <w:tcW w:w="1134" w:type="dxa"/>
          </w:tcPr>
          <w:p w14:paraId="5A9D235D" w14:textId="2DDE4FBC"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1:100</w:t>
            </w:r>
          </w:p>
        </w:tc>
        <w:tc>
          <w:tcPr>
            <w:tcW w:w="1417" w:type="dxa"/>
            <w:vAlign w:val="center"/>
          </w:tcPr>
          <w:p w14:paraId="16C85AFD" w14:textId="20B854E2"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4A4</w:t>
            </w:r>
          </w:p>
        </w:tc>
        <w:tc>
          <w:tcPr>
            <w:tcW w:w="2211" w:type="dxa"/>
            <w:vAlign w:val="center"/>
          </w:tcPr>
          <w:p w14:paraId="1F57475F"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Agilent Technologies</w:t>
            </w:r>
          </w:p>
        </w:tc>
      </w:tr>
      <w:tr w:rsidR="0000415E" w:rsidRPr="006129F5" w14:paraId="3198E452"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796CB64D" w14:textId="77777777" w:rsidR="0000415E" w:rsidRPr="006129F5" w:rsidRDefault="0000415E" w:rsidP="000C6D9F">
            <w:pPr>
              <w:pStyle w:val="NoSpacing"/>
            </w:pPr>
            <w:r w:rsidRPr="006129F5">
              <w:t>E2F3</w:t>
            </w:r>
          </w:p>
        </w:tc>
        <w:tc>
          <w:tcPr>
            <w:tcW w:w="1134" w:type="dxa"/>
          </w:tcPr>
          <w:p w14:paraId="3420DDF6" w14:textId="71101B58"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1:100</w:t>
            </w:r>
          </w:p>
        </w:tc>
        <w:tc>
          <w:tcPr>
            <w:tcW w:w="1417" w:type="dxa"/>
            <w:vAlign w:val="center"/>
          </w:tcPr>
          <w:p w14:paraId="5A9A9AFC" w14:textId="596288A4"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3E2F04</w:t>
            </w:r>
          </w:p>
        </w:tc>
        <w:tc>
          <w:tcPr>
            <w:tcW w:w="2211" w:type="dxa"/>
            <w:vAlign w:val="center"/>
          </w:tcPr>
          <w:p w14:paraId="7838AEDA"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LS Bio</w:t>
            </w:r>
          </w:p>
        </w:tc>
      </w:tr>
      <w:tr w:rsidR="0000415E" w:rsidRPr="006129F5" w14:paraId="19ADCCC5"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517BF2D5" w14:textId="77777777" w:rsidR="0000415E" w:rsidRPr="006129F5" w:rsidRDefault="0000415E" w:rsidP="000C6D9F">
            <w:pPr>
              <w:pStyle w:val="NoSpacing"/>
            </w:pPr>
            <w:r w:rsidRPr="006129F5">
              <w:t>CDKN2A(p16)</w:t>
            </w:r>
          </w:p>
        </w:tc>
        <w:tc>
          <w:tcPr>
            <w:tcW w:w="1134" w:type="dxa"/>
          </w:tcPr>
          <w:p w14:paraId="6E5C446B" w14:textId="76DBB06D"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RTU</w:t>
            </w:r>
          </w:p>
        </w:tc>
        <w:tc>
          <w:tcPr>
            <w:tcW w:w="1417" w:type="dxa"/>
            <w:vAlign w:val="center"/>
          </w:tcPr>
          <w:p w14:paraId="1B1FB571" w14:textId="6BEFECCC"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E6H4</w:t>
            </w:r>
          </w:p>
        </w:tc>
        <w:tc>
          <w:tcPr>
            <w:tcW w:w="2211" w:type="dxa"/>
            <w:vAlign w:val="center"/>
          </w:tcPr>
          <w:p w14:paraId="2A805E48"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Ventana</w:t>
            </w:r>
          </w:p>
        </w:tc>
      </w:tr>
      <w:tr w:rsidR="0000415E" w:rsidRPr="006129F5" w14:paraId="201AF19D"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3B956886" w14:textId="77777777" w:rsidR="0000415E" w:rsidRPr="006129F5" w:rsidRDefault="0000415E" w:rsidP="000C6D9F">
            <w:pPr>
              <w:pStyle w:val="NoSpacing"/>
            </w:pPr>
            <w:r w:rsidRPr="006129F5">
              <w:t>CK20</w:t>
            </w:r>
          </w:p>
        </w:tc>
        <w:tc>
          <w:tcPr>
            <w:tcW w:w="1134" w:type="dxa"/>
          </w:tcPr>
          <w:p w14:paraId="43836011" w14:textId="6079C12A"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1:50</w:t>
            </w:r>
          </w:p>
        </w:tc>
        <w:tc>
          <w:tcPr>
            <w:tcW w:w="1417" w:type="dxa"/>
            <w:vAlign w:val="center"/>
          </w:tcPr>
          <w:p w14:paraId="6DD7B70A" w14:textId="64B9B5E1"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Ks20.8</w:t>
            </w:r>
          </w:p>
        </w:tc>
        <w:tc>
          <w:tcPr>
            <w:tcW w:w="2211" w:type="dxa"/>
            <w:vAlign w:val="center"/>
          </w:tcPr>
          <w:p w14:paraId="0795FD16"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Agilent Technologies</w:t>
            </w:r>
          </w:p>
        </w:tc>
      </w:tr>
      <w:tr w:rsidR="0000415E" w:rsidRPr="006129F5" w14:paraId="5D7B03AF"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44B3C57D" w14:textId="77777777" w:rsidR="0000415E" w:rsidRPr="006129F5" w:rsidRDefault="0000415E" w:rsidP="000C6D9F">
            <w:pPr>
              <w:pStyle w:val="NoSpacing"/>
            </w:pPr>
            <w:r w:rsidRPr="006129F5">
              <w:t>UPK2</w:t>
            </w:r>
          </w:p>
        </w:tc>
        <w:tc>
          <w:tcPr>
            <w:tcW w:w="1134" w:type="dxa"/>
          </w:tcPr>
          <w:p w14:paraId="55D61B65" w14:textId="50872B81"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1:100</w:t>
            </w:r>
          </w:p>
        </w:tc>
        <w:tc>
          <w:tcPr>
            <w:tcW w:w="1417" w:type="dxa"/>
            <w:vAlign w:val="center"/>
          </w:tcPr>
          <w:p w14:paraId="3FAC21C1" w14:textId="22093229"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BC21</w:t>
            </w:r>
          </w:p>
        </w:tc>
        <w:tc>
          <w:tcPr>
            <w:tcW w:w="2211" w:type="dxa"/>
            <w:vAlign w:val="center"/>
          </w:tcPr>
          <w:p w14:paraId="4997BEAE"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proofErr w:type="spellStart"/>
            <w:r w:rsidRPr="006129F5">
              <w:t>Histolab</w:t>
            </w:r>
            <w:proofErr w:type="spellEnd"/>
          </w:p>
        </w:tc>
      </w:tr>
      <w:tr w:rsidR="0000415E" w:rsidRPr="006129F5" w14:paraId="4919BB3A" w14:textId="77777777" w:rsidTr="00D21A64">
        <w:trPr>
          <w:trHeight w:val="340"/>
        </w:trPr>
        <w:tc>
          <w:tcPr>
            <w:cnfStyle w:val="001000000000" w:firstRow="0" w:lastRow="0" w:firstColumn="1" w:lastColumn="0" w:oddVBand="0" w:evenVBand="0" w:oddHBand="0" w:evenHBand="0" w:firstRowFirstColumn="0" w:firstRowLastColumn="0" w:lastRowFirstColumn="0" w:lastRowLastColumn="0"/>
            <w:tcW w:w="1671" w:type="dxa"/>
            <w:vAlign w:val="center"/>
          </w:tcPr>
          <w:p w14:paraId="53492EAF" w14:textId="77777777" w:rsidR="0000415E" w:rsidRPr="006129F5" w:rsidRDefault="0000415E" w:rsidP="000C6D9F">
            <w:pPr>
              <w:pStyle w:val="NoSpacing"/>
            </w:pPr>
            <w:r w:rsidRPr="006129F5">
              <w:t>ASMA</w:t>
            </w:r>
          </w:p>
        </w:tc>
        <w:tc>
          <w:tcPr>
            <w:tcW w:w="1134" w:type="dxa"/>
          </w:tcPr>
          <w:p w14:paraId="3A5BB3F2" w14:textId="4F7BA2AC"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t>1:100</w:t>
            </w:r>
          </w:p>
        </w:tc>
        <w:tc>
          <w:tcPr>
            <w:tcW w:w="1417" w:type="dxa"/>
            <w:vAlign w:val="center"/>
          </w:tcPr>
          <w:p w14:paraId="3990CECF" w14:textId="11E5DCFE"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D49N</w:t>
            </w:r>
          </w:p>
        </w:tc>
        <w:tc>
          <w:tcPr>
            <w:tcW w:w="2211" w:type="dxa"/>
            <w:vAlign w:val="center"/>
          </w:tcPr>
          <w:p w14:paraId="035AAFDF" w14:textId="77777777" w:rsidR="0000415E" w:rsidRPr="006129F5" w:rsidRDefault="0000415E" w:rsidP="000C6D9F">
            <w:pPr>
              <w:pStyle w:val="NoSpacing"/>
              <w:cnfStyle w:val="000000000000" w:firstRow="0" w:lastRow="0" w:firstColumn="0" w:lastColumn="0" w:oddVBand="0" w:evenVBand="0" w:oddHBand="0" w:evenHBand="0" w:firstRowFirstColumn="0" w:firstRowLastColumn="0" w:lastRowFirstColumn="0" w:lastRowLastColumn="0"/>
            </w:pPr>
            <w:r w:rsidRPr="006129F5">
              <w:t>Cell Signaling</w:t>
            </w:r>
          </w:p>
        </w:tc>
      </w:tr>
    </w:tbl>
    <w:p w14:paraId="69C7E476" w14:textId="6E2C47D4" w:rsidR="006129F5" w:rsidRPr="0000415E" w:rsidRDefault="0000415E" w:rsidP="00EF1FE0">
      <w:pPr>
        <w:rPr>
          <w:sz w:val="20"/>
          <w:szCs w:val="20"/>
        </w:rPr>
      </w:pPr>
      <w:r w:rsidRPr="0000415E">
        <w:rPr>
          <w:sz w:val="20"/>
          <w:szCs w:val="20"/>
        </w:rPr>
        <w:t>RTU: Ready-to-Use</w:t>
      </w:r>
    </w:p>
    <w:p w14:paraId="3B36B79B" w14:textId="77777777" w:rsidR="006129F5" w:rsidRDefault="006129F5" w:rsidP="00EF1FE0">
      <w:pPr>
        <w:rPr>
          <w:b/>
          <w:bCs/>
        </w:rPr>
      </w:pPr>
    </w:p>
    <w:p w14:paraId="3F198C43" w14:textId="77777777" w:rsidR="006129F5" w:rsidRDefault="006129F5" w:rsidP="00EF1FE0">
      <w:pPr>
        <w:rPr>
          <w:b/>
          <w:bCs/>
        </w:rPr>
      </w:pPr>
    </w:p>
    <w:p w14:paraId="30CA775D" w14:textId="77777777" w:rsidR="006129F5" w:rsidRDefault="006129F5" w:rsidP="00EF1FE0">
      <w:pPr>
        <w:rPr>
          <w:b/>
          <w:bCs/>
        </w:rPr>
      </w:pPr>
    </w:p>
    <w:p w14:paraId="2C6127EC" w14:textId="77777777" w:rsidR="007654F1" w:rsidRDefault="007654F1" w:rsidP="00EF1FE0">
      <w:pPr>
        <w:rPr>
          <w:b/>
          <w:bCs/>
        </w:rPr>
      </w:pPr>
    </w:p>
    <w:p w14:paraId="4092F287" w14:textId="77777777" w:rsidR="001C5738" w:rsidRDefault="001C5738" w:rsidP="00EF1FE0">
      <w:pPr>
        <w:rPr>
          <w:b/>
          <w:bCs/>
        </w:rPr>
      </w:pPr>
    </w:p>
    <w:p w14:paraId="505CCCDB" w14:textId="27609DD0" w:rsidR="005D5F23" w:rsidRDefault="005D5F23" w:rsidP="00EF1FE0">
      <w:r>
        <w:rPr>
          <w:b/>
          <w:bCs/>
        </w:rPr>
        <w:lastRenderedPageBreak/>
        <w:t xml:space="preserve">Supplementary </w:t>
      </w:r>
      <w:r w:rsidR="009E6866">
        <w:rPr>
          <w:b/>
          <w:bCs/>
        </w:rPr>
        <w:t>T</w:t>
      </w:r>
      <w:r w:rsidRPr="00677D96">
        <w:rPr>
          <w:b/>
          <w:bCs/>
        </w:rPr>
        <w:t xml:space="preserve">able </w:t>
      </w:r>
      <w:bookmarkEnd w:id="0"/>
      <w:r w:rsidR="008E488E">
        <w:rPr>
          <w:b/>
          <w:bCs/>
        </w:rPr>
        <w:t>3</w:t>
      </w:r>
      <w:r w:rsidRPr="00677D96">
        <w:rPr>
          <w:b/>
          <w:bCs/>
        </w:rPr>
        <w:t>.</w:t>
      </w:r>
      <w:r>
        <w:t xml:space="preserve"> </w:t>
      </w:r>
      <w:r w:rsidR="005B73B5">
        <w:t>PDX models with detected spontaneous metastases, n</w:t>
      </w:r>
      <w:r>
        <w:t>umber of mice with metastases after intracardiac (</w:t>
      </w:r>
      <w:r w:rsidR="00EF1FE0">
        <w:t>IC</w:t>
      </w:r>
      <w:r>
        <w:t>) or tail vein (TV) injection</w:t>
      </w:r>
      <w:r w:rsidR="005B73B5">
        <w:t xml:space="preserve"> and location of the metastatic lesions. Lg: Lung, </w:t>
      </w:r>
      <w:proofErr w:type="spellStart"/>
      <w:r w:rsidR="005B73B5">
        <w:t>Panc</w:t>
      </w:r>
      <w:proofErr w:type="spellEnd"/>
      <w:r w:rsidR="005B73B5">
        <w:t xml:space="preserve">: Pancreas, SR: Supra Renal, </w:t>
      </w:r>
      <w:proofErr w:type="spellStart"/>
      <w:r w:rsidR="005B73B5">
        <w:t>Lv</w:t>
      </w:r>
      <w:proofErr w:type="spellEnd"/>
      <w:r w:rsidR="005B73B5">
        <w:t>: Liver, Ov: Ovary.</w:t>
      </w:r>
    </w:p>
    <w:tbl>
      <w:tblPr>
        <w:tblStyle w:val="GridTable1Light"/>
        <w:tblW w:w="9638" w:type="dxa"/>
        <w:tblLook w:val="0420" w:firstRow="1" w:lastRow="0" w:firstColumn="0" w:lastColumn="0" w:noHBand="0" w:noVBand="1"/>
      </w:tblPr>
      <w:tblGrid>
        <w:gridCol w:w="873"/>
        <w:gridCol w:w="1842"/>
        <w:gridCol w:w="1828"/>
        <w:gridCol w:w="1828"/>
        <w:gridCol w:w="1557"/>
        <w:gridCol w:w="1710"/>
      </w:tblGrid>
      <w:tr w:rsidR="005B73B5" w:rsidRPr="00677D96" w14:paraId="44C5FD56" w14:textId="77777777" w:rsidTr="005B73B5">
        <w:trPr>
          <w:cnfStyle w:val="100000000000" w:firstRow="1" w:lastRow="0" w:firstColumn="0" w:lastColumn="0" w:oddVBand="0" w:evenVBand="0" w:oddHBand="0" w:evenHBand="0" w:firstRowFirstColumn="0" w:firstRowLastColumn="0" w:lastRowFirstColumn="0" w:lastRowLastColumn="0"/>
          <w:trHeight w:val="397"/>
        </w:trPr>
        <w:tc>
          <w:tcPr>
            <w:tcW w:w="841" w:type="dxa"/>
            <w:tcBorders>
              <w:top w:val="nil"/>
              <w:left w:val="nil"/>
            </w:tcBorders>
            <w:vAlign w:val="center"/>
            <w:hideMark/>
          </w:tcPr>
          <w:p w14:paraId="15E9F640" w14:textId="77777777" w:rsidR="005B73B5" w:rsidRPr="006129F5" w:rsidRDefault="005B73B5" w:rsidP="000C6D9F">
            <w:pPr>
              <w:pStyle w:val="NoSpacing"/>
              <w:rPr>
                <w:lang w:eastAsia="en-SE"/>
              </w:rPr>
            </w:pPr>
            <w:r w:rsidRPr="006129F5">
              <w:rPr>
                <w:lang w:eastAsia="en-SE"/>
              </w:rPr>
              <w:t>Model</w:t>
            </w:r>
          </w:p>
        </w:tc>
        <w:tc>
          <w:tcPr>
            <w:tcW w:w="1846" w:type="dxa"/>
            <w:tcBorders>
              <w:top w:val="nil"/>
            </w:tcBorders>
            <w:vAlign w:val="center"/>
          </w:tcPr>
          <w:p w14:paraId="6DDF764E" w14:textId="5466C3B3" w:rsidR="005B73B5" w:rsidRPr="006129F5" w:rsidRDefault="005B73B5" w:rsidP="000C6D9F">
            <w:pPr>
              <w:pStyle w:val="NoSpacing"/>
              <w:rPr>
                <w:lang w:eastAsia="en-SE"/>
              </w:rPr>
            </w:pPr>
            <w:r w:rsidRPr="006129F5">
              <w:rPr>
                <w:lang w:eastAsia="en-SE"/>
              </w:rPr>
              <w:t xml:space="preserve">Spontaneous </w:t>
            </w:r>
            <w:proofErr w:type="spellStart"/>
            <w:r w:rsidRPr="006129F5">
              <w:rPr>
                <w:lang w:eastAsia="en-SE"/>
              </w:rPr>
              <w:t>mets</w:t>
            </w:r>
            <w:proofErr w:type="spellEnd"/>
          </w:p>
        </w:tc>
        <w:tc>
          <w:tcPr>
            <w:tcW w:w="1834" w:type="dxa"/>
            <w:tcBorders>
              <w:top w:val="nil"/>
            </w:tcBorders>
            <w:vAlign w:val="center"/>
            <w:hideMark/>
          </w:tcPr>
          <w:p w14:paraId="4B98B0E4" w14:textId="406353A7" w:rsidR="005B73B5" w:rsidRPr="006129F5" w:rsidRDefault="005B73B5" w:rsidP="000C6D9F">
            <w:pPr>
              <w:pStyle w:val="NoSpacing"/>
              <w:rPr>
                <w:lang w:eastAsia="en-SE"/>
              </w:rPr>
            </w:pPr>
            <w:r w:rsidRPr="006129F5">
              <w:rPr>
                <w:lang w:eastAsia="en-SE"/>
              </w:rPr>
              <w:t>IC (</w:t>
            </w:r>
            <w:proofErr w:type="spellStart"/>
            <w:r w:rsidRPr="006129F5">
              <w:rPr>
                <w:lang w:eastAsia="en-SE"/>
              </w:rPr>
              <w:t>mets</w:t>
            </w:r>
            <w:proofErr w:type="spellEnd"/>
            <w:r w:rsidRPr="006129F5">
              <w:rPr>
                <w:lang w:eastAsia="en-SE"/>
              </w:rPr>
              <w:t>/total)</w:t>
            </w:r>
          </w:p>
        </w:tc>
        <w:tc>
          <w:tcPr>
            <w:tcW w:w="1834" w:type="dxa"/>
            <w:tcBorders>
              <w:top w:val="nil"/>
            </w:tcBorders>
            <w:vAlign w:val="center"/>
            <w:hideMark/>
          </w:tcPr>
          <w:p w14:paraId="3BC70B25" w14:textId="3D8D0FE6" w:rsidR="005B73B5" w:rsidRPr="006129F5" w:rsidRDefault="005B73B5" w:rsidP="000C6D9F">
            <w:pPr>
              <w:pStyle w:val="NoSpacing"/>
              <w:rPr>
                <w:lang w:eastAsia="en-SE"/>
              </w:rPr>
            </w:pPr>
            <w:r w:rsidRPr="006129F5">
              <w:rPr>
                <w:lang w:eastAsia="en-SE"/>
              </w:rPr>
              <w:t>TV (</w:t>
            </w:r>
            <w:proofErr w:type="spellStart"/>
            <w:r w:rsidRPr="006129F5">
              <w:rPr>
                <w:lang w:eastAsia="en-SE"/>
              </w:rPr>
              <w:t>mets</w:t>
            </w:r>
            <w:proofErr w:type="spellEnd"/>
            <w:r w:rsidRPr="006129F5">
              <w:rPr>
                <w:lang w:eastAsia="en-SE"/>
              </w:rPr>
              <w:t>/total)</w:t>
            </w:r>
          </w:p>
        </w:tc>
        <w:tc>
          <w:tcPr>
            <w:tcW w:w="1563" w:type="dxa"/>
            <w:tcBorders>
              <w:top w:val="nil"/>
            </w:tcBorders>
            <w:vAlign w:val="center"/>
          </w:tcPr>
          <w:p w14:paraId="08EADA76" w14:textId="1C9CA2E4" w:rsidR="005B73B5" w:rsidRPr="006129F5" w:rsidRDefault="005B73B5" w:rsidP="000C6D9F">
            <w:pPr>
              <w:pStyle w:val="NoSpacing"/>
              <w:rPr>
                <w:lang w:eastAsia="en-SE"/>
              </w:rPr>
            </w:pPr>
            <w:proofErr w:type="gramStart"/>
            <w:r w:rsidRPr="006129F5">
              <w:rPr>
                <w:lang w:eastAsia="en-SE"/>
              </w:rPr>
              <w:t>Mets</w:t>
            </w:r>
            <w:proofErr w:type="gramEnd"/>
            <w:r w:rsidRPr="006129F5">
              <w:rPr>
                <w:lang w:eastAsia="en-SE"/>
              </w:rPr>
              <w:t xml:space="preserve"> location</w:t>
            </w:r>
          </w:p>
        </w:tc>
        <w:tc>
          <w:tcPr>
            <w:tcW w:w="1720" w:type="dxa"/>
            <w:tcBorders>
              <w:top w:val="nil"/>
              <w:right w:val="nil"/>
            </w:tcBorders>
            <w:vAlign w:val="center"/>
            <w:hideMark/>
          </w:tcPr>
          <w:p w14:paraId="5E036EFE" w14:textId="36BCED5D" w:rsidR="005B73B5" w:rsidRPr="006129F5" w:rsidRDefault="005B73B5" w:rsidP="000C6D9F">
            <w:pPr>
              <w:pStyle w:val="NoSpacing"/>
              <w:rPr>
                <w:lang w:eastAsia="en-SE"/>
              </w:rPr>
            </w:pPr>
            <w:r w:rsidRPr="006129F5">
              <w:rPr>
                <w:lang w:eastAsia="en-SE"/>
              </w:rPr>
              <w:t>Total</w:t>
            </w:r>
          </w:p>
        </w:tc>
      </w:tr>
      <w:tr w:rsidR="005B73B5" w:rsidRPr="00677D96" w14:paraId="43E81341" w14:textId="77777777" w:rsidTr="005B73B5">
        <w:trPr>
          <w:cnfStyle w:val="000000100000" w:firstRow="0" w:lastRow="0" w:firstColumn="0" w:lastColumn="0" w:oddVBand="0" w:evenVBand="0" w:oddHBand="1" w:evenHBand="0" w:firstRowFirstColumn="0" w:firstRowLastColumn="0" w:lastRowFirstColumn="0" w:lastRowLastColumn="0"/>
          <w:trHeight w:val="397"/>
        </w:trPr>
        <w:tc>
          <w:tcPr>
            <w:tcW w:w="841" w:type="dxa"/>
            <w:tcBorders>
              <w:left w:val="nil"/>
            </w:tcBorders>
            <w:vAlign w:val="center"/>
            <w:hideMark/>
          </w:tcPr>
          <w:p w14:paraId="7A9497C4" w14:textId="77777777" w:rsidR="005B73B5" w:rsidRPr="006129F5" w:rsidRDefault="005B73B5" w:rsidP="000C6D9F">
            <w:pPr>
              <w:pStyle w:val="NoSpacing"/>
              <w:rPr>
                <w:lang w:eastAsia="en-SE"/>
              </w:rPr>
            </w:pPr>
            <w:r w:rsidRPr="006129F5">
              <w:rPr>
                <w:lang w:eastAsia="en-SE"/>
              </w:rPr>
              <w:t>Uro</w:t>
            </w:r>
          </w:p>
        </w:tc>
        <w:tc>
          <w:tcPr>
            <w:tcW w:w="1846" w:type="dxa"/>
            <w:vAlign w:val="center"/>
          </w:tcPr>
          <w:p w14:paraId="66185673" w14:textId="3543F66B" w:rsidR="005B73B5" w:rsidRPr="006129F5" w:rsidRDefault="005B73B5" w:rsidP="000C6D9F">
            <w:pPr>
              <w:pStyle w:val="NoSpacing"/>
              <w:rPr>
                <w:lang w:eastAsia="en-SE"/>
              </w:rPr>
            </w:pPr>
            <w:r w:rsidRPr="006129F5">
              <w:rPr>
                <w:lang w:eastAsia="en-SE"/>
              </w:rPr>
              <w:t>Yes</w:t>
            </w:r>
          </w:p>
        </w:tc>
        <w:tc>
          <w:tcPr>
            <w:tcW w:w="1834" w:type="dxa"/>
            <w:vAlign w:val="center"/>
            <w:hideMark/>
          </w:tcPr>
          <w:p w14:paraId="318F3E01" w14:textId="30CA908E" w:rsidR="005B73B5" w:rsidRPr="006129F5" w:rsidRDefault="005B73B5" w:rsidP="000C6D9F">
            <w:pPr>
              <w:pStyle w:val="NoSpacing"/>
              <w:rPr>
                <w:lang w:eastAsia="en-SE"/>
              </w:rPr>
            </w:pPr>
            <w:r w:rsidRPr="006129F5">
              <w:rPr>
                <w:lang w:eastAsia="en-SE"/>
              </w:rPr>
              <w:t>2/8 (25%)</w:t>
            </w:r>
          </w:p>
        </w:tc>
        <w:tc>
          <w:tcPr>
            <w:tcW w:w="1834" w:type="dxa"/>
            <w:vAlign w:val="center"/>
            <w:hideMark/>
          </w:tcPr>
          <w:p w14:paraId="5F4A7352" w14:textId="77777777" w:rsidR="005B73B5" w:rsidRPr="006129F5" w:rsidRDefault="005B73B5" w:rsidP="000C6D9F">
            <w:pPr>
              <w:pStyle w:val="NoSpacing"/>
              <w:rPr>
                <w:lang w:eastAsia="en-SE"/>
              </w:rPr>
            </w:pPr>
            <w:r w:rsidRPr="006129F5">
              <w:rPr>
                <w:lang w:eastAsia="en-SE"/>
              </w:rPr>
              <w:t>3/5 (60%)</w:t>
            </w:r>
          </w:p>
        </w:tc>
        <w:tc>
          <w:tcPr>
            <w:tcW w:w="1563" w:type="dxa"/>
            <w:vAlign w:val="center"/>
          </w:tcPr>
          <w:p w14:paraId="00F5866C" w14:textId="776157FC" w:rsidR="005B73B5" w:rsidRPr="006129F5" w:rsidRDefault="005B73B5" w:rsidP="000C6D9F">
            <w:pPr>
              <w:pStyle w:val="NoSpacing"/>
              <w:rPr>
                <w:lang w:eastAsia="en-SE"/>
              </w:rPr>
            </w:pPr>
            <w:r w:rsidRPr="006129F5">
              <w:rPr>
                <w:lang w:eastAsia="en-SE"/>
              </w:rPr>
              <w:t xml:space="preserve">Lg, </w:t>
            </w:r>
            <w:proofErr w:type="spellStart"/>
            <w:r w:rsidRPr="006129F5">
              <w:rPr>
                <w:lang w:eastAsia="en-SE"/>
              </w:rPr>
              <w:t>Panc</w:t>
            </w:r>
            <w:proofErr w:type="spellEnd"/>
            <w:r w:rsidRPr="006129F5">
              <w:rPr>
                <w:lang w:eastAsia="en-SE"/>
              </w:rPr>
              <w:t>, SR</w:t>
            </w:r>
          </w:p>
        </w:tc>
        <w:tc>
          <w:tcPr>
            <w:tcW w:w="1720" w:type="dxa"/>
            <w:tcBorders>
              <w:right w:val="nil"/>
            </w:tcBorders>
            <w:vAlign w:val="center"/>
            <w:hideMark/>
          </w:tcPr>
          <w:p w14:paraId="4636EB27" w14:textId="34CB93E5" w:rsidR="005B73B5" w:rsidRPr="006129F5" w:rsidRDefault="005B73B5" w:rsidP="000C6D9F">
            <w:pPr>
              <w:pStyle w:val="NoSpacing"/>
              <w:rPr>
                <w:lang w:eastAsia="en-SE"/>
              </w:rPr>
            </w:pPr>
            <w:r w:rsidRPr="006129F5">
              <w:rPr>
                <w:lang w:eastAsia="en-SE"/>
              </w:rPr>
              <w:t>5/13 (38%)</w:t>
            </w:r>
          </w:p>
        </w:tc>
      </w:tr>
      <w:tr w:rsidR="005B73B5" w:rsidRPr="00677D96" w14:paraId="35090320" w14:textId="77777777" w:rsidTr="005B73B5">
        <w:trPr>
          <w:trHeight w:val="397"/>
        </w:trPr>
        <w:tc>
          <w:tcPr>
            <w:tcW w:w="841" w:type="dxa"/>
            <w:tcBorders>
              <w:left w:val="nil"/>
            </w:tcBorders>
            <w:vAlign w:val="center"/>
            <w:hideMark/>
          </w:tcPr>
          <w:p w14:paraId="39378785" w14:textId="77777777" w:rsidR="005B73B5" w:rsidRPr="006129F5" w:rsidRDefault="005B73B5" w:rsidP="000C6D9F">
            <w:pPr>
              <w:pStyle w:val="NoSpacing"/>
              <w:rPr>
                <w:lang w:eastAsia="en-SE"/>
              </w:rPr>
            </w:pPr>
            <w:r w:rsidRPr="006129F5">
              <w:rPr>
                <w:lang w:eastAsia="en-SE"/>
              </w:rPr>
              <w:t>GU.1</w:t>
            </w:r>
          </w:p>
        </w:tc>
        <w:tc>
          <w:tcPr>
            <w:tcW w:w="1846" w:type="dxa"/>
            <w:vAlign w:val="center"/>
          </w:tcPr>
          <w:p w14:paraId="39112BD1" w14:textId="3684113E" w:rsidR="005B73B5" w:rsidRPr="006129F5" w:rsidRDefault="005B73B5" w:rsidP="000C6D9F">
            <w:pPr>
              <w:pStyle w:val="NoSpacing"/>
              <w:rPr>
                <w:lang w:eastAsia="en-SE"/>
              </w:rPr>
            </w:pPr>
            <w:r w:rsidRPr="006129F5">
              <w:rPr>
                <w:lang w:eastAsia="en-SE"/>
              </w:rPr>
              <w:t>Yes</w:t>
            </w:r>
          </w:p>
        </w:tc>
        <w:tc>
          <w:tcPr>
            <w:tcW w:w="1834" w:type="dxa"/>
            <w:vAlign w:val="center"/>
            <w:hideMark/>
          </w:tcPr>
          <w:p w14:paraId="2256CA2B" w14:textId="4EB962D4" w:rsidR="005B73B5" w:rsidRPr="006129F5" w:rsidRDefault="005B73B5" w:rsidP="000C6D9F">
            <w:pPr>
              <w:pStyle w:val="NoSpacing"/>
              <w:rPr>
                <w:lang w:eastAsia="en-SE"/>
              </w:rPr>
            </w:pPr>
            <w:r w:rsidRPr="006129F5">
              <w:rPr>
                <w:lang w:eastAsia="en-SE"/>
              </w:rPr>
              <w:t>3/8 (38%)</w:t>
            </w:r>
          </w:p>
        </w:tc>
        <w:tc>
          <w:tcPr>
            <w:tcW w:w="1834" w:type="dxa"/>
            <w:vAlign w:val="center"/>
            <w:hideMark/>
          </w:tcPr>
          <w:p w14:paraId="769686B8" w14:textId="77777777" w:rsidR="005B73B5" w:rsidRPr="006129F5" w:rsidRDefault="005B73B5" w:rsidP="000C6D9F">
            <w:pPr>
              <w:pStyle w:val="NoSpacing"/>
              <w:rPr>
                <w:lang w:eastAsia="en-SE"/>
              </w:rPr>
            </w:pPr>
            <w:r w:rsidRPr="006129F5">
              <w:rPr>
                <w:lang w:eastAsia="en-SE"/>
              </w:rPr>
              <w:t>1/6 (16%)</w:t>
            </w:r>
          </w:p>
        </w:tc>
        <w:tc>
          <w:tcPr>
            <w:tcW w:w="1563" w:type="dxa"/>
            <w:vAlign w:val="center"/>
          </w:tcPr>
          <w:p w14:paraId="3ACA001B" w14:textId="0BC0C2A6" w:rsidR="007E4722" w:rsidRPr="006129F5" w:rsidRDefault="005B73B5" w:rsidP="000C6D9F">
            <w:pPr>
              <w:pStyle w:val="NoSpacing"/>
              <w:rPr>
                <w:lang w:eastAsia="en-SE"/>
              </w:rPr>
            </w:pPr>
            <w:r w:rsidRPr="006129F5">
              <w:rPr>
                <w:lang w:eastAsia="en-SE"/>
              </w:rPr>
              <w:t>Lg</w:t>
            </w:r>
            <w:r w:rsidR="007E4722">
              <w:rPr>
                <w:lang w:eastAsia="en-SE"/>
              </w:rPr>
              <w:t xml:space="preserve">, </w:t>
            </w:r>
            <w:proofErr w:type="spellStart"/>
            <w:r w:rsidR="007E4722">
              <w:rPr>
                <w:lang w:eastAsia="en-SE"/>
              </w:rPr>
              <w:t>Lv</w:t>
            </w:r>
            <w:proofErr w:type="spellEnd"/>
            <w:r w:rsidR="007E4722">
              <w:rPr>
                <w:lang w:eastAsia="en-SE"/>
              </w:rPr>
              <w:t>, SR, OV</w:t>
            </w:r>
          </w:p>
        </w:tc>
        <w:tc>
          <w:tcPr>
            <w:tcW w:w="1720" w:type="dxa"/>
            <w:tcBorders>
              <w:right w:val="nil"/>
            </w:tcBorders>
            <w:vAlign w:val="center"/>
            <w:hideMark/>
          </w:tcPr>
          <w:p w14:paraId="07BB3C67" w14:textId="6632829F" w:rsidR="005B73B5" w:rsidRPr="006129F5" w:rsidRDefault="005B73B5" w:rsidP="000C6D9F">
            <w:pPr>
              <w:pStyle w:val="NoSpacing"/>
              <w:rPr>
                <w:lang w:eastAsia="en-SE"/>
              </w:rPr>
            </w:pPr>
            <w:r w:rsidRPr="006129F5">
              <w:rPr>
                <w:lang w:eastAsia="en-SE"/>
              </w:rPr>
              <w:t>4/14 (29%)</w:t>
            </w:r>
          </w:p>
        </w:tc>
      </w:tr>
      <w:tr w:rsidR="005B73B5" w:rsidRPr="00677D96" w14:paraId="6691DBD2" w14:textId="77777777" w:rsidTr="005B73B5">
        <w:trPr>
          <w:cnfStyle w:val="000000100000" w:firstRow="0" w:lastRow="0" w:firstColumn="0" w:lastColumn="0" w:oddVBand="0" w:evenVBand="0" w:oddHBand="1" w:evenHBand="0" w:firstRowFirstColumn="0" w:firstRowLastColumn="0" w:lastRowFirstColumn="0" w:lastRowLastColumn="0"/>
          <w:trHeight w:val="397"/>
        </w:trPr>
        <w:tc>
          <w:tcPr>
            <w:tcW w:w="841" w:type="dxa"/>
            <w:tcBorders>
              <w:left w:val="nil"/>
            </w:tcBorders>
            <w:vAlign w:val="center"/>
            <w:hideMark/>
          </w:tcPr>
          <w:p w14:paraId="35C9B5F2" w14:textId="77777777" w:rsidR="005B73B5" w:rsidRPr="006129F5" w:rsidRDefault="005B73B5" w:rsidP="000C6D9F">
            <w:pPr>
              <w:pStyle w:val="NoSpacing"/>
              <w:rPr>
                <w:lang w:eastAsia="en-SE"/>
              </w:rPr>
            </w:pPr>
            <w:r w:rsidRPr="006129F5">
              <w:rPr>
                <w:lang w:eastAsia="en-SE"/>
              </w:rPr>
              <w:t>GU.2</w:t>
            </w:r>
          </w:p>
        </w:tc>
        <w:tc>
          <w:tcPr>
            <w:tcW w:w="1846" w:type="dxa"/>
            <w:vAlign w:val="center"/>
          </w:tcPr>
          <w:p w14:paraId="19DCE6DA" w14:textId="1AC5319B" w:rsidR="005B73B5" w:rsidRPr="006129F5" w:rsidRDefault="005B73B5" w:rsidP="000C6D9F">
            <w:pPr>
              <w:pStyle w:val="NoSpacing"/>
              <w:rPr>
                <w:lang w:eastAsia="en-SE"/>
              </w:rPr>
            </w:pPr>
            <w:r w:rsidRPr="006129F5">
              <w:rPr>
                <w:lang w:eastAsia="en-SE"/>
              </w:rPr>
              <w:t>Yes</w:t>
            </w:r>
          </w:p>
        </w:tc>
        <w:tc>
          <w:tcPr>
            <w:tcW w:w="1834" w:type="dxa"/>
            <w:vAlign w:val="center"/>
            <w:hideMark/>
          </w:tcPr>
          <w:p w14:paraId="1655DE28" w14:textId="62CAD1BB" w:rsidR="005B73B5" w:rsidRPr="006129F5" w:rsidRDefault="005B73B5" w:rsidP="000C6D9F">
            <w:pPr>
              <w:pStyle w:val="NoSpacing"/>
              <w:rPr>
                <w:lang w:eastAsia="en-SE"/>
              </w:rPr>
            </w:pPr>
            <w:r w:rsidRPr="006129F5">
              <w:rPr>
                <w:lang w:eastAsia="en-SE"/>
              </w:rPr>
              <w:t>1/7 (14%)</w:t>
            </w:r>
          </w:p>
        </w:tc>
        <w:tc>
          <w:tcPr>
            <w:tcW w:w="1834" w:type="dxa"/>
            <w:vAlign w:val="center"/>
            <w:hideMark/>
          </w:tcPr>
          <w:p w14:paraId="773864D1" w14:textId="77777777" w:rsidR="005B73B5" w:rsidRPr="006129F5" w:rsidRDefault="005B73B5" w:rsidP="000C6D9F">
            <w:pPr>
              <w:pStyle w:val="NoSpacing"/>
              <w:rPr>
                <w:lang w:eastAsia="en-SE"/>
              </w:rPr>
            </w:pPr>
            <w:r w:rsidRPr="006129F5">
              <w:rPr>
                <w:lang w:eastAsia="en-SE"/>
              </w:rPr>
              <w:t>0/6 (0%)</w:t>
            </w:r>
          </w:p>
        </w:tc>
        <w:tc>
          <w:tcPr>
            <w:tcW w:w="1563" w:type="dxa"/>
            <w:vAlign w:val="center"/>
          </w:tcPr>
          <w:p w14:paraId="39E72540" w14:textId="6EFD8ECD" w:rsidR="005B73B5" w:rsidRPr="006129F5" w:rsidRDefault="005B73B5" w:rsidP="000C6D9F">
            <w:pPr>
              <w:pStyle w:val="NoSpacing"/>
              <w:rPr>
                <w:lang w:eastAsia="en-SE"/>
              </w:rPr>
            </w:pPr>
            <w:proofErr w:type="gramStart"/>
            <w:r w:rsidRPr="006129F5">
              <w:rPr>
                <w:lang w:eastAsia="en-SE"/>
              </w:rPr>
              <w:t>Lg</w:t>
            </w:r>
            <w:proofErr w:type="gramEnd"/>
            <w:r w:rsidRPr="006129F5">
              <w:rPr>
                <w:lang w:eastAsia="en-SE"/>
              </w:rPr>
              <w:t xml:space="preserve">, </w:t>
            </w:r>
            <w:proofErr w:type="spellStart"/>
            <w:r w:rsidRPr="006129F5">
              <w:rPr>
                <w:lang w:eastAsia="en-SE"/>
              </w:rPr>
              <w:t>Lv</w:t>
            </w:r>
            <w:proofErr w:type="spellEnd"/>
          </w:p>
        </w:tc>
        <w:tc>
          <w:tcPr>
            <w:tcW w:w="1720" w:type="dxa"/>
            <w:tcBorders>
              <w:right w:val="nil"/>
            </w:tcBorders>
            <w:vAlign w:val="center"/>
            <w:hideMark/>
          </w:tcPr>
          <w:p w14:paraId="4980A049" w14:textId="7272D1CA" w:rsidR="005B73B5" w:rsidRPr="006129F5" w:rsidRDefault="005B73B5" w:rsidP="000C6D9F">
            <w:pPr>
              <w:pStyle w:val="NoSpacing"/>
              <w:rPr>
                <w:lang w:eastAsia="en-SE"/>
              </w:rPr>
            </w:pPr>
            <w:r w:rsidRPr="006129F5">
              <w:rPr>
                <w:lang w:eastAsia="en-SE"/>
              </w:rPr>
              <w:t>1/13 (7%)</w:t>
            </w:r>
          </w:p>
        </w:tc>
      </w:tr>
      <w:tr w:rsidR="005B73B5" w:rsidRPr="00677D96" w14:paraId="4396C854" w14:textId="77777777" w:rsidTr="005B73B5">
        <w:trPr>
          <w:trHeight w:val="397"/>
        </w:trPr>
        <w:tc>
          <w:tcPr>
            <w:tcW w:w="841" w:type="dxa"/>
            <w:tcBorders>
              <w:left w:val="nil"/>
            </w:tcBorders>
            <w:vAlign w:val="center"/>
            <w:hideMark/>
          </w:tcPr>
          <w:p w14:paraId="04AAF630" w14:textId="77777777" w:rsidR="005B73B5" w:rsidRPr="006129F5" w:rsidRDefault="005B73B5" w:rsidP="000C6D9F">
            <w:pPr>
              <w:pStyle w:val="NoSpacing"/>
              <w:rPr>
                <w:lang w:eastAsia="en-SE"/>
              </w:rPr>
            </w:pPr>
            <w:r w:rsidRPr="006129F5">
              <w:rPr>
                <w:lang w:eastAsia="en-SE"/>
              </w:rPr>
              <w:t>BaSq.1</w:t>
            </w:r>
          </w:p>
        </w:tc>
        <w:tc>
          <w:tcPr>
            <w:tcW w:w="1846" w:type="dxa"/>
            <w:vAlign w:val="center"/>
          </w:tcPr>
          <w:p w14:paraId="34D17449" w14:textId="286E0876" w:rsidR="005B73B5" w:rsidRPr="006129F5" w:rsidRDefault="005B73B5" w:rsidP="000C6D9F">
            <w:pPr>
              <w:pStyle w:val="NoSpacing"/>
              <w:rPr>
                <w:lang w:eastAsia="en-SE"/>
              </w:rPr>
            </w:pPr>
            <w:r w:rsidRPr="006129F5">
              <w:rPr>
                <w:lang w:eastAsia="en-SE"/>
              </w:rPr>
              <w:t>No</w:t>
            </w:r>
          </w:p>
        </w:tc>
        <w:tc>
          <w:tcPr>
            <w:tcW w:w="1834" w:type="dxa"/>
            <w:vAlign w:val="center"/>
            <w:hideMark/>
          </w:tcPr>
          <w:p w14:paraId="2DB33C52" w14:textId="4A90EC99" w:rsidR="005B73B5" w:rsidRPr="006129F5" w:rsidRDefault="005B73B5" w:rsidP="000C6D9F">
            <w:pPr>
              <w:pStyle w:val="NoSpacing"/>
              <w:rPr>
                <w:lang w:eastAsia="en-SE"/>
              </w:rPr>
            </w:pPr>
            <w:r w:rsidRPr="006129F5">
              <w:rPr>
                <w:lang w:eastAsia="en-SE"/>
              </w:rPr>
              <w:t>0/4 (0%)</w:t>
            </w:r>
          </w:p>
        </w:tc>
        <w:tc>
          <w:tcPr>
            <w:tcW w:w="1834" w:type="dxa"/>
            <w:vAlign w:val="center"/>
            <w:hideMark/>
          </w:tcPr>
          <w:p w14:paraId="501DE80F" w14:textId="77777777" w:rsidR="005B73B5" w:rsidRPr="006129F5" w:rsidRDefault="005B73B5" w:rsidP="000C6D9F">
            <w:pPr>
              <w:pStyle w:val="NoSpacing"/>
              <w:rPr>
                <w:lang w:eastAsia="en-SE"/>
              </w:rPr>
            </w:pPr>
            <w:r w:rsidRPr="006129F5">
              <w:rPr>
                <w:lang w:eastAsia="en-SE"/>
              </w:rPr>
              <w:t>0/3 (0%)</w:t>
            </w:r>
          </w:p>
        </w:tc>
        <w:tc>
          <w:tcPr>
            <w:tcW w:w="1563" w:type="dxa"/>
            <w:vAlign w:val="center"/>
          </w:tcPr>
          <w:p w14:paraId="7BAB41FA" w14:textId="105C51FA" w:rsidR="005B73B5" w:rsidRPr="006129F5" w:rsidRDefault="005B73B5" w:rsidP="000C6D9F">
            <w:pPr>
              <w:pStyle w:val="NoSpacing"/>
              <w:rPr>
                <w:lang w:eastAsia="en-SE"/>
              </w:rPr>
            </w:pPr>
            <w:r w:rsidRPr="006129F5">
              <w:rPr>
                <w:lang w:eastAsia="en-SE"/>
              </w:rPr>
              <w:t>-</w:t>
            </w:r>
          </w:p>
        </w:tc>
        <w:tc>
          <w:tcPr>
            <w:tcW w:w="1720" w:type="dxa"/>
            <w:tcBorders>
              <w:right w:val="nil"/>
            </w:tcBorders>
            <w:vAlign w:val="center"/>
            <w:hideMark/>
          </w:tcPr>
          <w:p w14:paraId="265C7239" w14:textId="738CCD42" w:rsidR="005B73B5" w:rsidRPr="006129F5" w:rsidRDefault="005B73B5" w:rsidP="000C6D9F">
            <w:pPr>
              <w:pStyle w:val="NoSpacing"/>
              <w:rPr>
                <w:lang w:eastAsia="en-SE"/>
              </w:rPr>
            </w:pPr>
            <w:r w:rsidRPr="006129F5">
              <w:rPr>
                <w:lang w:eastAsia="en-SE"/>
              </w:rPr>
              <w:t>0/7 (0%)</w:t>
            </w:r>
          </w:p>
        </w:tc>
      </w:tr>
      <w:tr w:rsidR="005B73B5" w:rsidRPr="00677D96" w14:paraId="25A84B62" w14:textId="77777777" w:rsidTr="005B73B5">
        <w:trPr>
          <w:cnfStyle w:val="000000100000" w:firstRow="0" w:lastRow="0" w:firstColumn="0" w:lastColumn="0" w:oddVBand="0" w:evenVBand="0" w:oddHBand="1" w:evenHBand="0" w:firstRowFirstColumn="0" w:firstRowLastColumn="0" w:lastRowFirstColumn="0" w:lastRowLastColumn="0"/>
          <w:trHeight w:val="397"/>
        </w:trPr>
        <w:tc>
          <w:tcPr>
            <w:tcW w:w="841" w:type="dxa"/>
            <w:tcBorders>
              <w:left w:val="nil"/>
            </w:tcBorders>
            <w:vAlign w:val="center"/>
            <w:hideMark/>
          </w:tcPr>
          <w:p w14:paraId="0A900D45" w14:textId="77777777" w:rsidR="005B73B5" w:rsidRPr="006129F5" w:rsidRDefault="005B73B5" w:rsidP="000C6D9F">
            <w:pPr>
              <w:pStyle w:val="NoSpacing"/>
              <w:rPr>
                <w:lang w:eastAsia="en-SE"/>
              </w:rPr>
            </w:pPr>
            <w:r w:rsidRPr="006129F5">
              <w:rPr>
                <w:lang w:eastAsia="en-SE"/>
              </w:rPr>
              <w:t>BaSq.2</w:t>
            </w:r>
          </w:p>
        </w:tc>
        <w:tc>
          <w:tcPr>
            <w:tcW w:w="1846" w:type="dxa"/>
            <w:vAlign w:val="center"/>
          </w:tcPr>
          <w:p w14:paraId="225FEAC2" w14:textId="57210E41" w:rsidR="005B73B5" w:rsidRPr="006129F5" w:rsidRDefault="005B73B5" w:rsidP="000C6D9F">
            <w:pPr>
              <w:pStyle w:val="NoSpacing"/>
              <w:rPr>
                <w:lang w:eastAsia="en-SE"/>
              </w:rPr>
            </w:pPr>
            <w:r w:rsidRPr="006129F5">
              <w:rPr>
                <w:lang w:eastAsia="en-SE"/>
              </w:rPr>
              <w:t>Yes</w:t>
            </w:r>
          </w:p>
        </w:tc>
        <w:tc>
          <w:tcPr>
            <w:tcW w:w="1834" w:type="dxa"/>
            <w:vAlign w:val="center"/>
            <w:hideMark/>
          </w:tcPr>
          <w:p w14:paraId="5359BFDF" w14:textId="6266F207" w:rsidR="005B73B5" w:rsidRPr="006129F5" w:rsidRDefault="005B73B5" w:rsidP="000C6D9F">
            <w:pPr>
              <w:pStyle w:val="NoSpacing"/>
              <w:rPr>
                <w:lang w:eastAsia="en-SE"/>
              </w:rPr>
            </w:pPr>
            <w:r w:rsidRPr="006129F5">
              <w:rPr>
                <w:lang w:eastAsia="en-SE"/>
              </w:rPr>
              <w:t>6/6 (100%)</w:t>
            </w:r>
          </w:p>
        </w:tc>
        <w:tc>
          <w:tcPr>
            <w:tcW w:w="1834" w:type="dxa"/>
            <w:vAlign w:val="center"/>
            <w:hideMark/>
          </w:tcPr>
          <w:p w14:paraId="3522A382" w14:textId="77777777" w:rsidR="005B73B5" w:rsidRPr="006129F5" w:rsidRDefault="005B73B5" w:rsidP="000C6D9F">
            <w:pPr>
              <w:pStyle w:val="NoSpacing"/>
              <w:rPr>
                <w:lang w:eastAsia="en-SE"/>
              </w:rPr>
            </w:pPr>
            <w:r w:rsidRPr="006129F5">
              <w:rPr>
                <w:lang w:eastAsia="en-SE"/>
              </w:rPr>
              <w:t>4/4 (100%)</w:t>
            </w:r>
          </w:p>
        </w:tc>
        <w:tc>
          <w:tcPr>
            <w:tcW w:w="1563" w:type="dxa"/>
            <w:vAlign w:val="center"/>
          </w:tcPr>
          <w:p w14:paraId="00A585C2" w14:textId="73CF9A33" w:rsidR="005B73B5" w:rsidRPr="006129F5" w:rsidRDefault="005B73B5" w:rsidP="000C6D9F">
            <w:pPr>
              <w:pStyle w:val="NoSpacing"/>
              <w:rPr>
                <w:lang w:eastAsia="en-SE"/>
              </w:rPr>
            </w:pPr>
            <w:r w:rsidRPr="006129F5">
              <w:rPr>
                <w:lang w:eastAsia="en-SE"/>
              </w:rPr>
              <w:t>Lg, SR</w:t>
            </w:r>
          </w:p>
        </w:tc>
        <w:tc>
          <w:tcPr>
            <w:tcW w:w="1720" w:type="dxa"/>
            <w:tcBorders>
              <w:right w:val="nil"/>
            </w:tcBorders>
            <w:vAlign w:val="center"/>
            <w:hideMark/>
          </w:tcPr>
          <w:p w14:paraId="0CE76F5F" w14:textId="740F0E53" w:rsidR="005B73B5" w:rsidRPr="006129F5" w:rsidRDefault="005B73B5" w:rsidP="000C6D9F">
            <w:pPr>
              <w:pStyle w:val="NoSpacing"/>
              <w:rPr>
                <w:lang w:eastAsia="en-SE"/>
              </w:rPr>
            </w:pPr>
            <w:r w:rsidRPr="006129F5">
              <w:rPr>
                <w:lang w:eastAsia="en-SE"/>
              </w:rPr>
              <w:t>10/10 (100%)</w:t>
            </w:r>
          </w:p>
        </w:tc>
      </w:tr>
      <w:tr w:rsidR="005B73B5" w:rsidRPr="00677D96" w14:paraId="3D070AC0" w14:textId="77777777" w:rsidTr="005B73B5">
        <w:trPr>
          <w:trHeight w:val="397"/>
        </w:trPr>
        <w:tc>
          <w:tcPr>
            <w:tcW w:w="841" w:type="dxa"/>
            <w:tcBorders>
              <w:left w:val="nil"/>
              <w:bottom w:val="single" w:sz="4" w:space="0" w:color="999999" w:themeColor="text1" w:themeTint="66"/>
            </w:tcBorders>
            <w:vAlign w:val="center"/>
            <w:hideMark/>
          </w:tcPr>
          <w:p w14:paraId="4460A719" w14:textId="77777777" w:rsidR="005B73B5" w:rsidRPr="006129F5" w:rsidRDefault="005B73B5" w:rsidP="000C6D9F">
            <w:pPr>
              <w:pStyle w:val="NoSpacing"/>
              <w:rPr>
                <w:lang w:eastAsia="en-SE"/>
              </w:rPr>
            </w:pPr>
            <w:r w:rsidRPr="006129F5">
              <w:rPr>
                <w:lang w:eastAsia="en-SE"/>
              </w:rPr>
              <w:t>BaSq.3</w:t>
            </w:r>
          </w:p>
        </w:tc>
        <w:tc>
          <w:tcPr>
            <w:tcW w:w="1846" w:type="dxa"/>
            <w:tcBorders>
              <w:bottom w:val="single" w:sz="4" w:space="0" w:color="999999" w:themeColor="text1" w:themeTint="66"/>
            </w:tcBorders>
            <w:vAlign w:val="center"/>
          </w:tcPr>
          <w:p w14:paraId="13D71D56" w14:textId="1C06EC87" w:rsidR="005B73B5" w:rsidRPr="006129F5" w:rsidRDefault="005B73B5" w:rsidP="000C6D9F">
            <w:pPr>
              <w:pStyle w:val="NoSpacing"/>
              <w:rPr>
                <w:lang w:eastAsia="en-SE"/>
              </w:rPr>
            </w:pPr>
            <w:r w:rsidRPr="006129F5">
              <w:rPr>
                <w:lang w:eastAsia="en-SE"/>
              </w:rPr>
              <w:t>Yes</w:t>
            </w:r>
          </w:p>
        </w:tc>
        <w:tc>
          <w:tcPr>
            <w:tcW w:w="1834" w:type="dxa"/>
            <w:tcBorders>
              <w:bottom w:val="single" w:sz="4" w:space="0" w:color="999999" w:themeColor="text1" w:themeTint="66"/>
            </w:tcBorders>
            <w:vAlign w:val="center"/>
            <w:hideMark/>
          </w:tcPr>
          <w:p w14:paraId="4AF74246" w14:textId="54BDE3C0" w:rsidR="005B73B5" w:rsidRPr="006129F5" w:rsidRDefault="005B73B5" w:rsidP="000C6D9F">
            <w:pPr>
              <w:pStyle w:val="NoSpacing"/>
              <w:rPr>
                <w:lang w:eastAsia="en-SE"/>
              </w:rPr>
            </w:pPr>
            <w:r w:rsidRPr="006129F5">
              <w:rPr>
                <w:lang w:eastAsia="en-SE"/>
              </w:rPr>
              <w:t>1/6 (16%)</w:t>
            </w:r>
          </w:p>
        </w:tc>
        <w:tc>
          <w:tcPr>
            <w:tcW w:w="1834" w:type="dxa"/>
            <w:tcBorders>
              <w:bottom w:val="single" w:sz="4" w:space="0" w:color="999999" w:themeColor="text1" w:themeTint="66"/>
            </w:tcBorders>
            <w:vAlign w:val="center"/>
            <w:hideMark/>
          </w:tcPr>
          <w:p w14:paraId="0AB64941" w14:textId="77777777" w:rsidR="005B73B5" w:rsidRPr="006129F5" w:rsidRDefault="005B73B5" w:rsidP="000C6D9F">
            <w:pPr>
              <w:pStyle w:val="NoSpacing"/>
              <w:rPr>
                <w:lang w:eastAsia="en-SE"/>
              </w:rPr>
            </w:pPr>
            <w:r w:rsidRPr="006129F5">
              <w:rPr>
                <w:lang w:eastAsia="en-SE"/>
              </w:rPr>
              <w:t>0/2 (0%)</w:t>
            </w:r>
          </w:p>
        </w:tc>
        <w:tc>
          <w:tcPr>
            <w:tcW w:w="1563" w:type="dxa"/>
            <w:tcBorders>
              <w:bottom w:val="single" w:sz="4" w:space="0" w:color="999999" w:themeColor="text1" w:themeTint="66"/>
            </w:tcBorders>
            <w:vAlign w:val="center"/>
          </w:tcPr>
          <w:p w14:paraId="1EB0CA12" w14:textId="61DB496E" w:rsidR="005B73B5" w:rsidRPr="006129F5" w:rsidRDefault="005B73B5" w:rsidP="000C6D9F">
            <w:pPr>
              <w:pStyle w:val="NoSpacing"/>
              <w:rPr>
                <w:lang w:eastAsia="en-SE"/>
              </w:rPr>
            </w:pPr>
            <w:r w:rsidRPr="006129F5">
              <w:rPr>
                <w:lang w:eastAsia="en-SE"/>
              </w:rPr>
              <w:t>Lg</w:t>
            </w:r>
          </w:p>
        </w:tc>
        <w:tc>
          <w:tcPr>
            <w:tcW w:w="1720" w:type="dxa"/>
            <w:tcBorders>
              <w:bottom w:val="single" w:sz="4" w:space="0" w:color="999999" w:themeColor="text1" w:themeTint="66"/>
              <w:right w:val="nil"/>
            </w:tcBorders>
            <w:vAlign w:val="center"/>
            <w:hideMark/>
          </w:tcPr>
          <w:p w14:paraId="0E250394" w14:textId="690923D6" w:rsidR="005B73B5" w:rsidRPr="006129F5" w:rsidRDefault="005B73B5" w:rsidP="000C6D9F">
            <w:pPr>
              <w:pStyle w:val="NoSpacing"/>
              <w:rPr>
                <w:lang w:eastAsia="en-SE"/>
              </w:rPr>
            </w:pPr>
            <w:r w:rsidRPr="006129F5">
              <w:rPr>
                <w:lang w:eastAsia="en-SE"/>
              </w:rPr>
              <w:t>1/8 (12%)</w:t>
            </w:r>
          </w:p>
        </w:tc>
      </w:tr>
      <w:tr w:rsidR="005B73B5" w:rsidRPr="00677D96" w14:paraId="4DEBDC4B" w14:textId="77777777" w:rsidTr="005B73B5">
        <w:trPr>
          <w:cnfStyle w:val="000000100000" w:firstRow="0" w:lastRow="0" w:firstColumn="0" w:lastColumn="0" w:oddVBand="0" w:evenVBand="0" w:oddHBand="1" w:evenHBand="0" w:firstRowFirstColumn="0" w:firstRowLastColumn="0" w:lastRowFirstColumn="0" w:lastRowLastColumn="0"/>
          <w:trHeight w:val="397"/>
        </w:trPr>
        <w:tc>
          <w:tcPr>
            <w:tcW w:w="841" w:type="dxa"/>
            <w:tcBorders>
              <w:left w:val="nil"/>
              <w:bottom w:val="single" w:sz="4" w:space="0" w:color="auto"/>
            </w:tcBorders>
            <w:vAlign w:val="center"/>
            <w:hideMark/>
          </w:tcPr>
          <w:p w14:paraId="52343440" w14:textId="77777777" w:rsidR="005B73B5" w:rsidRPr="006129F5" w:rsidRDefault="005B73B5" w:rsidP="000C6D9F">
            <w:pPr>
              <w:pStyle w:val="NoSpacing"/>
              <w:rPr>
                <w:lang w:eastAsia="en-SE"/>
              </w:rPr>
            </w:pPr>
            <w:r w:rsidRPr="006129F5">
              <w:rPr>
                <w:lang w:eastAsia="en-SE"/>
              </w:rPr>
              <w:t>BaSq.4</w:t>
            </w:r>
          </w:p>
        </w:tc>
        <w:tc>
          <w:tcPr>
            <w:tcW w:w="1846" w:type="dxa"/>
            <w:tcBorders>
              <w:bottom w:val="single" w:sz="4" w:space="0" w:color="auto"/>
            </w:tcBorders>
            <w:vAlign w:val="center"/>
          </w:tcPr>
          <w:p w14:paraId="47CCFE98" w14:textId="0C725258" w:rsidR="005B73B5" w:rsidRPr="006129F5" w:rsidRDefault="005B73B5" w:rsidP="000C6D9F">
            <w:pPr>
              <w:pStyle w:val="NoSpacing"/>
              <w:rPr>
                <w:lang w:eastAsia="en-SE"/>
              </w:rPr>
            </w:pPr>
            <w:r w:rsidRPr="006129F5">
              <w:rPr>
                <w:lang w:eastAsia="en-SE"/>
              </w:rPr>
              <w:t>No</w:t>
            </w:r>
          </w:p>
        </w:tc>
        <w:tc>
          <w:tcPr>
            <w:tcW w:w="1834" w:type="dxa"/>
            <w:tcBorders>
              <w:bottom w:val="single" w:sz="4" w:space="0" w:color="auto"/>
            </w:tcBorders>
            <w:vAlign w:val="center"/>
            <w:hideMark/>
          </w:tcPr>
          <w:p w14:paraId="37C5668C" w14:textId="3E8D24E3" w:rsidR="005B73B5" w:rsidRPr="006129F5" w:rsidRDefault="005B73B5" w:rsidP="000C6D9F">
            <w:pPr>
              <w:pStyle w:val="NoSpacing"/>
              <w:rPr>
                <w:lang w:eastAsia="en-SE"/>
              </w:rPr>
            </w:pPr>
            <w:r w:rsidRPr="006129F5">
              <w:rPr>
                <w:lang w:eastAsia="en-SE"/>
              </w:rPr>
              <w:t>0/9 (0%)</w:t>
            </w:r>
          </w:p>
        </w:tc>
        <w:tc>
          <w:tcPr>
            <w:tcW w:w="1834" w:type="dxa"/>
            <w:tcBorders>
              <w:bottom w:val="single" w:sz="4" w:space="0" w:color="auto"/>
            </w:tcBorders>
            <w:vAlign w:val="center"/>
            <w:hideMark/>
          </w:tcPr>
          <w:p w14:paraId="2AFBE6E5" w14:textId="77777777" w:rsidR="005B73B5" w:rsidRPr="006129F5" w:rsidRDefault="005B73B5" w:rsidP="000C6D9F">
            <w:pPr>
              <w:pStyle w:val="NoSpacing"/>
              <w:rPr>
                <w:lang w:eastAsia="en-SE"/>
              </w:rPr>
            </w:pPr>
            <w:r w:rsidRPr="006129F5">
              <w:rPr>
                <w:lang w:eastAsia="en-SE"/>
              </w:rPr>
              <w:t>0/4 (0%)</w:t>
            </w:r>
          </w:p>
        </w:tc>
        <w:tc>
          <w:tcPr>
            <w:tcW w:w="1563" w:type="dxa"/>
            <w:tcBorders>
              <w:bottom w:val="single" w:sz="4" w:space="0" w:color="auto"/>
            </w:tcBorders>
            <w:vAlign w:val="center"/>
          </w:tcPr>
          <w:p w14:paraId="1162FD75" w14:textId="349CDC86" w:rsidR="005B73B5" w:rsidRPr="006129F5" w:rsidRDefault="005B73B5" w:rsidP="000C6D9F">
            <w:pPr>
              <w:pStyle w:val="NoSpacing"/>
              <w:rPr>
                <w:lang w:eastAsia="en-SE"/>
              </w:rPr>
            </w:pPr>
            <w:r w:rsidRPr="006129F5">
              <w:rPr>
                <w:lang w:eastAsia="en-SE"/>
              </w:rPr>
              <w:t>-</w:t>
            </w:r>
          </w:p>
        </w:tc>
        <w:tc>
          <w:tcPr>
            <w:tcW w:w="1720" w:type="dxa"/>
            <w:tcBorders>
              <w:bottom w:val="single" w:sz="4" w:space="0" w:color="auto"/>
              <w:right w:val="nil"/>
            </w:tcBorders>
            <w:vAlign w:val="center"/>
            <w:hideMark/>
          </w:tcPr>
          <w:p w14:paraId="1CD5B776" w14:textId="7F44E71B" w:rsidR="005B73B5" w:rsidRPr="006129F5" w:rsidRDefault="005B73B5" w:rsidP="000C6D9F">
            <w:pPr>
              <w:pStyle w:val="NoSpacing"/>
              <w:rPr>
                <w:lang w:eastAsia="en-SE"/>
              </w:rPr>
            </w:pPr>
            <w:r w:rsidRPr="006129F5">
              <w:rPr>
                <w:lang w:eastAsia="en-SE"/>
              </w:rPr>
              <w:t>0/13 (0%)</w:t>
            </w:r>
          </w:p>
        </w:tc>
      </w:tr>
    </w:tbl>
    <w:p w14:paraId="13117445" w14:textId="77777777" w:rsidR="005D5F23" w:rsidRDefault="005D5F23"/>
    <w:p w14:paraId="48201BF7" w14:textId="77777777" w:rsidR="005D5F23" w:rsidRDefault="005D5F23"/>
    <w:p w14:paraId="6ECE76E2" w14:textId="1FA64134" w:rsidR="00D20038" w:rsidRPr="005B5657" w:rsidRDefault="00D20038">
      <w:r>
        <w:br w:type="page"/>
      </w:r>
    </w:p>
    <w:p w14:paraId="76019B93" w14:textId="710A72A4" w:rsidR="00E91D38" w:rsidRDefault="00F928DC" w:rsidP="00550C17">
      <w:pPr>
        <w:pStyle w:val="Heading3"/>
      </w:pPr>
      <w:r>
        <w:lastRenderedPageBreak/>
        <w:t>Supplementary Figures</w:t>
      </w:r>
    </w:p>
    <w:p w14:paraId="505A5764" w14:textId="77BDCC14" w:rsidR="000714B6" w:rsidRDefault="000714B6" w:rsidP="000714B6">
      <w:bookmarkStart w:id="1" w:name="_Hlk187837520"/>
      <w:bookmarkEnd w:id="1"/>
    </w:p>
    <w:p w14:paraId="49ACDE51" w14:textId="170B1DBB" w:rsidR="000714B6" w:rsidRDefault="00851EF0" w:rsidP="000714B6">
      <w:r>
        <w:rPr>
          <w:noProof/>
        </w:rPr>
        <w:drawing>
          <wp:inline distT="0" distB="0" distL="0" distR="0" wp14:anchorId="053A447D" wp14:editId="67335CF3">
            <wp:extent cx="6120130" cy="5435600"/>
            <wp:effectExtent l="0" t="0" r="0" b="0"/>
            <wp:docPr id="716437950" name="Picture 13" descr="A diagram of a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37950" name="Picture 13" descr="A diagram of a network&#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5435600"/>
                    </a:xfrm>
                    <a:prstGeom prst="rect">
                      <a:avLst/>
                    </a:prstGeom>
                    <a:noFill/>
                    <a:ln>
                      <a:noFill/>
                    </a:ln>
                  </pic:spPr>
                </pic:pic>
              </a:graphicData>
            </a:graphic>
          </wp:inline>
        </w:drawing>
      </w:r>
    </w:p>
    <w:p w14:paraId="40C98483" w14:textId="267DF711" w:rsidR="005D5809" w:rsidRPr="005D5809" w:rsidRDefault="005D5809" w:rsidP="005D5809">
      <w:pPr>
        <w:rPr>
          <w:lang w:val="en-SE"/>
        </w:rPr>
      </w:pPr>
    </w:p>
    <w:p w14:paraId="3C0E125B" w14:textId="61090FED" w:rsidR="00851EF0" w:rsidRDefault="00851EF0" w:rsidP="00851EF0">
      <w:r w:rsidRPr="009B4D9F">
        <w:rPr>
          <w:b/>
          <w:bCs/>
        </w:rPr>
        <w:t>Supplementary figure 1</w:t>
      </w:r>
      <w:r>
        <w:rPr>
          <w:b/>
          <w:bCs/>
        </w:rPr>
        <w:t>A</w:t>
      </w:r>
      <w:r w:rsidRPr="009B4D9F">
        <w:rPr>
          <w:b/>
          <w:bCs/>
        </w:rPr>
        <w:t>.</w:t>
      </w:r>
      <w:r>
        <w:rPr>
          <w:b/>
          <w:bCs/>
        </w:rPr>
        <w:t xml:space="preserve"> </w:t>
      </w:r>
      <w:r w:rsidRPr="00CE7B9F">
        <w:t>Diagrams</w:t>
      </w:r>
      <w:r>
        <w:t xml:space="preserve"> of the Uro and GU models</w:t>
      </w:r>
      <w:r w:rsidRPr="00CE7B9F">
        <w:t xml:space="preserve"> showing the relationship between samples during propagation and growth under different environments.</w:t>
      </w:r>
      <w:r>
        <w:t xml:space="preserve"> Blue shaded squares represent samples processed for DNA and RNA analysis. Color-coded boxes indicate samples inoculated in fat pad (green), under kidney capsule (orange) and injected into blood stream (pink), and subcutaneous tumors (black). All successful tumors were processed for immunohistochemistry analysis.</w:t>
      </w:r>
    </w:p>
    <w:p w14:paraId="43AC95A0" w14:textId="4C8EC203" w:rsidR="000714B6" w:rsidRDefault="000714B6" w:rsidP="000714B6"/>
    <w:p w14:paraId="5679681B" w14:textId="3FDF4EB7" w:rsidR="007B3619" w:rsidRDefault="007B3619" w:rsidP="000714B6"/>
    <w:p w14:paraId="4FCDE41E" w14:textId="77777777" w:rsidR="00851EF0" w:rsidRDefault="00851EF0" w:rsidP="000714B6"/>
    <w:p w14:paraId="4CCF3A4F" w14:textId="77777777" w:rsidR="00851EF0" w:rsidRDefault="00851EF0" w:rsidP="000714B6"/>
    <w:p w14:paraId="3215DEE8" w14:textId="77777777" w:rsidR="00851EF0" w:rsidRDefault="00851EF0" w:rsidP="000714B6"/>
    <w:p w14:paraId="24D80279" w14:textId="77777777" w:rsidR="00851EF0" w:rsidRDefault="00851EF0" w:rsidP="000714B6"/>
    <w:p w14:paraId="711BC34D" w14:textId="77777777" w:rsidR="00851EF0" w:rsidRDefault="00851EF0" w:rsidP="000714B6"/>
    <w:p w14:paraId="5E7138CE" w14:textId="77777777" w:rsidR="00851EF0" w:rsidRDefault="00851EF0" w:rsidP="000714B6"/>
    <w:p w14:paraId="65BA1B7E" w14:textId="77777777" w:rsidR="00851EF0" w:rsidRDefault="00851EF0" w:rsidP="000714B6"/>
    <w:p w14:paraId="1A6961F0" w14:textId="492C7C8F" w:rsidR="00851EF0" w:rsidRDefault="00851EF0" w:rsidP="000714B6">
      <w:r>
        <w:rPr>
          <w:noProof/>
        </w:rPr>
        <w:drawing>
          <wp:inline distT="0" distB="0" distL="0" distR="0" wp14:anchorId="7CB35047" wp14:editId="7E8FA17E">
            <wp:extent cx="6120130" cy="6604000"/>
            <wp:effectExtent l="0" t="0" r="0" b="6350"/>
            <wp:docPr id="11728816" name="Picture 14" descr="A diagram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816" name="Picture 14" descr="A diagram of a computer program&#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6604000"/>
                    </a:xfrm>
                    <a:prstGeom prst="rect">
                      <a:avLst/>
                    </a:prstGeom>
                    <a:noFill/>
                    <a:ln>
                      <a:noFill/>
                    </a:ln>
                  </pic:spPr>
                </pic:pic>
              </a:graphicData>
            </a:graphic>
          </wp:inline>
        </w:drawing>
      </w:r>
    </w:p>
    <w:p w14:paraId="2B940525" w14:textId="387EB9F9" w:rsidR="007B3619" w:rsidRDefault="007B3619" w:rsidP="000714B6"/>
    <w:p w14:paraId="50498DEB" w14:textId="1A5C0E46" w:rsidR="00CE7B9F" w:rsidRDefault="00CE7B9F" w:rsidP="00EF1FE0">
      <w:r w:rsidRPr="009B4D9F">
        <w:rPr>
          <w:b/>
          <w:bCs/>
        </w:rPr>
        <w:t>Supplementary figure 1</w:t>
      </w:r>
      <w:r w:rsidR="00851EF0">
        <w:rPr>
          <w:b/>
          <w:bCs/>
        </w:rPr>
        <w:t>B</w:t>
      </w:r>
      <w:r w:rsidRPr="009B4D9F">
        <w:rPr>
          <w:b/>
          <w:bCs/>
        </w:rPr>
        <w:t>.</w:t>
      </w:r>
      <w:r>
        <w:rPr>
          <w:b/>
          <w:bCs/>
        </w:rPr>
        <w:t xml:space="preserve"> </w:t>
      </w:r>
      <w:r w:rsidRPr="00CE7B9F">
        <w:t>Diagrams</w:t>
      </w:r>
      <w:r w:rsidR="00851EF0">
        <w:t xml:space="preserve"> of the </w:t>
      </w:r>
      <w:proofErr w:type="spellStart"/>
      <w:r w:rsidR="00851EF0">
        <w:t>BaSq</w:t>
      </w:r>
      <w:proofErr w:type="spellEnd"/>
      <w:r w:rsidR="00851EF0">
        <w:t xml:space="preserve"> models</w:t>
      </w:r>
      <w:r w:rsidRPr="00CE7B9F">
        <w:t xml:space="preserve"> showing the relationship between samples during propagation and growth under different environments.</w:t>
      </w:r>
      <w:r>
        <w:t xml:space="preserve"> Blue shaded squares represent samples processed for DNA and RNA analysis. Color</w:t>
      </w:r>
      <w:r w:rsidR="00EF1FE0">
        <w:t>-</w:t>
      </w:r>
      <w:r>
        <w:t>coded boxes indicate samples inoculated in fat pad (green), under kidney capsule (orange) and injected into b</w:t>
      </w:r>
      <w:r w:rsidR="00B46BC4">
        <w:t>lood stream (pink)</w:t>
      </w:r>
      <w:r w:rsidR="00EF1FE0">
        <w:t>,</w:t>
      </w:r>
      <w:r w:rsidR="00B46BC4">
        <w:t xml:space="preserve"> and subcutaneous tumors (black). All successful tumors were processed for immunohistochemistry analysis.</w:t>
      </w:r>
    </w:p>
    <w:p w14:paraId="08368E6D" w14:textId="77777777" w:rsidR="00D20038" w:rsidRDefault="00D20038" w:rsidP="000714B6"/>
    <w:p w14:paraId="647F6768" w14:textId="4A888EEA" w:rsidR="007B3619" w:rsidRDefault="007B3619" w:rsidP="000714B6"/>
    <w:p w14:paraId="658B9F3E" w14:textId="09BD88F8" w:rsidR="000714B6" w:rsidRPr="000714B6" w:rsidRDefault="000714B6" w:rsidP="000714B6"/>
    <w:p w14:paraId="36BA4E10" w14:textId="416DB644" w:rsidR="00E91D38" w:rsidRDefault="00E91D38">
      <w:pPr>
        <w:jc w:val="center"/>
      </w:pPr>
    </w:p>
    <w:p w14:paraId="013567C3" w14:textId="78DA5404" w:rsidR="003769A3" w:rsidRDefault="007B2595">
      <w:r>
        <w:br w:type="page"/>
      </w:r>
    </w:p>
    <w:p w14:paraId="1806B39D" w14:textId="334958F7" w:rsidR="005D5F23" w:rsidRDefault="00841EFC" w:rsidP="005D5F23">
      <w:pPr>
        <w:spacing w:after="160" w:line="240" w:lineRule="auto"/>
        <w:rPr>
          <w:b/>
          <w:bCs/>
        </w:rPr>
      </w:pPr>
      <w:r>
        <w:rPr>
          <w:noProof/>
        </w:rPr>
        <w:lastRenderedPageBreak/>
        <w:drawing>
          <wp:inline distT="0" distB="0" distL="0" distR="0" wp14:anchorId="3AC8F607" wp14:editId="7034BD93">
            <wp:extent cx="5513482" cy="9360000"/>
            <wp:effectExtent l="0" t="0" r="0" b="0"/>
            <wp:docPr id="315057067" name="Picture 10" descr="A collage of images of different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57067" name="Picture 10" descr="A collage of images of different shapes&#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13482" cy="9360000"/>
                    </a:xfrm>
                    <a:prstGeom prst="rect">
                      <a:avLst/>
                    </a:prstGeom>
                    <a:noFill/>
                    <a:ln>
                      <a:noFill/>
                    </a:ln>
                  </pic:spPr>
                </pic:pic>
              </a:graphicData>
            </a:graphic>
          </wp:inline>
        </w:drawing>
      </w:r>
    </w:p>
    <w:p w14:paraId="671D6E98" w14:textId="77777777" w:rsidR="00841EFC" w:rsidRDefault="00841EFC" w:rsidP="00EF1FE0">
      <w:pPr>
        <w:spacing w:after="160" w:line="240" w:lineRule="auto"/>
        <w:rPr>
          <w:b/>
          <w:bCs/>
        </w:rPr>
      </w:pPr>
    </w:p>
    <w:p w14:paraId="06234A80" w14:textId="77777777" w:rsidR="00841EFC" w:rsidRDefault="00841EFC" w:rsidP="00EF1FE0">
      <w:pPr>
        <w:spacing w:after="160" w:line="240" w:lineRule="auto"/>
        <w:rPr>
          <w:b/>
          <w:bCs/>
        </w:rPr>
      </w:pPr>
    </w:p>
    <w:p w14:paraId="6154A2E8" w14:textId="620400D9" w:rsidR="005D5F23" w:rsidRDefault="005D5F23" w:rsidP="00EF1FE0">
      <w:pPr>
        <w:spacing w:after="160" w:line="240" w:lineRule="auto"/>
      </w:pPr>
      <w:r w:rsidRPr="009B4D9F">
        <w:rPr>
          <w:b/>
          <w:bCs/>
        </w:rPr>
        <w:t xml:space="preserve">Supplementary figure </w:t>
      </w:r>
      <w:r>
        <w:rPr>
          <w:b/>
          <w:bCs/>
        </w:rPr>
        <w:t>2</w:t>
      </w:r>
      <w:r w:rsidRPr="009B4D9F">
        <w:rPr>
          <w:b/>
          <w:bCs/>
        </w:rPr>
        <w:t>.</w:t>
      </w:r>
      <w:r>
        <w:rPr>
          <w:b/>
          <w:bCs/>
        </w:rPr>
        <w:t xml:space="preserve"> </w:t>
      </w:r>
      <w:r>
        <w:t xml:space="preserve">Representative images of the histology of </w:t>
      </w:r>
      <w:r w:rsidR="00E10ED6">
        <w:t>spontaneous and induced</w:t>
      </w:r>
      <w:r>
        <w:t xml:space="preserve"> metastases</w:t>
      </w:r>
      <w:r w:rsidR="00E10ED6">
        <w:t>. For each model</w:t>
      </w:r>
      <w:r w:rsidR="00002965">
        <w:t>, the top panel shows</w:t>
      </w:r>
      <w:r w:rsidR="00E10ED6">
        <w:t xml:space="preserve"> </w:t>
      </w:r>
      <w:r w:rsidR="00002965">
        <w:t>a</w:t>
      </w:r>
      <w:r w:rsidR="00002965">
        <w:t xml:space="preserve">n overview of the effected organ in the low magnification, </w:t>
      </w:r>
      <w:proofErr w:type="gramStart"/>
      <w:r w:rsidR="00002965">
        <w:t>were</w:t>
      </w:r>
      <w:proofErr w:type="gramEnd"/>
      <w:r w:rsidR="00002965">
        <w:t xml:space="preserve"> </w:t>
      </w:r>
      <w:proofErr w:type="spellStart"/>
      <w:r w:rsidR="00002965">
        <w:t>micrometastases</w:t>
      </w:r>
      <w:proofErr w:type="spellEnd"/>
      <w:r w:rsidR="00002965">
        <w:t xml:space="preserve"> are marked with red circles or arrows.</w:t>
      </w:r>
      <w:r w:rsidR="00002965">
        <w:t xml:space="preserve"> The bottom panels show a closeup image of the image above with a 20X magnification where the scale bar indicates 100µm.</w:t>
      </w:r>
      <w:r w:rsidR="00002965">
        <w:t xml:space="preserve"> </w:t>
      </w:r>
      <w:r w:rsidR="00E10ED6">
        <w:t>Spontaneous metastases, arranged in purple rectangles, were exclusively observed in the lungs in mice after tumor growth</w:t>
      </w:r>
      <w:r>
        <w:t xml:space="preserve"> in the subcutaneous (SC), fat pad (FP) or under the kidney capsule (KD) sites</w:t>
      </w:r>
      <w:r w:rsidR="00E10ED6">
        <w:t>. Induced metastasis, arranged in green rectangles, developed</w:t>
      </w:r>
      <w:r>
        <w:t xml:space="preserve"> after intracardiac (IC) or Tail vein (TV) injection of </w:t>
      </w:r>
      <w:r w:rsidR="00E10ED6">
        <w:t>tumor</w:t>
      </w:r>
      <w:r>
        <w:t xml:space="preserve"> cells</w:t>
      </w:r>
      <w:r w:rsidR="00002965">
        <w:t xml:space="preserve">. </w:t>
      </w:r>
      <w:r w:rsidR="00E10ED6">
        <w:t xml:space="preserve">In these images we </w:t>
      </w:r>
      <w:r>
        <w:t>can appreciate differences between models that originate small/large metastatic foci, singular lesions and multiple lesions.</w:t>
      </w:r>
      <w:r w:rsidR="00E10ED6">
        <w:t xml:space="preserve"> In addition to lung metastases, images of visceral metastases are </w:t>
      </w:r>
      <w:proofErr w:type="gramStart"/>
      <w:r w:rsidR="00E10ED6">
        <w:t>show</w:t>
      </w:r>
      <w:proofErr w:type="gramEnd"/>
      <w:r w:rsidR="00E10ED6">
        <w:t xml:space="preserve"> for all induced models, except for BaSq.3 which did not generate visceral </w:t>
      </w:r>
      <w:proofErr w:type="spellStart"/>
      <w:r w:rsidR="00E10ED6">
        <w:t>mets</w:t>
      </w:r>
      <w:proofErr w:type="spellEnd"/>
      <w:r w:rsidR="00E10ED6">
        <w:t xml:space="preserve">. </w:t>
      </w:r>
      <w:r w:rsidR="000C7DE5">
        <w:t xml:space="preserve">DNA and RNA were extracted from </w:t>
      </w:r>
      <w:proofErr w:type="spellStart"/>
      <w:r w:rsidR="000C7DE5">
        <w:t>macrometastases</w:t>
      </w:r>
      <w:proofErr w:type="spellEnd"/>
      <w:r w:rsidR="000C7DE5">
        <w:t xml:space="preserve"> for downstream analysis.  </w:t>
      </w:r>
      <w:r>
        <w:t xml:space="preserve">   </w:t>
      </w:r>
    </w:p>
    <w:p w14:paraId="0110BDA1" w14:textId="2E9BCA07" w:rsidR="005D5F23" w:rsidRDefault="005D5F23">
      <w:r>
        <w:br w:type="page"/>
      </w:r>
    </w:p>
    <w:p w14:paraId="3A9F42C6" w14:textId="64E73690" w:rsidR="00E96632" w:rsidRDefault="00DD1141" w:rsidP="00EF1FE0">
      <w:r w:rsidRPr="00DD1141">
        <w:rPr>
          <w:noProof/>
          <w:lang w:val="en-SE"/>
        </w:rPr>
        <w:lastRenderedPageBreak/>
        <w:drawing>
          <wp:anchor distT="0" distB="0" distL="114300" distR="114300" simplePos="0" relativeHeight="251693056" behindDoc="0" locked="0" layoutInCell="1" allowOverlap="1" wp14:anchorId="004090E9" wp14:editId="0B88389A">
            <wp:simplePos x="0" y="0"/>
            <wp:positionH relativeFrom="column">
              <wp:posOffset>4305</wp:posOffset>
            </wp:positionH>
            <wp:positionV relativeFrom="paragraph">
              <wp:posOffset>487</wp:posOffset>
            </wp:positionV>
            <wp:extent cx="6120130" cy="5137150"/>
            <wp:effectExtent l="0" t="0" r="0" b="6350"/>
            <wp:wrapTopAndBottom/>
            <wp:docPr id="345935900" name="Picture 2" descr="A group of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35900" name="Picture 2" descr="A group of colored dots&#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5137150"/>
                    </a:xfrm>
                    <a:prstGeom prst="rect">
                      <a:avLst/>
                    </a:prstGeom>
                    <a:noFill/>
                    <a:ln>
                      <a:noFill/>
                    </a:ln>
                  </pic:spPr>
                </pic:pic>
              </a:graphicData>
            </a:graphic>
          </wp:anchor>
        </w:drawing>
      </w:r>
      <w:r w:rsidRPr="007B2595">
        <w:rPr>
          <w:b/>
          <w:bCs/>
        </w:rPr>
        <w:t xml:space="preserve">Supplementary </w:t>
      </w:r>
      <w:r w:rsidRPr="009B4D9F">
        <w:rPr>
          <w:b/>
          <w:bCs/>
        </w:rPr>
        <w:t>fig</w:t>
      </w:r>
      <w:r>
        <w:rPr>
          <w:b/>
          <w:bCs/>
        </w:rPr>
        <w:t>ure</w:t>
      </w:r>
      <w:r w:rsidRPr="007B2595">
        <w:rPr>
          <w:b/>
          <w:bCs/>
        </w:rPr>
        <w:t xml:space="preserve"> </w:t>
      </w:r>
      <w:r>
        <w:rPr>
          <w:b/>
          <w:bCs/>
        </w:rPr>
        <w:t>3</w:t>
      </w:r>
      <w:r>
        <w:t xml:space="preserve">. Clustering analysis of all samples within each model using </w:t>
      </w:r>
      <w:r w:rsidRPr="001E0185">
        <w:t>principal component analysis</w:t>
      </w:r>
      <w:r>
        <w:t xml:space="preserve"> (PCA),</w:t>
      </w:r>
      <w:r w:rsidRPr="001E0185">
        <w:t xml:space="preserve"> and t-distributed stochastic neighbor embedding (t-SNE)</w:t>
      </w:r>
      <w:r>
        <w:t xml:space="preserve"> on the top 500 most varying genes within each model. </w:t>
      </w:r>
      <w:r w:rsidR="00272F37">
        <w:t>Each dot represents a sample and is colored according to the growth location: subcutaneous (SC), fat pad (FP), under kidney capsule (KD) and metastatic locations (Mets).</w:t>
      </w:r>
    </w:p>
    <w:p w14:paraId="0D17E1C3" w14:textId="77777777" w:rsidR="0095581D" w:rsidRDefault="0095581D" w:rsidP="00EF1FE0"/>
    <w:p w14:paraId="7AEA9213" w14:textId="77777777" w:rsidR="0095581D" w:rsidRDefault="0095581D" w:rsidP="00EF1FE0"/>
    <w:p w14:paraId="69E23ED4" w14:textId="77777777" w:rsidR="0095581D" w:rsidRDefault="0095581D" w:rsidP="00EF1FE0"/>
    <w:p w14:paraId="06F4CF16" w14:textId="77777777" w:rsidR="0095581D" w:rsidRDefault="0095581D" w:rsidP="00EF1FE0"/>
    <w:p w14:paraId="7516C8A6" w14:textId="77777777" w:rsidR="0095581D" w:rsidRDefault="0095581D" w:rsidP="00EF1FE0"/>
    <w:p w14:paraId="0ED33ECE" w14:textId="77777777" w:rsidR="0095581D" w:rsidRDefault="0095581D" w:rsidP="00EF1FE0"/>
    <w:p w14:paraId="4E26109E" w14:textId="77777777" w:rsidR="0095581D" w:rsidRDefault="0095581D" w:rsidP="00EF1FE0"/>
    <w:p w14:paraId="4CA6C7D6" w14:textId="77777777" w:rsidR="0095581D" w:rsidRDefault="0095581D" w:rsidP="00EF1FE0"/>
    <w:p w14:paraId="6DD4E811" w14:textId="77777777" w:rsidR="0095581D" w:rsidRDefault="0095581D" w:rsidP="00EF1FE0"/>
    <w:p w14:paraId="3F4C5DD2" w14:textId="77777777" w:rsidR="0095581D" w:rsidRDefault="0095581D" w:rsidP="00EF1FE0"/>
    <w:p w14:paraId="0304490A" w14:textId="77777777" w:rsidR="0095581D" w:rsidRDefault="0095581D" w:rsidP="00EF1FE0"/>
    <w:p w14:paraId="079B380B" w14:textId="77777777" w:rsidR="0095581D" w:rsidRDefault="0095581D" w:rsidP="00EF1FE0"/>
    <w:p w14:paraId="69CAE03D" w14:textId="77777777" w:rsidR="0095581D" w:rsidRDefault="0095581D" w:rsidP="00EF1FE0"/>
    <w:p w14:paraId="488C2DB2" w14:textId="0F945A8C" w:rsidR="00E96632" w:rsidRDefault="0095581D">
      <w:r>
        <w:rPr>
          <w:noProof/>
        </w:rPr>
        <w:lastRenderedPageBreak/>
        <w:drawing>
          <wp:inline distT="0" distB="0" distL="0" distR="0" wp14:anchorId="4BE31B81" wp14:editId="63AEDBC5">
            <wp:extent cx="6120130" cy="7534910"/>
            <wp:effectExtent l="0" t="0" r="0" b="8890"/>
            <wp:docPr id="1554623289" name="Picture 1" descr="A chart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23289" name="Picture 1" descr="A chart of different colored bars&#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7534910"/>
                    </a:xfrm>
                    <a:prstGeom prst="rect">
                      <a:avLst/>
                    </a:prstGeom>
                    <a:noFill/>
                    <a:ln>
                      <a:noFill/>
                    </a:ln>
                  </pic:spPr>
                </pic:pic>
              </a:graphicData>
            </a:graphic>
          </wp:inline>
        </w:drawing>
      </w:r>
    </w:p>
    <w:p w14:paraId="51442F90" w14:textId="4A4A6DFB" w:rsidR="00DD1141" w:rsidRDefault="00E96632" w:rsidP="00EF1FE0">
      <w:pPr>
        <w:rPr>
          <w:noProof/>
        </w:rPr>
      </w:pPr>
      <w:r w:rsidRPr="007B2595">
        <w:rPr>
          <w:b/>
          <w:bCs/>
        </w:rPr>
        <w:t xml:space="preserve">Supplementary </w:t>
      </w:r>
      <w:r w:rsidRPr="009B4D9F">
        <w:rPr>
          <w:b/>
          <w:bCs/>
        </w:rPr>
        <w:t>fig</w:t>
      </w:r>
      <w:r>
        <w:rPr>
          <w:b/>
          <w:bCs/>
        </w:rPr>
        <w:t>ure</w:t>
      </w:r>
      <w:r w:rsidRPr="007B2595">
        <w:rPr>
          <w:b/>
          <w:bCs/>
        </w:rPr>
        <w:t xml:space="preserve"> </w:t>
      </w:r>
      <w:r>
        <w:rPr>
          <w:b/>
          <w:bCs/>
        </w:rPr>
        <w:t>4</w:t>
      </w:r>
      <w:r>
        <w:t xml:space="preserve">. </w:t>
      </w:r>
      <w:proofErr w:type="spellStart"/>
      <w:r>
        <w:t>Barplots</w:t>
      </w:r>
      <w:proofErr w:type="spellEnd"/>
      <w:r>
        <w:t xml:space="preserve"> showing the molecular subtype scores for each sample across the different models and different tumor inoculation sites: S.C.: subcutaneous, Fat Pad and under Kidney capsule. </w:t>
      </w:r>
      <w:r w:rsidR="000F0409">
        <w:t xml:space="preserve">Each panel presents a different model as indicated on the left side of the </w:t>
      </w:r>
      <w:proofErr w:type="gramStart"/>
      <w:r w:rsidR="000F0409">
        <w:t>plots</w:t>
      </w:r>
      <w:proofErr w:type="gramEnd"/>
      <w:r w:rsidR="000F0409">
        <w:t>. T</w:t>
      </w:r>
      <w:r w:rsidR="00EF5C4F">
        <w:t>he score profiles remain</w:t>
      </w:r>
      <w:r w:rsidR="000F0409">
        <w:t xml:space="preserve"> remarkabl</w:t>
      </w:r>
      <w:r w:rsidR="00EF1FE0">
        <w:t>y</w:t>
      </w:r>
      <w:r w:rsidR="000F0409">
        <w:t xml:space="preserve"> </w:t>
      </w:r>
      <w:r w:rsidR="00EF5C4F">
        <w:t>stable across the different microenvironment</w:t>
      </w:r>
      <w:r w:rsidR="000F0409">
        <w:t>s in most models</w:t>
      </w:r>
      <w:r w:rsidR="00EF1FE0">
        <w:t>,</w:t>
      </w:r>
      <w:r w:rsidR="000F0409">
        <w:t xml:space="preserve"> with minor fluctuations in some samples of the basal models.</w:t>
      </w:r>
    </w:p>
    <w:p w14:paraId="39CB26CB" w14:textId="0AD181B8" w:rsidR="00DD1141" w:rsidRDefault="00DD1141">
      <w:pPr>
        <w:rPr>
          <w:noProof/>
        </w:rPr>
      </w:pPr>
    </w:p>
    <w:p w14:paraId="19EF2858" w14:textId="77777777" w:rsidR="00A66E0F" w:rsidRDefault="00A66E0F">
      <w:pPr>
        <w:rPr>
          <w:noProof/>
        </w:rPr>
      </w:pPr>
    </w:p>
    <w:p w14:paraId="5F8B94D4" w14:textId="1B16DE45" w:rsidR="003769A3" w:rsidRDefault="003769A3">
      <w:pPr>
        <w:rPr>
          <w:noProof/>
        </w:rPr>
      </w:pPr>
    </w:p>
    <w:p w14:paraId="068FBBEA" w14:textId="05783078" w:rsidR="00E91D38" w:rsidRDefault="00A66E0F" w:rsidP="00EF5C4F">
      <w:pPr>
        <w:rPr>
          <w:noProof/>
        </w:rPr>
      </w:pPr>
      <w:r w:rsidRPr="00A66E0F">
        <w:rPr>
          <w:noProof/>
        </w:rPr>
        <w:lastRenderedPageBreak/>
        <w:t xml:space="preserve"> </w:t>
      </w:r>
      <w:r w:rsidR="00CC5C81">
        <w:rPr>
          <w:noProof/>
        </w:rPr>
        <w:drawing>
          <wp:anchor distT="0" distB="0" distL="114300" distR="114300" simplePos="0" relativeHeight="251704320" behindDoc="0" locked="0" layoutInCell="1" allowOverlap="1" wp14:anchorId="4449BA53" wp14:editId="52BBA9FE">
            <wp:simplePos x="0" y="0"/>
            <wp:positionH relativeFrom="column">
              <wp:posOffset>-2540</wp:posOffset>
            </wp:positionH>
            <wp:positionV relativeFrom="paragraph">
              <wp:posOffset>187960</wp:posOffset>
            </wp:positionV>
            <wp:extent cx="6120130" cy="2303145"/>
            <wp:effectExtent l="0" t="0" r="0" b="1905"/>
            <wp:wrapTopAndBottom/>
            <wp:docPr id="1285466764" name="Picture 9"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66764" name="Picture 9" descr="A screenshot of a graph&#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2303145"/>
                    </a:xfrm>
                    <a:prstGeom prst="rect">
                      <a:avLst/>
                    </a:prstGeom>
                    <a:noFill/>
                    <a:ln>
                      <a:noFill/>
                    </a:ln>
                  </pic:spPr>
                </pic:pic>
              </a:graphicData>
            </a:graphic>
          </wp:anchor>
        </w:drawing>
      </w:r>
    </w:p>
    <w:p w14:paraId="5328C5C4" w14:textId="12F4C1CE" w:rsidR="00E91D38" w:rsidRDefault="00F928DC" w:rsidP="00EF1FE0">
      <w:r w:rsidRPr="007B2595">
        <w:rPr>
          <w:b/>
          <w:bCs/>
        </w:rPr>
        <w:t xml:space="preserve">Supplementary </w:t>
      </w:r>
      <w:r w:rsidR="009B4D9F" w:rsidRPr="009B4D9F">
        <w:rPr>
          <w:b/>
          <w:bCs/>
        </w:rPr>
        <w:t>fig</w:t>
      </w:r>
      <w:r w:rsidR="009B4D9F">
        <w:rPr>
          <w:b/>
          <w:bCs/>
        </w:rPr>
        <w:t>ure</w:t>
      </w:r>
      <w:r w:rsidRPr="007B2595">
        <w:rPr>
          <w:b/>
          <w:bCs/>
        </w:rPr>
        <w:t xml:space="preserve"> </w:t>
      </w:r>
      <w:r w:rsidR="00354AC1">
        <w:rPr>
          <w:b/>
          <w:bCs/>
        </w:rPr>
        <w:t>5</w:t>
      </w:r>
      <w:r w:rsidRPr="007B2595">
        <w:rPr>
          <w:b/>
          <w:bCs/>
        </w:rPr>
        <w:t>.</w:t>
      </w:r>
      <w:r w:rsidR="007B2595">
        <w:t xml:space="preserve"> </w:t>
      </w:r>
      <w:proofErr w:type="spellStart"/>
      <w:r w:rsidR="007B2595">
        <w:t>Barplots</w:t>
      </w:r>
      <w:proofErr w:type="spellEnd"/>
      <w:r w:rsidR="007B2595">
        <w:t xml:space="preserve"> showing the molecular subtype scores for </w:t>
      </w:r>
      <w:r w:rsidR="00EF5C4F">
        <w:t xml:space="preserve">each </w:t>
      </w:r>
      <w:r w:rsidR="007B2595">
        <w:t xml:space="preserve">metastasis sample compared with the average score of the corresponding </w:t>
      </w:r>
      <w:r w:rsidR="00EF5C4F">
        <w:t>S.C.</w:t>
      </w:r>
      <w:r w:rsidR="007B2595">
        <w:t xml:space="preserve"> samples</w:t>
      </w:r>
      <w:r w:rsidR="00EF5C4F">
        <w:t>. Each panel presents a different model</w:t>
      </w:r>
      <w:r w:rsidR="00EF1FE0">
        <w:t>,</w:t>
      </w:r>
      <w:r w:rsidR="00EF5C4F">
        <w:t xml:space="preserve"> as indicated on the left side of the plots. </w:t>
      </w:r>
      <w:r w:rsidR="00D82EA7">
        <w:t>The score profile</w:t>
      </w:r>
      <w:r w:rsidR="00EF1FE0">
        <w:t>s</w:t>
      </w:r>
      <w:r w:rsidR="00D82EA7">
        <w:t xml:space="preserve"> of the metastas</w:t>
      </w:r>
      <w:r w:rsidR="00CC5C81">
        <w:t>e</w:t>
      </w:r>
      <w:r w:rsidR="00D82EA7">
        <w:t xml:space="preserve">s </w:t>
      </w:r>
      <w:proofErr w:type="gramStart"/>
      <w:r w:rsidR="00D82EA7">
        <w:t xml:space="preserve">samples  </w:t>
      </w:r>
      <w:r w:rsidR="00EF1FE0">
        <w:t>are</w:t>
      </w:r>
      <w:proofErr w:type="gramEnd"/>
      <w:r w:rsidR="00EF1FE0">
        <w:t xml:space="preserve"> </w:t>
      </w:r>
      <w:r w:rsidR="00D82EA7">
        <w:t>identical to the tumor growing in the subcutaneous space.</w:t>
      </w:r>
    </w:p>
    <w:p w14:paraId="5E37CE29" w14:textId="77777777" w:rsidR="00E91D38" w:rsidRDefault="00E91D38"/>
    <w:p w14:paraId="1DECF28F" w14:textId="013179FB" w:rsidR="00E91D38" w:rsidRDefault="00E91D38"/>
    <w:p w14:paraId="26220E80" w14:textId="3DAB4EA0" w:rsidR="00E91D38" w:rsidRDefault="00E91D38"/>
    <w:p w14:paraId="039300F9" w14:textId="47D954A5" w:rsidR="00E91D38" w:rsidRDefault="00E91D38"/>
    <w:p w14:paraId="3998F3F9" w14:textId="4A223B08" w:rsidR="00E91D38" w:rsidRDefault="00E91D38"/>
    <w:p w14:paraId="77FDBD2D" w14:textId="3934B1F2" w:rsidR="00D34BE3" w:rsidRDefault="00D34BE3" w:rsidP="00D34BE3">
      <w:pPr>
        <w:rPr>
          <w:noProof/>
        </w:rPr>
      </w:pPr>
    </w:p>
    <w:p w14:paraId="20A7F2AB" w14:textId="6FF91C57" w:rsidR="003658EF" w:rsidRDefault="009B4D9F" w:rsidP="00D34BE3">
      <w:r w:rsidRPr="009B4D9F">
        <w:rPr>
          <w:noProof/>
        </w:rPr>
        <w:t xml:space="preserve"> </w:t>
      </w:r>
    </w:p>
    <w:p w14:paraId="58112671" w14:textId="55F96308" w:rsidR="003658EF" w:rsidRDefault="000306B1">
      <w:r>
        <w:rPr>
          <w:noProof/>
        </w:rPr>
        <w:lastRenderedPageBreak/>
        <w:drawing>
          <wp:inline distT="0" distB="0" distL="0" distR="0" wp14:anchorId="156EA4B1" wp14:editId="29535BAE">
            <wp:extent cx="6071235" cy="6071235"/>
            <wp:effectExtent l="0" t="0" r="5715" b="5715"/>
            <wp:docPr id="136673680" name="Picture 2" descr="A screenshot of a graph and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3680" name="Picture 2" descr="A screenshot of a graph and a chart&#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71235" cy="6071235"/>
                    </a:xfrm>
                    <a:prstGeom prst="rect">
                      <a:avLst/>
                    </a:prstGeom>
                    <a:noFill/>
                    <a:ln>
                      <a:noFill/>
                    </a:ln>
                  </pic:spPr>
                </pic:pic>
              </a:graphicData>
            </a:graphic>
          </wp:inline>
        </w:drawing>
      </w:r>
    </w:p>
    <w:p w14:paraId="00A9D6D5" w14:textId="4C105954" w:rsidR="009B4D9F" w:rsidRDefault="009B4D9F"/>
    <w:p w14:paraId="609AFBD0" w14:textId="6F029C68" w:rsidR="00E91D38" w:rsidRDefault="003658EF" w:rsidP="00EF1FE0">
      <w:r w:rsidRPr="009B4D9F">
        <w:rPr>
          <w:b/>
          <w:bCs/>
        </w:rPr>
        <w:t>Supplementary fig</w:t>
      </w:r>
      <w:r w:rsidR="009B4D9F">
        <w:rPr>
          <w:b/>
          <w:bCs/>
        </w:rPr>
        <w:t>ure</w:t>
      </w:r>
      <w:r w:rsidRPr="009B4D9F">
        <w:rPr>
          <w:b/>
          <w:bCs/>
        </w:rPr>
        <w:t xml:space="preserve"> </w:t>
      </w:r>
      <w:r w:rsidR="009B4D9F">
        <w:rPr>
          <w:b/>
          <w:bCs/>
        </w:rPr>
        <w:t>6</w:t>
      </w:r>
      <w:r>
        <w:t xml:space="preserve">. </w:t>
      </w:r>
      <w:r w:rsidR="00FE6F8C">
        <w:t xml:space="preserve">Bar plot showing the number of tumor samples evaluated </w:t>
      </w:r>
      <w:r w:rsidR="000306B1">
        <w:t xml:space="preserve">by immunohistochemistry </w:t>
      </w:r>
      <w:r w:rsidR="00FE6F8C">
        <w:t xml:space="preserve">by model and location (A).  </w:t>
      </w:r>
      <w:r>
        <w:t xml:space="preserve">Representative images of immunohistochemistry </w:t>
      </w:r>
      <w:proofErr w:type="spellStart"/>
      <w:r>
        <w:t>stainings</w:t>
      </w:r>
      <w:proofErr w:type="spellEnd"/>
      <w:r>
        <w:t xml:space="preserve"> </w:t>
      </w:r>
      <w:r w:rsidR="00A43F3C">
        <w:t xml:space="preserve">across the different models </w:t>
      </w:r>
      <w:r>
        <w:t>showing</w:t>
      </w:r>
      <w:r w:rsidR="00EF1FE0">
        <w:t xml:space="preserve"> the</w:t>
      </w:r>
      <w:r w:rsidR="00A43F3C">
        <w:t xml:space="preserve"> early</w:t>
      </w:r>
      <w:r w:rsidR="000306B1">
        <w:t>, intermediate</w:t>
      </w:r>
      <w:r w:rsidR="00A43F3C">
        <w:t xml:space="preserve"> and last passage in subcutaneous space and the</w:t>
      </w:r>
      <w:r>
        <w:t xml:space="preserve"> first and last passage in </w:t>
      </w:r>
      <w:proofErr w:type="spellStart"/>
      <w:r w:rsidR="00A43F3C">
        <w:t>FatPad</w:t>
      </w:r>
      <w:proofErr w:type="spellEnd"/>
      <w:r w:rsidR="00A43F3C">
        <w:t xml:space="preserve"> and Kidney as indicated by the</w:t>
      </w:r>
      <w:r w:rsidR="006175E6">
        <w:t xml:space="preserve"> top</w:t>
      </w:r>
      <w:r w:rsidR="00A43F3C">
        <w:t xml:space="preserve"> horizontal bars</w:t>
      </w:r>
      <w:r w:rsidR="00FE6F8C">
        <w:t xml:space="preserve"> (B)</w:t>
      </w:r>
      <w:r w:rsidR="00A43F3C">
        <w:t>.</w:t>
      </w:r>
    </w:p>
    <w:p w14:paraId="32BE07C8" w14:textId="77777777" w:rsidR="000306B1" w:rsidRDefault="000306B1" w:rsidP="00EF1FE0"/>
    <w:p w14:paraId="2CB7CB29" w14:textId="77777777" w:rsidR="000306B1" w:rsidRDefault="000306B1" w:rsidP="00EF1FE0"/>
    <w:p w14:paraId="021687D2" w14:textId="77777777" w:rsidR="000306B1" w:rsidRDefault="000306B1" w:rsidP="00EF1FE0"/>
    <w:p w14:paraId="08853CC7" w14:textId="77777777" w:rsidR="000306B1" w:rsidRDefault="000306B1" w:rsidP="00EF1FE0"/>
    <w:p w14:paraId="18AAC21E" w14:textId="77777777" w:rsidR="000306B1" w:rsidRDefault="000306B1" w:rsidP="00EF1FE0"/>
    <w:p w14:paraId="29F33D7B" w14:textId="77777777" w:rsidR="000306B1" w:rsidRDefault="000306B1" w:rsidP="00EF1FE0"/>
    <w:p w14:paraId="1FA54533" w14:textId="77777777" w:rsidR="000306B1" w:rsidRDefault="000306B1" w:rsidP="00EF1FE0"/>
    <w:p w14:paraId="52E0E73C" w14:textId="77777777" w:rsidR="000306B1" w:rsidRDefault="000306B1" w:rsidP="00EF1FE0"/>
    <w:p w14:paraId="10627C3A" w14:textId="6F4BA431" w:rsidR="00E91D38" w:rsidRDefault="00611D66" w:rsidP="00764079">
      <w:r>
        <w:rPr>
          <w:noProof/>
        </w:rPr>
        <w:lastRenderedPageBreak/>
        <w:drawing>
          <wp:anchor distT="0" distB="0" distL="114300" distR="114300" simplePos="0" relativeHeight="251696128" behindDoc="0" locked="0" layoutInCell="1" allowOverlap="1" wp14:anchorId="661307A5" wp14:editId="61AA9728">
            <wp:simplePos x="0" y="0"/>
            <wp:positionH relativeFrom="margin">
              <wp:align>center</wp:align>
            </wp:positionH>
            <wp:positionV relativeFrom="paragraph">
              <wp:posOffset>-304</wp:posOffset>
            </wp:positionV>
            <wp:extent cx="6422714" cy="6120000"/>
            <wp:effectExtent l="0" t="0" r="0" b="0"/>
            <wp:wrapTopAndBottom/>
            <wp:docPr id="1565233993" name="Picture 5"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33993" name="Picture 5" descr="A screenshot of a computer generated image&#10;&#10;AI-generated content may be incorrec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6977"/>
                    <a:stretch/>
                  </pic:blipFill>
                  <pic:spPr bwMode="auto">
                    <a:xfrm>
                      <a:off x="0" y="0"/>
                      <a:ext cx="6422714" cy="61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28DC" w:rsidRPr="009B4D9F">
        <w:rPr>
          <w:b/>
          <w:bCs/>
        </w:rPr>
        <w:t xml:space="preserve">Supplementary </w:t>
      </w:r>
      <w:r w:rsidR="009B4D9F" w:rsidRPr="009B4D9F">
        <w:rPr>
          <w:b/>
          <w:bCs/>
        </w:rPr>
        <w:t>fig</w:t>
      </w:r>
      <w:r w:rsidR="009B4D9F">
        <w:rPr>
          <w:b/>
          <w:bCs/>
        </w:rPr>
        <w:t>ure</w:t>
      </w:r>
      <w:r w:rsidR="00F928DC" w:rsidRPr="009B4D9F">
        <w:rPr>
          <w:b/>
          <w:bCs/>
        </w:rPr>
        <w:t xml:space="preserve"> </w:t>
      </w:r>
      <w:r w:rsidR="009B4D9F" w:rsidRPr="009B4D9F">
        <w:rPr>
          <w:b/>
          <w:bCs/>
        </w:rPr>
        <w:t>7</w:t>
      </w:r>
      <w:r w:rsidR="00F928DC">
        <w:t>. Heatmaps show the normalized IHC score for each marker for all models</w:t>
      </w:r>
      <w:r w:rsidR="00EF1FE0">
        <w:t xml:space="preserve"> and locations;</w:t>
      </w:r>
      <w:r w:rsidR="00F928DC">
        <w:t xml:space="preserve"> samples are sorted by model, molecular subtype</w:t>
      </w:r>
      <w:r w:rsidR="00EF1FE0">
        <w:t>,</w:t>
      </w:r>
      <w:r w:rsidR="00F928DC">
        <w:t xml:space="preserve"> and location as shown in the top panel. The top panel </w:t>
      </w:r>
      <w:r w:rsidR="00EF1FE0">
        <w:t>shows</w:t>
      </w:r>
      <w:r w:rsidR="009E3172">
        <w:t xml:space="preserve"> the staining pattern for CK5 and stratification levels for EGFR, CDH3</w:t>
      </w:r>
      <w:r w:rsidR="00764079">
        <w:t>,</w:t>
      </w:r>
      <w:r w:rsidR="009E3172">
        <w:t xml:space="preserve"> and CCNB1</w:t>
      </w:r>
      <w:r w:rsidR="00764079">
        <w:t>,</w:t>
      </w:r>
      <w:r w:rsidR="009E3172">
        <w:t xml:space="preserve"> with 0 indicating diffuse and 1 stratified staining, i.e.</w:t>
      </w:r>
      <w:r w:rsidR="00764079">
        <w:t>,</w:t>
      </w:r>
      <w:r w:rsidR="009E3172">
        <w:t xml:space="preserve"> close to the base membrane</w:t>
      </w:r>
      <w:r w:rsidR="00F928DC">
        <w:t xml:space="preserve">. </w:t>
      </w:r>
    </w:p>
    <w:p w14:paraId="2D447232" w14:textId="77777777" w:rsidR="00E91D38" w:rsidRDefault="00E91D38"/>
    <w:p w14:paraId="35DDB9B0" w14:textId="77777777" w:rsidR="00E91D38" w:rsidRDefault="00E91D38"/>
    <w:p w14:paraId="16296065" w14:textId="77777777" w:rsidR="00E91D38" w:rsidRDefault="00E91D38"/>
    <w:p w14:paraId="7A5D3D70" w14:textId="77777777" w:rsidR="00812D7C" w:rsidRDefault="00812D7C"/>
    <w:p w14:paraId="4C63B2CC" w14:textId="45D1E3BD" w:rsidR="00E91D38" w:rsidRDefault="00DC36F1">
      <w:r>
        <w:rPr>
          <w:noProof/>
        </w:rPr>
        <w:lastRenderedPageBreak/>
        <w:drawing>
          <wp:inline distT="0" distB="0" distL="0" distR="0" wp14:anchorId="2ECAAF2D" wp14:editId="2DD6BFB0">
            <wp:extent cx="6120130" cy="7650480"/>
            <wp:effectExtent l="0" t="0" r="0" b="7620"/>
            <wp:docPr id="1771886092" name="Picture 6"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86092" name="Picture 6" descr="A screenshot of a graph&#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7650480"/>
                    </a:xfrm>
                    <a:prstGeom prst="rect">
                      <a:avLst/>
                    </a:prstGeom>
                    <a:noFill/>
                    <a:ln>
                      <a:noFill/>
                    </a:ln>
                  </pic:spPr>
                </pic:pic>
              </a:graphicData>
            </a:graphic>
          </wp:inline>
        </w:drawing>
      </w:r>
    </w:p>
    <w:p w14:paraId="74F75C38" w14:textId="64B8ECAD" w:rsidR="00E91D38" w:rsidRDefault="00F928DC" w:rsidP="00764079">
      <w:r w:rsidRPr="009B4D9F">
        <w:rPr>
          <w:b/>
          <w:bCs/>
        </w:rPr>
        <w:t xml:space="preserve">Supplementary </w:t>
      </w:r>
      <w:r w:rsidR="009B4D9F" w:rsidRPr="009B4D9F">
        <w:rPr>
          <w:b/>
          <w:bCs/>
        </w:rPr>
        <w:t>fig</w:t>
      </w:r>
      <w:r w:rsidR="009B4D9F">
        <w:rPr>
          <w:b/>
          <w:bCs/>
        </w:rPr>
        <w:t>ure</w:t>
      </w:r>
      <w:r w:rsidRPr="009B4D9F">
        <w:rPr>
          <w:b/>
          <w:bCs/>
        </w:rPr>
        <w:t xml:space="preserve"> </w:t>
      </w:r>
      <w:r w:rsidR="009B4D9F" w:rsidRPr="009B4D9F">
        <w:rPr>
          <w:b/>
          <w:bCs/>
        </w:rPr>
        <w:t>8</w:t>
      </w:r>
      <w:r>
        <w:t xml:space="preserve">. Boxplots </w:t>
      </w:r>
      <w:r w:rsidR="00FD6D87">
        <w:t>show</w:t>
      </w:r>
      <w:r w:rsidR="00FE6F8C">
        <w:t>ing</w:t>
      </w:r>
      <w:r>
        <w:t xml:space="preserve"> the average expression level of </w:t>
      </w:r>
      <w:r w:rsidR="00FD6D87">
        <w:t>the IHC</w:t>
      </w:r>
      <w:r>
        <w:t xml:space="preserve"> marker</w:t>
      </w:r>
      <w:r w:rsidR="00FD6D87">
        <w:t>s</w:t>
      </w:r>
      <w:r>
        <w:t xml:space="preserve"> for each model divided by location.</w:t>
      </w:r>
      <w:r w:rsidR="00FE6F8C">
        <w:t xml:space="preserve"> List of markers: CK5, CK14, CK20, GATA3, PPARG, CCNB1, CCND1, E2F3, </w:t>
      </w:r>
      <w:proofErr w:type="gramStart"/>
      <w:r w:rsidR="00FE6F8C">
        <w:t>p16, RB1</w:t>
      </w:r>
      <w:proofErr w:type="gramEnd"/>
      <w:r w:rsidR="00FE6F8C">
        <w:t>, CDH3, EGFR, FGFR3, P63, UPK2. All markers evaluated as proportion of positive cells (0-5) and intensity of staining (0-3). Tumor cell score (TCS) calculated as Intensity * Proportion/</w:t>
      </w:r>
      <w:r w:rsidR="00764079">
        <w:t>15. The</w:t>
      </w:r>
      <w:r w:rsidR="00DC36F1">
        <w:t xml:space="preserve"> title of each plot indicate</w:t>
      </w:r>
      <w:r w:rsidR="00764079">
        <w:t>s</w:t>
      </w:r>
      <w:r w:rsidR="00DC36F1">
        <w:t xml:space="preserve"> the marker</w:t>
      </w:r>
      <w:r w:rsidR="00764079">
        <w:t>,</w:t>
      </w:r>
      <w:r w:rsidR="00DC36F1">
        <w:t xml:space="preserve"> and the suffix indicates the measurement with _1 for proportion, _2 for intensity</w:t>
      </w:r>
      <w:r w:rsidR="00764079">
        <w:t>,</w:t>
      </w:r>
      <w:r w:rsidR="00DC36F1">
        <w:t xml:space="preserve"> and _TCS for tumor cell score.</w:t>
      </w:r>
    </w:p>
    <w:p w14:paraId="5099C77B" w14:textId="7CC766DB" w:rsidR="00A66E0F" w:rsidRDefault="00A66E0F">
      <w:r>
        <w:br w:type="page"/>
      </w:r>
    </w:p>
    <w:p w14:paraId="31C3A9BF" w14:textId="6F0F9F3E" w:rsidR="00A66E0F" w:rsidRDefault="00A66E0F">
      <w:r w:rsidRPr="00A66E0F">
        <w:lastRenderedPageBreak/>
        <w:t xml:space="preserve"> </w:t>
      </w:r>
    </w:p>
    <w:p w14:paraId="52F3D361" w14:textId="5EFC2679" w:rsidR="00A66E0F" w:rsidRDefault="004068A7">
      <w:r>
        <w:rPr>
          <w:noProof/>
        </w:rPr>
        <w:drawing>
          <wp:anchor distT="0" distB="0" distL="114300" distR="114300" simplePos="0" relativeHeight="251698176" behindDoc="0" locked="0" layoutInCell="1" allowOverlap="1" wp14:anchorId="15E92565" wp14:editId="7AC64473">
            <wp:simplePos x="0" y="0"/>
            <wp:positionH relativeFrom="margin">
              <wp:align>center</wp:align>
            </wp:positionH>
            <wp:positionV relativeFrom="paragraph">
              <wp:posOffset>1270</wp:posOffset>
            </wp:positionV>
            <wp:extent cx="6120130" cy="5382895"/>
            <wp:effectExtent l="0" t="0" r="0" b="8255"/>
            <wp:wrapTopAndBottom/>
            <wp:docPr id="802361272" name="Picture 10" descr="A collage of graphs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61272" name="Picture 10" descr="A collage of graphs with red dots&#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5382895"/>
                    </a:xfrm>
                    <a:prstGeom prst="rect">
                      <a:avLst/>
                    </a:prstGeom>
                    <a:noFill/>
                    <a:ln>
                      <a:noFill/>
                    </a:ln>
                  </pic:spPr>
                </pic:pic>
              </a:graphicData>
            </a:graphic>
          </wp:anchor>
        </w:drawing>
      </w:r>
    </w:p>
    <w:p w14:paraId="19FFE3FF" w14:textId="03EC5EEF" w:rsidR="00E51927" w:rsidRDefault="001E7ADE" w:rsidP="00764079">
      <w:pPr>
        <w:rPr>
          <w:color w:val="00B050"/>
        </w:rPr>
      </w:pPr>
      <w:r w:rsidRPr="001E7ADE">
        <w:rPr>
          <w:b/>
          <w:bCs/>
        </w:rPr>
        <w:t>Supplementary figure 9</w:t>
      </w:r>
      <w:r>
        <w:t xml:space="preserve">. </w:t>
      </w:r>
      <w:r w:rsidR="00EF1FE0">
        <w:t>Differentially expressed genes (</w:t>
      </w:r>
      <w:r w:rsidRPr="001E7ADE">
        <w:t>DEG</w:t>
      </w:r>
      <w:r w:rsidR="00EF1FE0">
        <w:t>s)</w:t>
      </w:r>
      <w:r w:rsidRPr="001E7ADE">
        <w:t xml:space="preserve"> after pairwise comparison</w:t>
      </w:r>
      <w:r w:rsidR="00041ABA">
        <w:t xml:space="preserve"> between tumors from different locations and subcutaneous tumors across the different models</w:t>
      </w:r>
      <w:r w:rsidRPr="001E7ADE">
        <w:t xml:space="preserve">. Genes with </w:t>
      </w:r>
      <w:proofErr w:type="spellStart"/>
      <w:r w:rsidRPr="001E7ADE">
        <w:t>FoldChange</w:t>
      </w:r>
      <w:proofErr w:type="spellEnd"/>
      <w:r w:rsidRPr="001E7ADE">
        <w:t xml:space="preserve">&gt;=1 and significant p-value are colored Red. </w:t>
      </w:r>
      <w:r w:rsidR="00764079">
        <w:t>The h</w:t>
      </w:r>
      <w:r w:rsidRPr="001E7ADE">
        <w:t>orizontal line</w:t>
      </w:r>
      <w:r w:rsidR="00EF1FE0">
        <w:t>s</w:t>
      </w:r>
      <w:r w:rsidRPr="001E7ADE">
        <w:t xml:space="preserve"> indicate </w:t>
      </w:r>
      <w:proofErr w:type="gramStart"/>
      <w:r w:rsidR="00EF1FE0">
        <w:t>false</w:t>
      </w:r>
      <w:proofErr w:type="gramEnd"/>
      <w:r w:rsidR="00EF1FE0">
        <w:t xml:space="preserve"> discovery rate (</w:t>
      </w:r>
      <w:r w:rsidRPr="001E7ADE">
        <w:t>FDR</w:t>
      </w:r>
      <w:r w:rsidR="00EF1FE0">
        <w:t>)</w:t>
      </w:r>
      <w:r w:rsidRPr="001E7ADE">
        <w:t xml:space="preserve"> of 5% and </w:t>
      </w:r>
      <w:r w:rsidRPr="00215CEC">
        <w:t>vertical lines</w:t>
      </w:r>
      <w:r w:rsidR="00215CEC">
        <w:t xml:space="preserve"> indicate log2 fold change -1 and 1. </w:t>
      </w:r>
    </w:p>
    <w:p w14:paraId="5408010E" w14:textId="049B9F02" w:rsidR="00E51927" w:rsidRDefault="00E51927">
      <w:pPr>
        <w:rPr>
          <w:color w:val="00B050"/>
        </w:rPr>
      </w:pPr>
      <w:r>
        <w:rPr>
          <w:color w:val="00B050"/>
        </w:rPr>
        <w:br w:type="page"/>
      </w:r>
      <w:r w:rsidR="00FB2CB4">
        <w:rPr>
          <w:noProof/>
        </w:rPr>
        <w:lastRenderedPageBreak/>
        <w:drawing>
          <wp:inline distT="0" distB="0" distL="0" distR="0" wp14:anchorId="41DCB738" wp14:editId="0ADF3F8E">
            <wp:extent cx="6120130" cy="7053580"/>
            <wp:effectExtent l="0" t="0" r="0" b="0"/>
            <wp:docPr id="440708880" name="Picture 8"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08880" name="Picture 8" descr="A screenshot of a graph&#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7053580"/>
                    </a:xfrm>
                    <a:prstGeom prst="rect">
                      <a:avLst/>
                    </a:prstGeom>
                    <a:noFill/>
                    <a:ln>
                      <a:noFill/>
                    </a:ln>
                  </pic:spPr>
                </pic:pic>
              </a:graphicData>
            </a:graphic>
          </wp:inline>
        </w:drawing>
      </w:r>
    </w:p>
    <w:p w14:paraId="2746E8D9" w14:textId="02BC27B3" w:rsidR="00E51927" w:rsidRDefault="00E51927" w:rsidP="00764079">
      <w:r w:rsidRPr="003D2247">
        <w:rPr>
          <w:b/>
          <w:bCs/>
        </w:rPr>
        <w:t xml:space="preserve">Supplementary </w:t>
      </w:r>
      <w:r w:rsidR="003D2247" w:rsidRPr="003D2247">
        <w:rPr>
          <w:b/>
          <w:bCs/>
        </w:rPr>
        <w:t>F</w:t>
      </w:r>
      <w:r w:rsidRPr="003D2247">
        <w:rPr>
          <w:b/>
          <w:bCs/>
        </w:rPr>
        <w:t xml:space="preserve">igure </w:t>
      </w:r>
      <w:r w:rsidR="003D2247" w:rsidRPr="003D2247">
        <w:rPr>
          <w:b/>
          <w:bCs/>
        </w:rPr>
        <w:t>10</w:t>
      </w:r>
      <w:r>
        <w:t>. Normalized expression levels of keratins</w:t>
      </w:r>
      <w:r w:rsidR="00764079">
        <w:t>-</w:t>
      </w:r>
      <w:r>
        <w:t xml:space="preserve">related genes across the models and locations (A).  Enrichment analysis of DEGs between tumors grown under the kidney capsule vs subcutaneous. KEGG enrichment analysis of the gene sets showing shared processes enriched among the different models (B) and FGSEA enrichment of hallmarks pathways (C). </w:t>
      </w:r>
    </w:p>
    <w:p w14:paraId="3B5932F9" w14:textId="5B3DD4CB" w:rsidR="00D518BE" w:rsidRDefault="00D518BE"/>
    <w:p w14:paraId="54BD7812" w14:textId="13CBAF4D" w:rsidR="00A66E0F" w:rsidRDefault="00A66E0F"/>
    <w:p w14:paraId="554BB176" w14:textId="77777777" w:rsidR="00B63E1C" w:rsidRDefault="00B63E1C"/>
    <w:p w14:paraId="32D5B88A" w14:textId="02F38B7B" w:rsidR="00A66E0F" w:rsidRDefault="00FB2CB4">
      <w:r>
        <w:rPr>
          <w:noProof/>
        </w:rPr>
        <w:lastRenderedPageBreak/>
        <w:drawing>
          <wp:inline distT="0" distB="0" distL="0" distR="0" wp14:anchorId="2BA56B76" wp14:editId="0E3463A4">
            <wp:extent cx="6120130" cy="7108190"/>
            <wp:effectExtent l="0" t="0" r="0" b="0"/>
            <wp:docPr id="571639986" name="Picture 9"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39986" name="Picture 9" descr="A screenshot of a graph&#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7108190"/>
                    </a:xfrm>
                    <a:prstGeom prst="rect">
                      <a:avLst/>
                    </a:prstGeom>
                    <a:noFill/>
                    <a:ln>
                      <a:noFill/>
                    </a:ln>
                  </pic:spPr>
                </pic:pic>
              </a:graphicData>
            </a:graphic>
          </wp:inline>
        </w:drawing>
      </w:r>
    </w:p>
    <w:p w14:paraId="4AEECAF7" w14:textId="67482018" w:rsidR="003F57F6" w:rsidRPr="003F57F6" w:rsidRDefault="00F928DC" w:rsidP="00764079">
      <w:pPr>
        <w:rPr>
          <w:b/>
          <w:bCs/>
        </w:rPr>
      </w:pPr>
      <w:r w:rsidRPr="003779E2">
        <w:rPr>
          <w:b/>
          <w:bCs/>
        </w:rPr>
        <w:t>Supplementary Fig</w:t>
      </w:r>
      <w:r w:rsidR="008E5289" w:rsidRPr="003779E2">
        <w:rPr>
          <w:b/>
          <w:bCs/>
        </w:rPr>
        <w:t>ure</w:t>
      </w:r>
      <w:r w:rsidRPr="003779E2">
        <w:rPr>
          <w:b/>
          <w:bCs/>
        </w:rPr>
        <w:t xml:space="preserve"> </w:t>
      </w:r>
      <w:r w:rsidR="0078428C" w:rsidRPr="003779E2">
        <w:rPr>
          <w:b/>
          <w:bCs/>
        </w:rPr>
        <w:t>1</w:t>
      </w:r>
      <w:r w:rsidR="008E5289" w:rsidRPr="003779E2">
        <w:rPr>
          <w:b/>
          <w:bCs/>
        </w:rPr>
        <w:t>1</w:t>
      </w:r>
      <w:r>
        <w:t xml:space="preserve">. </w:t>
      </w:r>
      <w:r w:rsidR="003F57F6">
        <w:t>Enrichment analysis of DEGs between metastases and subcutaneous tumors.</w:t>
      </w:r>
      <w:r w:rsidR="003F57F6">
        <w:t xml:space="preserve"> </w:t>
      </w:r>
      <w:r w:rsidR="00913F2B">
        <w:t>Pathway</w:t>
      </w:r>
      <w:r w:rsidR="00913F2B">
        <w:t xml:space="preserve"> enrichment analysis of the gene sets showing shared processes enriched among the different models </w:t>
      </w:r>
      <w:r w:rsidR="00913F2B">
        <w:t xml:space="preserve">(A). </w:t>
      </w:r>
      <w:r w:rsidR="003F57F6">
        <w:t>K</w:t>
      </w:r>
      <w:r w:rsidR="003F57F6">
        <w:t>EGG enrichment analysis of the gene sets showing shared processes enriched among the different models (B) and FGSEA enrichment of hallmarks pathways (C).</w:t>
      </w:r>
    </w:p>
    <w:p w14:paraId="40EBBE2B" w14:textId="082444E6" w:rsidR="00E91D38" w:rsidRDefault="00E91D38"/>
    <w:p w14:paraId="4542B198" w14:textId="77142B26" w:rsidR="0078428C" w:rsidRDefault="00C33BF6" w:rsidP="003C2C97">
      <w:r w:rsidRPr="00C33BF6">
        <w:t xml:space="preserve"> </w:t>
      </w:r>
    </w:p>
    <w:p w14:paraId="2EA4C91D" w14:textId="0CF68435" w:rsidR="0021365A" w:rsidRPr="0021365A" w:rsidRDefault="00ED2D58" w:rsidP="0021365A">
      <w:pPr>
        <w:rPr>
          <w:lang w:val="en-SE"/>
        </w:rPr>
      </w:pPr>
      <w:r>
        <w:rPr>
          <w:noProof/>
        </w:rPr>
        <w:lastRenderedPageBreak/>
        <w:drawing>
          <wp:inline distT="0" distB="0" distL="0" distR="0" wp14:anchorId="0EBDFD02" wp14:editId="2C92A975">
            <wp:extent cx="6120130" cy="5534025"/>
            <wp:effectExtent l="0" t="0" r="0" b="9525"/>
            <wp:docPr id="1576075346" name="Picture 6"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75346" name="Picture 6" descr="A diagram of a diagram&#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5534025"/>
                    </a:xfrm>
                    <a:prstGeom prst="rect">
                      <a:avLst/>
                    </a:prstGeom>
                    <a:noFill/>
                    <a:ln>
                      <a:noFill/>
                    </a:ln>
                  </pic:spPr>
                </pic:pic>
              </a:graphicData>
            </a:graphic>
          </wp:inline>
        </w:drawing>
      </w:r>
      <w:r w:rsidR="00E7341D" w:rsidRPr="003779E2">
        <w:rPr>
          <w:b/>
          <w:bCs/>
        </w:rPr>
        <w:t>Supplementary Figure 1</w:t>
      </w:r>
      <w:r w:rsidR="00E7341D">
        <w:rPr>
          <w:b/>
          <w:bCs/>
        </w:rPr>
        <w:t xml:space="preserve">2. </w:t>
      </w:r>
      <w:r w:rsidR="0021365A" w:rsidRPr="0021365A">
        <w:rPr>
          <w:lang w:val="en-SE"/>
        </w:rPr>
        <w:t xml:space="preserve">Phylogenetic trees illustrating the clonal evolution within the Uro model across the different </w:t>
      </w:r>
      <w:proofErr w:type="spellStart"/>
      <w:r w:rsidR="0021365A" w:rsidRPr="0021365A">
        <w:rPr>
          <w:lang w:val="en-SE"/>
        </w:rPr>
        <w:t>tumor</w:t>
      </w:r>
      <w:proofErr w:type="spellEnd"/>
      <w:r w:rsidR="0021365A" w:rsidRPr="0021365A">
        <w:rPr>
          <w:lang w:val="en-SE"/>
        </w:rPr>
        <w:t xml:space="preserve"> sites. </w:t>
      </w:r>
      <w:r w:rsidR="00CD505E">
        <w:rPr>
          <w:lang w:val="en-SE"/>
        </w:rPr>
        <w:t>As indicated in the subtitles, each tree contains samples</w:t>
      </w:r>
      <w:r w:rsidR="00595679">
        <w:rPr>
          <w:lang w:val="en-SE"/>
        </w:rPr>
        <w:t xml:space="preserve"> with a direct relationship and</w:t>
      </w:r>
      <w:r w:rsidR="00CD505E">
        <w:rPr>
          <w:lang w:val="en-SE"/>
        </w:rPr>
        <w:t xml:space="preserve"> from a specific lineage </w:t>
      </w:r>
      <w:r w:rsidR="00CD505E">
        <w:rPr>
          <w:lang w:val="en-SE"/>
        </w:rPr>
        <w:t>(See supplementary figure 1)</w:t>
      </w:r>
      <w:r w:rsidR="00CD505E">
        <w:rPr>
          <w:lang w:val="en-SE"/>
        </w:rPr>
        <w:t xml:space="preserve">. </w:t>
      </w:r>
      <w:r w:rsidR="0021365A" w:rsidRPr="0021365A">
        <w:rPr>
          <w:lang w:val="en-SE"/>
        </w:rPr>
        <w:t xml:space="preserve">At the top of the tree is the stem, which represents the genetic alterations shared by all cells across all biopsies. Adjacent to the stem, the biopsies included in the tree are depicted as filled pie charts in different </w:t>
      </w:r>
      <w:proofErr w:type="spellStart"/>
      <w:r w:rsidR="0021365A" w:rsidRPr="0021365A">
        <w:rPr>
          <w:lang w:val="en-SE"/>
        </w:rPr>
        <w:t>colors</w:t>
      </w:r>
      <w:proofErr w:type="spellEnd"/>
      <w:r w:rsidR="0021365A" w:rsidRPr="0021365A">
        <w:rPr>
          <w:lang w:val="en-SE"/>
        </w:rPr>
        <w:t xml:space="preserve">. The entities at the leaf nodes correspond to distinct groups of cells with unique genomic profiles (subclones), </w:t>
      </w:r>
      <w:proofErr w:type="spellStart"/>
      <w:r w:rsidR="0021365A" w:rsidRPr="0021365A">
        <w:rPr>
          <w:lang w:val="en-SE"/>
        </w:rPr>
        <w:t>labeled</w:t>
      </w:r>
      <w:proofErr w:type="spellEnd"/>
      <w:r w:rsidR="0021365A" w:rsidRPr="0021365A">
        <w:rPr>
          <w:lang w:val="en-SE"/>
        </w:rPr>
        <w:t xml:space="preserve"> with numbers. The branches indicate in which biopsies the subclones are found and their relative proportions within those biopsies.</w:t>
      </w:r>
    </w:p>
    <w:p w14:paraId="3DF35800" w14:textId="02C420D3" w:rsidR="00961907" w:rsidRDefault="00961907" w:rsidP="00764079"/>
    <w:p w14:paraId="49B186D0" w14:textId="77777777" w:rsidR="00961907" w:rsidRDefault="00961907"/>
    <w:p w14:paraId="03991515" w14:textId="5ED17801" w:rsidR="00592436" w:rsidRPr="00592436" w:rsidRDefault="00592436" w:rsidP="00592436">
      <w:pPr>
        <w:rPr>
          <w:lang w:val="en-SE"/>
        </w:rPr>
      </w:pPr>
    </w:p>
    <w:p w14:paraId="798F2FAE" w14:textId="77777777" w:rsidR="007D1F99" w:rsidRDefault="007D1F99" w:rsidP="00764079">
      <w:pPr>
        <w:rPr>
          <w:b/>
          <w:bCs/>
        </w:rPr>
      </w:pPr>
    </w:p>
    <w:p w14:paraId="7CA7292E" w14:textId="77777777" w:rsidR="007D1F99" w:rsidRDefault="007D1F99" w:rsidP="00764079">
      <w:pPr>
        <w:rPr>
          <w:b/>
          <w:bCs/>
        </w:rPr>
      </w:pPr>
    </w:p>
    <w:p w14:paraId="450804DB" w14:textId="77777777" w:rsidR="007D1F99" w:rsidRDefault="007D1F99" w:rsidP="00764079">
      <w:pPr>
        <w:rPr>
          <w:b/>
          <w:bCs/>
        </w:rPr>
      </w:pPr>
    </w:p>
    <w:p w14:paraId="5BA5059D" w14:textId="77777777" w:rsidR="007D1F99" w:rsidRDefault="007D1F99" w:rsidP="00764079">
      <w:pPr>
        <w:rPr>
          <w:b/>
          <w:bCs/>
        </w:rPr>
      </w:pPr>
    </w:p>
    <w:p w14:paraId="65036C39" w14:textId="77777777" w:rsidR="007D1F99" w:rsidRDefault="007D1F99" w:rsidP="00764079">
      <w:pPr>
        <w:rPr>
          <w:b/>
          <w:bCs/>
        </w:rPr>
      </w:pPr>
    </w:p>
    <w:p w14:paraId="71C7807A" w14:textId="3FA22A1E" w:rsidR="007D1F99" w:rsidRDefault="00ED2D58" w:rsidP="00764079">
      <w:pPr>
        <w:rPr>
          <w:b/>
          <w:bCs/>
        </w:rPr>
      </w:pPr>
      <w:r>
        <w:rPr>
          <w:noProof/>
        </w:rPr>
        <w:lastRenderedPageBreak/>
        <w:drawing>
          <wp:anchor distT="0" distB="0" distL="114300" distR="114300" simplePos="0" relativeHeight="251702272" behindDoc="0" locked="0" layoutInCell="1" allowOverlap="1" wp14:anchorId="46F3ECA9" wp14:editId="7A7318FD">
            <wp:simplePos x="0" y="0"/>
            <wp:positionH relativeFrom="column">
              <wp:posOffset>4305</wp:posOffset>
            </wp:positionH>
            <wp:positionV relativeFrom="paragraph">
              <wp:posOffset>3472</wp:posOffset>
            </wp:positionV>
            <wp:extent cx="6044565" cy="6816725"/>
            <wp:effectExtent l="0" t="0" r="0" b="3175"/>
            <wp:wrapTopAndBottom/>
            <wp:docPr id="941851154" name="Picture 7"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1154" name="Picture 7" descr="A diagram of a structure&#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44565" cy="6816725"/>
                    </a:xfrm>
                    <a:prstGeom prst="rect">
                      <a:avLst/>
                    </a:prstGeom>
                    <a:noFill/>
                    <a:ln>
                      <a:noFill/>
                    </a:ln>
                  </pic:spPr>
                </pic:pic>
              </a:graphicData>
            </a:graphic>
          </wp:anchor>
        </w:drawing>
      </w:r>
    </w:p>
    <w:p w14:paraId="09533B4B" w14:textId="37AB7360" w:rsidR="00C7605C" w:rsidRDefault="00C7605C" w:rsidP="00764079">
      <w:r w:rsidRPr="003779E2">
        <w:rPr>
          <w:b/>
          <w:bCs/>
        </w:rPr>
        <w:t>Supplementary Figure 1</w:t>
      </w:r>
      <w:r>
        <w:rPr>
          <w:b/>
          <w:bCs/>
        </w:rPr>
        <w:t xml:space="preserve">3. </w:t>
      </w:r>
      <w:r w:rsidR="00595679" w:rsidRPr="0021365A">
        <w:rPr>
          <w:lang w:val="en-SE"/>
        </w:rPr>
        <w:t xml:space="preserve">Phylogenetic trees illustrating the clonal evolution within the </w:t>
      </w:r>
      <w:r w:rsidR="00595679">
        <w:rPr>
          <w:lang w:val="en-SE"/>
        </w:rPr>
        <w:t>GU.1</w:t>
      </w:r>
      <w:r w:rsidR="00595679" w:rsidRPr="0021365A">
        <w:rPr>
          <w:lang w:val="en-SE"/>
        </w:rPr>
        <w:t xml:space="preserve"> model across the different </w:t>
      </w:r>
      <w:proofErr w:type="spellStart"/>
      <w:r w:rsidR="00595679" w:rsidRPr="0021365A">
        <w:rPr>
          <w:lang w:val="en-SE"/>
        </w:rPr>
        <w:t>tumor</w:t>
      </w:r>
      <w:proofErr w:type="spellEnd"/>
      <w:r w:rsidR="00595679" w:rsidRPr="0021365A">
        <w:rPr>
          <w:lang w:val="en-SE"/>
        </w:rPr>
        <w:t xml:space="preserve"> sites. </w:t>
      </w:r>
      <w:r w:rsidR="00595679">
        <w:rPr>
          <w:lang w:val="en-SE"/>
        </w:rPr>
        <w:t xml:space="preserve">As indicated in the subtitles, each tree contains samples with a direct relationship and from a specific lineage (See supplementary figure 1). </w:t>
      </w:r>
      <w:r w:rsidR="00595679" w:rsidRPr="0021365A">
        <w:rPr>
          <w:lang w:val="en-SE"/>
        </w:rPr>
        <w:t xml:space="preserve">At the top of the tree is the stem, which represents the genetic alterations shared by all cells across all biopsies. Adjacent to the stem, the biopsies included in the tree are depicted as filled pie charts in different </w:t>
      </w:r>
      <w:proofErr w:type="spellStart"/>
      <w:r w:rsidR="00595679" w:rsidRPr="0021365A">
        <w:rPr>
          <w:lang w:val="en-SE"/>
        </w:rPr>
        <w:t>colors</w:t>
      </w:r>
      <w:proofErr w:type="spellEnd"/>
      <w:r w:rsidR="00595679" w:rsidRPr="0021365A">
        <w:rPr>
          <w:lang w:val="en-SE"/>
        </w:rPr>
        <w:t>. The entities at the leaf nodes correspond to distinct groups of cells with unique genomic profiles (subclones). The branches indicate in which biopsies the subclones are found and their relative proportions within those biopsies.</w:t>
      </w:r>
    </w:p>
    <w:p w14:paraId="1CFCC1F1" w14:textId="6FB50424" w:rsidR="00961907" w:rsidRPr="00C7605C" w:rsidRDefault="00961907" w:rsidP="00961907"/>
    <w:p w14:paraId="6AEE73A7" w14:textId="1A29C898" w:rsidR="00961907" w:rsidRDefault="00961907"/>
    <w:p w14:paraId="4B6675EB" w14:textId="77777777" w:rsidR="007D1F99" w:rsidRDefault="007D1F99"/>
    <w:p w14:paraId="55D396F2" w14:textId="77777777" w:rsidR="00ED2D58" w:rsidRDefault="00ED2D58" w:rsidP="007D1F99">
      <w:pPr>
        <w:rPr>
          <w:noProof/>
        </w:rPr>
      </w:pPr>
    </w:p>
    <w:p w14:paraId="4E3CBCF6" w14:textId="589C4854" w:rsidR="00C7605C" w:rsidRDefault="00ED2D58">
      <w:r>
        <w:rPr>
          <w:noProof/>
        </w:rPr>
        <w:lastRenderedPageBreak/>
        <w:drawing>
          <wp:anchor distT="0" distB="0" distL="114300" distR="114300" simplePos="0" relativeHeight="251703296" behindDoc="0" locked="0" layoutInCell="1" allowOverlap="1" wp14:anchorId="45AD25E9" wp14:editId="268FEC90">
            <wp:simplePos x="0" y="0"/>
            <wp:positionH relativeFrom="column">
              <wp:posOffset>3810</wp:posOffset>
            </wp:positionH>
            <wp:positionV relativeFrom="paragraph">
              <wp:posOffset>3175</wp:posOffset>
            </wp:positionV>
            <wp:extent cx="6042946" cy="8028000"/>
            <wp:effectExtent l="0" t="0" r="0" b="0"/>
            <wp:wrapTopAndBottom/>
            <wp:docPr id="1220822420" name="Picture 8" descr="A group of colorful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22420" name="Picture 8" descr="A group of colorful lines and dots&#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42946" cy="802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1F99" w:rsidRPr="003779E2">
        <w:rPr>
          <w:b/>
          <w:bCs/>
        </w:rPr>
        <w:t>Supplementary Figure 1</w:t>
      </w:r>
      <w:r w:rsidR="007D1F99">
        <w:rPr>
          <w:b/>
          <w:bCs/>
        </w:rPr>
        <w:t xml:space="preserve">3. </w:t>
      </w:r>
      <w:r w:rsidR="007D1F99" w:rsidRPr="0021365A">
        <w:rPr>
          <w:lang w:val="en-SE"/>
        </w:rPr>
        <w:t xml:space="preserve">Phylogenetic trees illustrating the clonal evolution within the </w:t>
      </w:r>
      <w:r w:rsidR="007D1F99">
        <w:rPr>
          <w:lang w:val="en-SE"/>
        </w:rPr>
        <w:t>BaSq</w:t>
      </w:r>
      <w:r w:rsidR="007D1F99">
        <w:rPr>
          <w:lang w:val="en-SE"/>
        </w:rPr>
        <w:t>.1</w:t>
      </w:r>
      <w:r w:rsidR="007D1F99" w:rsidRPr="0021365A">
        <w:rPr>
          <w:lang w:val="en-SE"/>
        </w:rPr>
        <w:t xml:space="preserve"> model across the different </w:t>
      </w:r>
      <w:proofErr w:type="spellStart"/>
      <w:r w:rsidR="007D1F99" w:rsidRPr="0021365A">
        <w:rPr>
          <w:lang w:val="en-SE"/>
        </w:rPr>
        <w:t>tumor</w:t>
      </w:r>
      <w:proofErr w:type="spellEnd"/>
      <w:r w:rsidR="007D1F99" w:rsidRPr="0021365A">
        <w:rPr>
          <w:lang w:val="en-SE"/>
        </w:rPr>
        <w:t xml:space="preserve"> sites. </w:t>
      </w:r>
      <w:r w:rsidR="007D1F99">
        <w:rPr>
          <w:lang w:val="en-SE"/>
        </w:rPr>
        <w:t xml:space="preserve">As indicated in the subtitles, each tree contains samples with a direct relationship and from a specific lineage (See supplementary figure 1). </w:t>
      </w:r>
      <w:r w:rsidR="007D1F99" w:rsidRPr="0021365A">
        <w:rPr>
          <w:lang w:val="en-SE"/>
        </w:rPr>
        <w:t xml:space="preserve">At the top of the tree is the stem, which represents the genetic alterations shared by all cells across all biopsies. Adjacent to the stem, the biopsies included in the tree are depicted as filled pie charts in different </w:t>
      </w:r>
      <w:proofErr w:type="spellStart"/>
      <w:r w:rsidR="007D1F99" w:rsidRPr="0021365A">
        <w:rPr>
          <w:lang w:val="en-SE"/>
        </w:rPr>
        <w:t>colors</w:t>
      </w:r>
      <w:proofErr w:type="spellEnd"/>
      <w:r w:rsidR="007D1F99" w:rsidRPr="0021365A">
        <w:rPr>
          <w:lang w:val="en-SE"/>
        </w:rPr>
        <w:t xml:space="preserve">. The entities at the leaf nodes correspond to distinct groups of cells with unique genomic profiles (subclones), </w:t>
      </w:r>
      <w:proofErr w:type="spellStart"/>
      <w:r w:rsidR="007D1F99" w:rsidRPr="0021365A">
        <w:rPr>
          <w:lang w:val="en-SE"/>
        </w:rPr>
        <w:t>labeled</w:t>
      </w:r>
      <w:proofErr w:type="spellEnd"/>
      <w:r w:rsidR="007D1F99" w:rsidRPr="0021365A">
        <w:rPr>
          <w:lang w:val="en-SE"/>
        </w:rPr>
        <w:t xml:space="preserve"> with numbers. The branches indicate in which biopsies the subclones are found and their relative proportions within those biopsies.</w:t>
      </w:r>
    </w:p>
    <w:sectPr w:rsidR="00C7605C">
      <w:headerReference w:type="default" r:id="rId25"/>
      <w:pgSz w:w="11906" w:h="16838" w:orient="landscape"/>
      <w:pgMar w:top="850" w:right="1134" w:bottom="850"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B68173" w14:textId="77777777" w:rsidR="00CE6699" w:rsidRDefault="00CE6699">
      <w:pPr>
        <w:spacing w:after="0" w:line="240" w:lineRule="auto"/>
      </w:pPr>
      <w:r>
        <w:separator/>
      </w:r>
    </w:p>
  </w:endnote>
  <w:endnote w:type="continuationSeparator" w:id="0">
    <w:p w14:paraId="14772599" w14:textId="77777777" w:rsidR="00CE6699" w:rsidRDefault="00CE66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A793E9" w14:textId="77777777" w:rsidR="00CE6699" w:rsidRDefault="00CE6699">
      <w:pPr>
        <w:spacing w:after="0" w:line="240" w:lineRule="auto"/>
      </w:pPr>
      <w:r>
        <w:separator/>
      </w:r>
    </w:p>
  </w:footnote>
  <w:footnote w:type="continuationSeparator" w:id="0">
    <w:p w14:paraId="5E7A27EA" w14:textId="77777777" w:rsidR="00CE6699" w:rsidRDefault="00CE66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10BC8" w14:textId="77777777" w:rsidR="00E91D38" w:rsidRDefault="00E91D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C267C5D"/>
    <w:multiLevelType w:val="hybridMultilevel"/>
    <w:tmpl w:val="DF741DB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64659657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1D38"/>
    <w:rsid w:val="00001ACE"/>
    <w:rsid w:val="00002965"/>
    <w:rsid w:val="0000415E"/>
    <w:rsid w:val="000306B1"/>
    <w:rsid w:val="000336B6"/>
    <w:rsid w:val="00041ABA"/>
    <w:rsid w:val="000714B6"/>
    <w:rsid w:val="000C6D9F"/>
    <w:rsid w:val="000C7DE5"/>
    <w:rsid w:val="000F0409"/>
    <w:rsid w:val="000F59EF"/>
    <w:rsid w:val="0013604E"/>
    <w:rsid w:val="0015006C"/>
    <w:rsid w:val="001935E4"/>
    <w:rsid w:val="001C4A3D"/>
    <w:rsid w:val="001C5738"/>
    <w:rsid w:val="001D4BB0"/>
    <w:rsid w:val="001E7ADE"/>
    <w:rsid w:val="001F7089"/>
    <w:rsid w:val="00205E0A"/>
    <w:rsid w:val="0021365A"/>
    <w:rsid w:val="00215CEC"/>
    <w:rsid w:val="002248F2"/>
    <w:rsid w:val="00227527"/>
    <w:rsid w:val="00272F37"/>
    <w:rsid w:val="00283F9B"/>
    <w:rsid w:val="002A5EA2"/>
    <w:rsid w:val="002E1627"/>
    <w:rsid w:val="002F3679"/>
    <w:rsid w:val="00334E5E"/>
    <w:rsid w:val="00351900"/>
    <w:rsid w:val="00352A5B"/>
    <w:rsid w:val="00354AC1"/>
    <w:rsid w:val="003658EF"/>
    <w:rsid w:val="003769A3"/>
    <w:rsid w:val="003779E2"/>
    <w:rsid w:val="003900D4"/>
    <w:rsid w:val="003B627D"/>
    <w:rsid w:val="003C2C97"/>
    <w:rsid w:val="003D2247"/>
    <w:rsid w:val="003F57F6"/>
    <w:rsid w:val="004068A7"/>
    <w:rsid w:val="00426E7F"/>
    <w:rsid w:val="00431051"/>
    <w:rsid w:val="004521D0"/>
    <w:rsid w:val="00466B5D"/>
    <w:rsid w:val="0048102B"/>
    <w:rsid w:val="004953A6"/>
    <w:rsid w:val="004973DA"/>
    <w:rsid w:val="004B132A"/>
    <w:rsid w:val="004C4468"/>
    <w:rsid w:val="00507996"/>
    <w:rsid w:val="00550C17"/>
    <w:rsid w:val="00592436"/>
    <w:rsid w:val="00595679"/>
    <w:rsid w:val="005A336B"/>
    <w:rsid w:val="005B39B3"/>
    <w:rsid w:val="005B5657"/>
    <w:rsid w:val="005B73B5"/>
    <w:rsid w:val="005D5809"/>
    <w:rsid w:val="005D5F23"/>
    <w:rsid w:val="00611D66"/>
    <w:rsid w:val="006129F5"/>
    <w:rsid w:val="006175E6"/>
    <w:rsid w:val="00662C9A"/>
    <w:rsid w:val="007302C8"/>
    <w:rsid w:val="0075010A"/>
    <w:rsid w:val="00764079"/>
    <w:rsid w:val="007654F1"/>
    <w:rsid w:val="00766A42"/>
    <w:rsid w:val="0078428C"/>
    <w:rsid w:val="007B2595"/>
    <w:rsid w:val="007B3619"/>
    <w:rsid w:val="007D1F99"/>
    <w:rsid w:val="007D509B"/>
    <w:rsid w:val="007E4722"/>
    <w:rsid w:val="00812D7C"/>
    <w:rsid w:val="00833DAA"/>
    <w:rsid w:val="00841EFC"/>
    <w:rsid w:val="00851EF0"/>
    <w:rsid w:val="00870158"/>
    <w:rsid w:val="00880203"/>
    <w:rsid w:val="008820A3"/>
    <w:rsid w:val="00887A7C"/>
    <w:rsid w:val="008C3177"/>
    <w:rsid w:val="008C73EA"/>
    <w:rsid w:val="008D0148"/>
    <w:rsid w:val="008E488E"/>
    <w:rsid w:val="008E5289"/>
    <w:rsid w:val="00913F2B"/>
    <w:rsid w:val="00951AEF"/>
    <w:rsid w:val="0095581D"/>
    <w:rsid w:val="00961907"/>
    <w:rsid w:val="0096236F"/>
    <w:rsid w:val="00973197"/>
    <w:rsid w:val="00973E5A"/>
    <w:rsid w:val="009A5A9F"/>
    <w:rsid w:val="009B4D9F"/>
    <w:rsid w:val="009E3172"/>
    <w:rsid w:val="009E6866"/>
    <w:rsid w:val="00A07414"/>
    <w:rsid w:val="00A43F3C"/>
    <w:rsid w:val="00A477B6"/>
    <w:rsid w:val="00A66E0F"/>
    <w:rsid w:val="00A87C72"/>
    <w:rsid w:val="00AF1378"/>
    <w:rsid w:val="00AF5F38"/>
    <w:rsid w:val="00B0718B"/>
    <w:rsid w:val="00B16284"/>
    <w:rsid w:val="00B25F1C"/>
    <w:rsid w:val="00B46BC4"/>
    <w:rsid w:val="00B56573"/>
    <w:rsid w:val="00B63E1C"/>
    <w:rsid w:val="00B868DF"/>
    <w:rsid w:val="00BC6797"/>
    <w:rsid w:val="00BF7B8C"/>
    <w:rsid w:val="00C33BF6"/>
    <w:rsid w:val="00C7605C"/>
    <w:rsid w:val="00C94AFB"/>
    <w:rsid w:val="00CA1D03"/>
    <w:rsid w:val="00CA2429"/>
    <w:rsid w:val="00CA73A9"/>
    <w:rsid w:val="00CC5C81"/>
    <w:rsid w:val="00CD2E48"/>
    <w:rsid w:val="00CD505E"/>
    <w:rsid w:val="00CE6699"/>
    <w:rsid w:val="00CE7B9F"/>
    <w:rsid w:val="00D20038"/>
    <w:rsid w:val="00D21A64"/>
    <w:rsid w:val="00D2486F"/>
    <w:rsid w:val="00D34BE3"/>
    <w:rsid w:val="00D474D3"/>
    <w:rsid w:val="00D518BE"/>
    <w:rsid w:val="00D82EA7"/>
    <w:rsid w:val="00DC36F1"/>
    <w:rsid w:val="00DD0C8A"/>
    <w:rsid w:val="00DD1141"/>
    <w:rsid w:val="00E10ED6"/>
    <w:rsid w:val="00E127A6"/>
    <w:rsid w:val="00E32379"/>
    <w:rsid w:val="00E36D76"/>
    <w:rsid w:val="00E446B7"/>
    <w:rsid w:val="00E45E4A"/>
    <w:rsid w:val="00E46887"/>
    <w:rsid w:val="00E51726"/>
    <w:rsid w:val="00E51927"/>
    <w:rsid w:val="00E67F2C"/>
    <w:rsid w:val="00E7341D"/>
    <w:rsid w:val="00E8226D"/>
    <w:rsid w:val="00E91D38"/>
    <w:rsid w:val="00E95B7D"/>
    <w:rsid w:val="00E96632"/>
    <w:rsid w:val="00EB3042"/>
    <w:rsid w:val="00ED2D58"/>
    <w:rsid w:val="00EF0ACF"/>
    <w:rsid w:val="00EF1FE0"/>
    <w:rsid w:val="00EF5C4F"/>
    <w:rsid w:val="00F2634D"/>
    <w:rsid w:val="00F40E50"/>
    <w:rsid w:val="00F74323"/>
    <w:rsid w:val="00F928DC"/>
    <w:rsid w:val="00F9480E"/>
    <w:rsid w:val="00FB1000"/>
    <w:rsid w:val="00FB2CB4"/>
    <w:rsid w:val="00FD6D87"/>
    <w:rsid w:val="00FE6F8C"/>
    <w:rsid w:val="00FF14E1"/>
    <w:rsid w:val="00FF1CB0"/>
    <w:rsid w:val="00FF2E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C026A3"/>
  <w15:docId w15:val="{5FF28A49-5028-4AB3-9287-E0AA5C9A1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6D9F"/>
    <w:pPr>
      <w:spacing w:after="120"/>
      <w:jc w:val="both"/>
    </w:pPr>
    <w:rPr>
      <w:rFonts w:ascii="Cambria" w:hAnsi="Cambria"/>
    </w:rPr>
  </w:style>
  <w:style w:type="paragraph" w:styleId="Heading1">
    <w:name w:val="heading 1"/>
    <w:basedOn w:val="Normal"/>
    <w:next w:val="Normal"/>
    <w:link w:val="Heading1Char"/>
    <w:uiPriority w:val="9"/>
    <w:qFormat/>
    <w:rsid w:val="00E127A6"/>
    <w:pPr>
      <w:keepNext/>
      <w:keepLines/>
      <w:spacing w:before="480"/>
      <w:outlineLvl w:val="0"/>
    </w:pPr>
    <w:rPr>
      <w:rFonts w:ascii="Calibri" w:eastAsia="Arial" w:hAnsi="Calibri" w:cs="Arial"/>
      <w:b/>
      <w:sz w:val="32"/>
      <w:szCs w:val="40"/>
    </w:rPr>
  </w:style>
  <w:style w:type="paragraph" w:styleId="Heading2">
    <w:name w:val="heading 2"/>
    <w:basedOn w:val="Normal"/>
    <w:next w:val="Normal"/>
    <w:link w:val="Heading2Char"/>
    <w:uiPriority w:val="9"/>
    <w:unhideWhenUsed/>
    <w:qFormat/>
    <w:pPr>
      <w:keepNext/>
      <w:keepLines/>
      <w:spacing w:before="360"/>
      <w:outlineLvl w:val="1"/>
    </w:pPr>
    <w:rPr>
      <w:rFonts w:ascii="Arial" w:eastAsia="Arial" w:hAnsi="Arial" w:cs="Arial"/>
      <w:sz w:val="34"/>
    </w:rPr>
  </w:style>
  <w:style w:type="paragraph" w:styleId="Heading3">
    <w:name w:val="heading 3"/>
    <w:basedOn w:val="Normal"/>
    <w:next w:val="Normal"/>
    <w:link w:val="Heading3Char"/>
    <w:uiPriority w:val="9"/>
    <w:unhideWhenUsed/>
    <w:qFormat/>
    <w:rsid w:val="00E127A6"/>
    <w:pPr>
      <w:keepNext/>
      <w:keepLines/>
      <w:spacing w:before="320"/>
      <w:outlineLvl w:val="2"/>
    </w:pPr>
    <w:rPr>
      <w:rFonts w:ascii="Calibri" w:eastAsia="Arial" w:hAnsi="Calibri" w:cs="Arial"/>
      <w:sz w:val="30"/>
      <w:szCs w:val="30"/>
    </w:rPr>
  </w:style>
  <w:style w:type="paragraph" w:styleId="Heading4">
    <w:name w:val="heading 4"/>
    <w:basedOn w:val="Normal"/>
    <w:next w:val="Normal"/>
    <w:link w:val="Heading4Char"/>
    <w:uiPriority w:val="9"/>
    <w:unhideWhenUsed/>
    <w:qFormat/>
    <w:rsid w:val="00E127A6"/>
    <w:pPr>
      <w:keepNext/>
      <w:keepLines/>
      <w:spacing w:before="320"/>
      <w:outlineLvl w:val="3"/>
    </w:pPr>
    <w:rPr>
      <w:rFonts w:ascii="Calibri" w:eastAsia="Arial" w:hAnsi="Calibri" w:cs="Arial"/>
      <w:b/>
      <w:bCs/>
      <w:sz w:val="26"/>
      <w:szCs w:val="26"/>
    </w:rPr>
  </w:style>
  <w:style w:type="paragraph" w:styleId="Heading5">
    <w:name w:val="heading 5"/>
    <w:basedOn w:val="Normal"/>
    <w:next w:val="Normal"/>
    <w:link w:val="Heading5Char"/>
    <w:uiPriority w:val="9"/>
    <w:unhideWhenUsed/>
    <w:qFormat/>
    <w:pPr>
      <w:keepNext/>
      <w:keepLines/>
      <w:spacing w:before="320"/>
      <w:outlineLvl w:val="4"/>
    </w:pPr>
    <w:rPr>
      <w:rFonts w:ascii="Arial" w:eastAsia="Arial" w:hAnsi="Arial" w:cs="Arial"/>
      <w:b/>
      <w:bCs/>
      <w:sz w:val="24"/>
      <w:szCs w:val="24"/>
    </w:rPr>
  </w:style>
  <w:style w:type="paragraph" w:styleId="Heading6">
    <w:name w:val="heading 6"/>
    <w:basedOn w:val="Normal"/>
    <w:next w:val="Normal"/>
    <w:link w:val="Heading6Char"/>
    <w:uiPriority w:val="9"/>
    <w:unhideWhenUsed/>
    <w:qFormat/>
    <w:pPr>
      <w:keepNext/>
      <w:keepLines/>
      <w:spacing w:before="320"/>
      <w:outlineLvl w:val="5"/>
    </w:pPr>
    <w:rPr>
      <w:rFonts w:ascii="Arial" w:eastAsia="Arial" w:hAnsi="Arial" w:cs="Arial"/>
      <w:b/>
      <w:bCs/>
    </w:rPr>
  </w:style>
  <w:style w:type="paragraph" w:styleId="Heading7">
    <w:name w:val="heading 7"/>
    <w:basedOn w:val="Normal"/>
    <w:next w:val="Normal"/>
    <w:link w:val="Heading7Char"/>
    <w:uiPriority w:val="9"/>
    <w:unhideWhenUsed/>
    <w:qFormat/>
    <w:pPr>
      <w:keepNext/>
      <w:keepLines/>
      <w:spacing w:before="320"/>
      <w:outlineLvl w:val="6"/>
    </w:pPr>
    <w:rPr>
      <w:rFonts w:ascii="Arial" w:eastAsia="Arial" w:hAnsi="Arial" w:cs="Arial"/>
      <w:b/>
      <w:bCs/>
      <w:i/>
      <w:iCs/>
    </w:rPr>
  </w:style>
  <w:style w:type="paragraph" w:styleId="Heading8">
    <w:name w:val="heading 8"/>
    <w:basedOn w:val="Normal"/>
    <w:next w:val="Normal"/>
    <w:link w:val="Heading8Char"/>
    <w:uiPriority w:val="9"/>
    <w:unhideWhenUsed/>
    <w:qFormat/>
    <w:pPr>
      <w:keepNext/>
      <w:keepLines/>
      <w:spacing w:before="320"/>
      <w:outlineLvl w:val="7"/>
    </w:pPr>
    <w:rPr>
      <w:rFonts w:ascii="Arial" w:eastAsia="Arial" w:hAnsi="Arial" w:cs="Arial"/>
      <w:i/>
      <w:iCs/>
    </w:rPr>
  </w:style>
  <w:style w:type="paragraph" w:styleId="Heading9">
    <w:name w:val="heading 9"/>
    <w:basedOn w:val="Normal"/>
    <w:next w:val="Normal"/>
    <w:link w:val="Heading9Char"/>
    <w:uiPriority w:val="9"/>
    <w:unhideWhenUsed/>
    <w:qFormat/>
    <w:pPr>
      <w:keepNext/>
      <w:keepLines/>
      <w:spacing w:before="320"/>
      <w:outlineLvl w:val="8"/>
    </w:pPr>
    <w:rPr>
      <w:rFonts w:ascii="Arial" w:eastAsia="Arial" w:hAnsi="Arial" w:cs="Arial"/>
      <w:i/>
      <w:iCs/>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127A6"/>
    <w:rPr>
      <w:rFonts w:ascii="Calibri" w:eastAsia="Arial" w:hAnsi="Calibri" w:cs="Arial"/>
      <w:b/>
      <w:sz w:val="32"/>
      <w:szCs w:val="40"/>
    </w:rPr>
  </w:style>
  <w:style w:type="character" w:customStyle="1" w:styleId="Heading2Char">
    <w:name w:val="Heading 2 Char"/>
    <w:link w:val="Heading2"/>
    <w:uiPriority w:val="9"/>
    <w:rPr>
      <w:rFonts w:ascii="Arial" w:eastAsia="Arial" w:hAnsi="Arial" w:cs="Arial"/>
      <w:sz w:val="34"/>
    </w:rPr>
  </w:style>
  <w:style w:type="character" w:customStyle="1" w:styleId="Heading3Char">
    <w:name w:val="Heading 3 Char"/>
    <w:link w:val="Heading3"/>
    <w:uiPriority w:val="9"/>
    <w:rsid w:val="00E127A6"/>
    <w:rPr>
      <w:rFonts w:ascii="Calibri" w:eastAsia="Arial" w:hAnsi="Calibri" w:cs="Arial"/>
      <w:sz w:val="30"/>
      <w:szCs w:val="30"/>
    </w:rPr>
  </w:style>
  <w:style w:type="character" w:customStyle="1" w:styleId="Heading4Char">
    <w:name w:val="Heading 4 Char"/>
    <w:link w:val="Heading4"/>
    <w:uiPriority w:val="9"/>
    <w:rsid w:val="00E127A6"/>
    <w:rPr>
      <w:rFonts w:ascii="Calibri" w:eastAsia="Arial" w:hAnsi="Calibri" w:cs="Arial"/>
      <w:b/>
      <w:bCs/>
      <w:sz w:val="26"/>
      <w:szCs w:val="26"/>
    </w:rPr>
  </w:style>
  <w:style w:type="character" w:customStyle="1" w:styleId="Heading5Char">
    <w:name w:val="Heading 5 Char"/>
    <w:link w:val="Heading5"/>
    <w:uiPriority w:val="9"/>
    <w:rPr>
      <w:rFonts w:ascii="Arial" w:eastAsia="Arial" w:hAnsi="Arial" w:cs="Arial"/>
      <w:b/>
      <w:bCs/>
      <w:sz w:val="24"/>
      <w:szCs w:val="24"/>
    </w:rPr>
  </w:style>
  <w:style w:type="character" w:customStyle="1" w:styleId="Heading6Char">
    <w:name w:val="Heading 6 Char"/>
    <w:link w:val="Heading6"/>
    <w:uiPriority w:val="9"/>
    <w:rPr>
      <w:rFonts w:ascii="Arial" w:eastAsia="Arial" w:hAnsi="Arial" w:cs="Arial"/>
      <w:b/>
      <w:bCs/>
      <w:sz w:val="22"/>
      <w:szCs w:val="22"/>
    </w:rPr>
  </w:style>
  <w:style w:type="character" w:customStyle="1" w:styleId="Heading7Char">
    <w:name w:val="Heading 7 Char"/>
    <w:link w:val="Heading7"/>
    <w:uiPriority w:val="9"/>
    <w:rPr>
      <w:rFonts w:ascii="Arial" w:eastAsia="Arial" w:hAnsi="Arial" w:cs="Arial"/>
      <w:b/>
      <w:bCs/>
      <w:i/>
      <w:iCs/>
      <w:sz w:val="22"/>
      <w:szCs w:val="22"/>
    </w:rPr>
  </w:style>
  <w:style w:type="character" w:customStyle="1" w:styleId="Heading8Char">
    <w:name w:val="Heading 8 Char"/>
    <w:link w:val="Heading8"/>
    <w:uiPriority w:val="9"/>
    <w:rPr>
      <w:rFonts w:ascii="Arial" w:eastAsia="Arial" w:hAnsi="Arial" w:cs="Arial"/>
      <w:i/>
      <w:iCs/>
      <w:sz w:val="22"/>
      <w:szCs w:val="22"/>
    </w:rPr>
  </w:style>
  <w:style w:type="character" w:customStyle="1" w:styleId="Heading9Char">
    <w:name w:val="Heading 9 Char"/>
    <w:link w:val="Heading9"/>
    <w:uiPriority w:val="9"/>
    <w:rPr>
      <w:rFonts w:ascii="Arial" w:eastAsia="Arial" w:hAnsi="Arial" w:cs="Arial"/>
      <w:i/>
      <w:iCs/>
      <w:sz w:val="21"/>
      <w:szCs w:val="21"/>
    </w:rPr>
  </w:style>
  <w:style w:type="paragraph" w:styleId="Title">
    <w:name w:val="Title"/>
    <w:basedOn w:val="Normal"/>
    <w:next w:val="Normal"/>
    <w:link w:val="TitleChar"/>
    <w:uiPriority w:val="10"/>
    <w:qFormat/>
    <w:pPr>
      <w:spacing w:before="300"/>
      <w:contextualSpacing/>
    </w:pPr>
    <w:rPr>
      <w:sz w:val="48"/>
      <w:szCs w:val="48"/>
    </w:rPr>
  </w:style>
  <w:style w:type="character" w:customStyle="1" w:styleId="TitleChar">
    <w:name w:val="Title Char"/>
    <w:link w:val="Title"/>
    <w:uiPriority w:val="10"/>
    <w:rPr>
      <w:sz w:val="48"/>
      <w:szCs w:val="48"/>
    </w:rPr>
  </w:style>
  <w:style w:type="paragraph" w:styleId="Subtitle">
    <w:name w:val="Subtitle"/>
    <w:basedOn w:val="Normal"/>
    <w:next w:val="Normal"/>
    <w:link w:val="SubtitleChar"/>
    <w:uiPriority w:val="11"/>
    <w:qFormat/>
    <w:pPr>
      <w:spacing w:before="200"/>
    </w:pPr>
    <w:rPr>
      <w:sz w:val="24"/>
      <w:szCs w:val="24"/>
    </w:rPr>
  </w:style>
  <w:style w:type="character" w:customStyle="1" w:styleId="SubtitleChar">
    <w:name w:val="Subtitle Char"/>
    <w:link w:val="Subtitle"/>
    <w:uiPriority w:val="11"/>
    <w:rPr>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paragraph" w:styleId="Header">
    <w:name w:val="header"/>
    <w:basedOn w:val="Normal"/>
    <w:link w:val="HeaderChar"/>
    <w:uiPriority w:val="99"/>
    <w:unhideWhenUsed/>
    <w:pPr>
      <w:tabs>
        <w:tab w:val="center" w:pos="7143"/>
        <w:tab w:val="right" w:pos="14287"/>
      </w:tabs>
      <w:spacing w:after="0" w:line="240" w:lineRule="auto"/>
    </w:pPr>
  </w:style>
  <w:style w:type="character" w:customStyle="1" w:styleId="HeaderChar">
    <w:name w:val="Header Char"/>
    <w:link w:val="Header"/>
    <w:uiPriority w:val="99"/>
  </w:style>
  <w:style w:type="paragraph" w:styleId="Footer">
    <w:name w:val="footer"/>
    <w:basedOn w:val="Normal"/>
    <w:link w:val="FooterChar1"/>
    <w:uiPriority w:val="99"/>
    <w:unhideWhenUsed/>
    <w:pPr>
      <w:tabs>
        <w:tab w:val="center" w:pos="7143"/>
        <w:tab w:val="right" w:pos="14287"/>
      </w:tabs>
      <w:spacing w:after="0" w:line="240" w:lineRule="auto"/>
    </w:pPr>
  </w:style>
  <w:style w:type="character" w:customStyle="1" w:styleId="FooterChar">
    <w:name w:val="Footer Char"/>
    <w:uiPriority w:val="99"/>
  </w:style>
  <w:style w:type="paragraph" w:styleId="Caption">
    <w:name w:val="caption"/>
    <w:basedOn w:val="Normal"/>
    <w:next w:val="Normal"/>
    <w:uiPriority w:val="35"/>
    <w:unhideWhenUsed/>
    <w:qFormat/>
    <w:rPr>
      <w:b/>
      <w:bCs/>
      <w:color w:val="5B9BD5" w:themeColor="accent1"/>
      <w:sz w:val="18"/>
      <w:szCs w:val="18"/>
    </w:rPr>
  </w:style>
  <w:style w:type="character" w:customStyle="1" w:styleId="FooterChar1">
    <w:name w:val="Footer Char1"/>
    <w:link w:val="Footer"/>
    <w:uiPriority w:val="99"/>
  </w:style>
  <w:style w:type="table" w:styleId="TableGrid">
    <w:name w:val="Table Grid"/>
    <w:basedOn w:val="Table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Light">
    <w:name w:val="Grid Table Light"/>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PlainTable1">
    <w:name w:val="Plain Table 1"/>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46"/>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ridTable1Light-Accent1">
    <w:name w:val="Grid Table 1 Light Accent 1"/>
    <w:basedOn w:val="Table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styleId="GridTable1Light-Accent2">
    <w:name w:val="Grid Table 1 Light Accent 2"/>
    <w:basedOn w:val="Table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styleId="GridTable1Light-Accent3">
    <w:name w:val="Grid Table 1 Light Accent 3"/>
    <w:basedOn w:val="Table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styleId="GridTable1Light-Accent4">
    <w:name w:val="Grid Table 1 Light Accent 4"/>
    <w:basedOn w:val="Table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styleId="GridTable1Light-Accent5">
    <w:name w:val="Grid Table 1 Light Accent 5"/>
    <w:basedOn w:val="Table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styleId="GridTable1Light-Accent6">
    <w:name w:val="Grid Table 1 Light Accent 6"/>
    <w:basedOn w:val="Table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ridTable2">
    <w:name w:val="Grid Table 2"/>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2-Accent1">
    <w:name w:val="Grid Table 2 Accent 1"/>
    <w:basedOn w:val="Table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styleId="GridTable2-Accent2">
    <w:name w:val="Grid Table 2 Accent 2"/>
    <w:basedOn w:val="Table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styleId="GridTable2-Accent3">
    <w:name w:val="Grid Table 2 Accent 3"/>
    <w:basedOn w:val="Table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GridTable2-Accent4">
    <w:name w:val="Grid Table 2 Accent 4"/>
    <w:basedOn w:val="Table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styleId="GridTable2-Accent5">
    <w:name w:val="Grid Table 2 Accent 5"/>
    <w:basedOn w:val="Table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styleId="GridTable2-Accent6">
    <w:name w:val="Grid Table 2 Accent 6"/>
    <w:basedOn w:val="Table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dTable3">
    <w:name w:val="Grid Table 3"/>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3-Accent1">
    <w:name w:val="Grid Table 3 Accent 1"/>
    <w:basedOn w:val="Table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styleId="GridTable3-Accent2">
    <w:name w:val="Grid Table 3 Accent 2"/>
    <w:basedOn w:val="Table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styleId="GridTable3-Accent3">
    <w:name w:val="Grid Table 3 Accent 3"/>
    <w:basedOn w:val="Table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GridTable3-Accent4">
    <w:name w:val="Grid Table 3 Accent 4"/>
    <w:basedOn w:val="Table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styleId="GridTable3-Accent5">
    <w:name w:val="Grid Table 3 Accent 5"/>
    <w:basedOn w:val="Table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styleId="GridTable3-Accent6">
    <w:name w:val="Grid Table 3 Accent 6"/>
    <w:basedOn w:val="Table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dTable4">
    <w:name w:val="Grid Table 4"/>
    <w:basedOn w:val="Table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4-Accent1">
    <w:name w:val="Grid Table 4 Accent 1"/>
    <w:basedOn w:val="TableNormal"/>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styleId="GridTable4-Accent2">
    <w:name w:val="Grid Table 4 Accent 2"/>
    <w:basedOn w:val="TableNormal"/>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styleId="GridTable4-Accent3">
    <w:name w:val="Grid Table 4 Accent 3"/>
    <w:basedOn w:val="TableNormal"/>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styleId="GridTable4-Accent4">
    <w:name w:val="Grid Table 4 Accent 4"/>
    <w:basedOn w:val="TableNormal"/>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styleId="GridTable4-Accent5">
    <w:name w:val="Grid Table 4 Accent 5"/>
    <w:basedOn w:val="TableNormal"/>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styleId="GridTable4-Accent6">
    <w:name w:val="Grid Table 4 Accent 6"/>
    <w:basedOn w:val="TableNormal"/>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dTable5Dark">
    <w:name w:val="Grid Table 5 Dark"/>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styleId="GridTable5Dark-Accent2">
    <w:name w:val="Grid Table 5 Dark Accent 2"/>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styleId="GridTable5Dark-Accent3">
    <w:name w:val="Grid Table 5 Dark Accent 3"/>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styleId="GridTable5Dark-Accent5">
    <w:name w:val="Grid Table 5 Dark Accent 5"/>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styleId="GridTable5Dark-Accent6">
    <w:name w:val="Grid Table 5 Dark Accent 6"/>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GridTable6Colorful">
    <w:name w:val="Grid Table 6 Colorful"/>
    <w:basedOn w:val="Table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ridTable6Colorful-Accent1">
    <w:name w:val="Grid Table 6 Colorful Accent 1"/>
    <w:basedOn w:val="TableNormal"/>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styleId="GridTable6Colorful-Accent2">
    <w:name w:val="Grid Table 6 Colorful Accent 2"/>
    <w:basedOn w:val="Table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styleId="GridTable6Colorful-Accent3">
    <w:name w:val="Grid Table 6 Colorful Accent 3"/>
    <w:basedOn w:val="TableNormal"/>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styleId="GridTable6Colorful-Accent4">
    <w:name w:val="Grid Table 6 Colorful Accent 4"/>
    <w:basedOn w:val="Table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styleId="GridTable6Colorful-Accent5">
    <w:name w:val="Grid Table 6 Colorful Accent 5"/>
    <w:basedOn w:val="TableNormal"/>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styleId="GridTable6Colorful-Accent6">
    <w:name w:val="Grid Table 6 Colorful Accent 6"/>
    <w:basedOn w:val="TableNormal"/>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styleId="GridTable7Colorful">
    <w:name w:val="Grid Table 7 Colorful"/>
    <w:basedOn w:val="Table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GridTable7Colorful-Accent1">
    <w:name w:val="Grid Table 7 Colorful Accent 1"/>
    <w:basedOn w:val="TableNormal"/>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styleId="GridTable7Colorful-Accent2">
    <w:name w:val="Grid Table 7 Colorful Accent 2"/>
    <w:basedOn w:val="TableNormal"/>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styleId="GridTable7Colorful-Accent3">
    <w:name w:val="Grid Table 7 Colorful Accent 3"/>
    <w:basedOn w:val="TableNormal"/>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styleId="GridTable7Colorful-Accent4">
    <w:name w:val="Grid Table 7 Colorful Accent 4"/>
    <w:basedOn w:val="TableNormal"/>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styleId="GridTable7Colorful-Accent5">
    <w:name w:val="Grid Table 7 Colorful Accent 5"/>
    <w:basedOn w:val="TableNormal"/>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styleId="GridTable7Colorful-Accent6">
    <w:name w:val="Grid Table 7 Colorful Accent 6"/>
    <w:basedOn w:val="TableNormal"/>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ListTable1Light">
    <w:name w:val="List Table 1 Light"/>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Table1Light-Accent1">
    <w:name w:val="List Table 1 Light Accent 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styleId="ListTable1Light-Accent2">
    <w:name w:val="List Table 1 Light Accent 2"/>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styleId="ListTable1Light-Accent3">
    <w:name w:val="List Table 1 Light Accent 3"/>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styleId="ListTable1Light-Accent4">
    <w:name w:val="List Table 1 Light Accent 4"/>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styleId="ListTable1Light-Accent5">
    <w:name w:val="List Table 1 Light Accent 5"/>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styleId="ListTable1Light-Accent6">
    <w:name w:val="List Table 1 Light Accent 6"/>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ListTable2">
    <w:name w:val="List Table 2"/>
    <w:basedOn w:val="Table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2-Accent1">
    <w:name w:val="List Table 2 Accent 1"/>
    <w:basedOn w:val="TableNormal"/>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styleId="ListTable2-Accent2">
    <w:name w:val="List Table 2 Accent 2"/>
    <w:basedOn w:val="TableNormal"/>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styleId="ListTable2-Accent3">
    <w:name w:val="List Table 2 Accent 3"/>
    <w:basedOn w:val="TableNormal"/>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styleId="ListTable2-Accent4">
    <w:name w:val="List Table 2 Accent 4"/>
    <w:basedOn w:val="TableNormal"/>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styleId="ListTable2-Accent5">
    <w:name w:val="List Table 2 Accent 5"/>
    <w:basedOn w:val="TableNormal"/>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styleId="ListTable2-Accent6">
    <w:name w:val="List Table 2 Accent 6"/>
    <w:basedOn w:val="TableNormal"/>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Table3">
    <w:name w:val="List Table 3"/>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Table3-Accent1">
    <w:name w:val="List Table 3 Accent 1"/>
    <w:basedOn w:val="TableNormal"/>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styleId="ListTable3-Accent2">
    <w:name w:val="List Table 3 Accent 2"/>
    <w:basedOn w:val="Table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styleId="ListTable3-Accent3">
    <w:name w:val="List Table 3 Accent 3"/>
    <w:basedOn w:val="TableNormal"/>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styleId="ListTable3-Accent4">
    <w:name w:val="List Table 3 Accent 4"/>
    <w:basedOn w:val="Table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styleId="ListTable3-Accent5">
    <w:name w:val="List Table 3 Accent 5"/>
    <w:basedOn w:val="TableNormal"/>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styleId="ListTable3-Accent6">
    <w:name w:val="List Table 3 Accent 6"/>
    <w:basedOn w:val="TableNormal"/>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Table4">
    <w:name w:val="List Table 4"/>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4-Accent1">
    <w:name w:val="List Table 4 Accent 1"/>
    <w:basedOn w:val="TableNormal"/>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styleId="ListTable4-Accent2">
    <w:name w:val="List Table 4 Accent 2"/>
    <w:basedOn w:val="TableNormal"/>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styleId="ListTable4-Accent3">
    <w:name w:val="List Table 4 Accent 3"/>
    <w:basedOn w:val="TableNormal"/>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styleId="ListTable4-Accent4">
    <w:name w:val="List Table 4 Accent 4"/>
    <w:basedOn w:val="TableNormal"/>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styleId="ListTable4-Accent5">
    <w:name w:val="List Table 4 Accent 5"/>
    <w:basedOn w:val="TableNormal"/>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styleId="ListTable4-Accent6">
    <w:name w:val="List Table 4 Accent 6"/>
    <w:basedOn w:val="TableNormal"/>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Table5Dark">
    <w:name w:val="List Table 5 Dark"/>
    <w:basedOn w:val="Table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ListTable5Dark-Accent1">
    <w:name w:val="List Table 5 Dark Accent 1"/>
    <w:basedOn w:val="TableNormal"/>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styleId="ListTable5Dark-Accent2">
    <w:name w:val="List Table 5 Dark Accent 2"/>
    <w:basedOn w:val="TableNormal"/>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styleId="ListTable5Dark-Accent3">
    <w:name w:val="List Table 5 Dark Accent 3"/>
    <w:basedOn w:val="TableNormal"/>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styleId="ListTable5Dark-Accent4">
    <w:name w:val="List Table 5 Dark Accent 4"/>
    <w:basedOn w:val="TableNormal"/>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styleId="ListTable5Dark-Accent5">
    <w:name w:val="List Table 5 Dark Accent 5"/>
    <w:basedOn w:val="TableNormal"/>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styleId="ListTable5Dark-Accent6">
    <w:name w:val="List Table 5 Dark Accent 6"/>
    <w:basedOn w:val="TableNormal"/>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ListTable6Colorful">
    <w:name w:val="List Table 6 Colorful"/>
    <w:basedOn w:val="Table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Table6Colorful-Accent1">
    <w:name w:val="List Table 6 Colorful Accent 1"/>
    <w:basedOn w:val="TableNormal"/>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styleId="ListTable6Colorful-Accent2">
    <w:name w:val="List Table 6 Colorful Accent 2"/>
    <w:basedOn w:val="TableNormal"/>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styleId="ListTable6Colorful-Accent3">
    <w:name w:val="List Table 6 Colorful Accent 3"/>
    <w:basedOn w:val="TableNormal"/>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styleId="ListTable6Colorful-Accent4">
    <w:name w:val="List Table 6 Colorful Accent 4"/>
    <w:basedOn w:val="TableNormal"/>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styleId="ListTable6Colorful-Accent5">
    <w:name w:val="List Table 6 Colorful Accent 5"/>
    <w:basedOn w:val="TableNormal"/>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styleId="ListTable6Colorful-Accent6">
    <w:name w:val="List Table 6 Colorful Accent 6"/>
    <w:basedOn w:val="TableNormal"/>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ListTable7Colorful">
    <w:name w:val="List Table 7 Colorful"/>
    <w:basedOn w:val="Table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styleId="ListTable7Colorful-Accent1">
    <w:name w:val="List Table 7 Colorful Accent 1"/>
    <w:basedOn w:val="TableNormal"/>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styleId="ListTable7Colorful-Accent2">
    <w:name w:val="List Table 7 Colorful Accent 2"/>
    <w:basedOn w:val="TableNormal"/>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styleId="ListTable7Colorful-Accent3">
    <w:name w:val="List Table 7 Colorful Accent 3"/>
    <w:basedOn w:val="TableNormal"/>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styleId="ListTable7Colorful-Accent4">
    <w:name w:val="List Table 7 Colorful Accent 4"/>
    <w:basedOn w:val="TableNormal"/>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styleId="ListTable7Colorful-Accent5">
    <w:name w:val="List Table 7 Colorful Accent 5"/>
    <w:basedOn w:val="TableNormal"/>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styleId="ListTable7Colorful-Accent6">
    <w:name w:val="List Table 7 Colorful Accent 6"/>
    <w:basedOn w:val="TableNormal"/>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Normal"/>
    <w:uiPriority w:val="99"/>
    <w:pPr>
      <w:spacing w:after="0" w:line="240" w:lineRule="auto"/>
    </w:pPr>
    <w:rPr>
      <w:color w:val="404040"/>
      <w:sz w:val="20"/>
      <w:szCs w:val="20"/>
      <w:lang w:val="en-SE" w:eastAsia="en-SE"/>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val="en-SE" w:eastAsia="en-SE"/>
    </w:rPr>
    <w:tblPr>
      <w:tblStyleRowBandSize w:val="1"/>
      <w:tblStyleColBandSize w:val="1"/>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val="en-SE" w:eastAsia="en-SE"/>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val="en-SE" w:eastAsia="en-SE"/>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val="en-SE" w:eastAsia="en-SE"/>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val="en-SE" w:eastAsia="en-SE"/>
    </w:rPr>
    <w:tblPr>
      <w:tblStyleRowBandSize w:val="1"/>
      <w:tblStyleColBandSize w:val="1"/>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val="en-SE" w:eastAsia="en-SE"/>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val="en-SE" w:eastAsia="en-S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val="en-SE" w:eastAsia="en-SE"/>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val="en-SE" w:eastAsia="en-SE"/>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val="en-SE" w:eastAsia="en-SE"/>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val="en-SE" w:eastAsia="en-SE"/>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val="en-SE" w:eastAsia="en-SE"/>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val="en-SE" w:eastAsia="en-SE"/>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styleId="Hyperlink">
    <w:name w:val="Hyperlink"/>
    <w:uiPriority w:val="99"/>
    <w:unhideWhenUsed/>
    <w:rPr>
      <w:color w:val="0563C1" w:themeColor="hyperlink"/>
      <w:u w:val="single"/>
    </w:rPr>
  </w:style>
  <w:style w:type="paragraph" w:styleId="FootnoteText">
    <w:name w:val="footnote text"/>
    <w:basedOn w:val="Normal"/>
    <w:link w:val="FootnoteTextChar"/>
    <w:uiPriority w:val="99"/>
    <w:semiHidden/>
    <w:unhideWhenUsed/>
    <w:pPr>
      <w:spacing w:after="40" w:line="240" w:lineRule="auto"/>
    </w:pPr>
    <w:rPr>
      <w:sz w:val="18"/>
    </w:rPr>
  </w:style>
  <w:style w:type="character" w:customStyle="1" w:styleId="FootnoteTextChar">
    <w:name w:val="Footnote Text Char"/>
    <w:link w:val="FootnoteText"/>
    <w:uiPriority w:val="99"/>
    <w:rPr>
      <w:sz w:val="18"/>
    </w:rPr>
  </w:style>
  <w:style w:type="character" w:styleId="FootnoteReference">
    <w:name w:val="footnote reference"/>
    <w:uiPriority w:val="99"/>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rPr>
  </w:style>
  <w:style w:type="character" w:customStyle="1" w:styleId="EndnoteTextChar">
    <w:name w:val="Endnote Text Char"/>
    <w:link w:val="EndnoteText"/>
    <w:uiPriority w:val="99"/>
    <w:rPr>
      <w:sz w:val="20"/>
    </w:rPr>
  </w:style>
  <w:style w:type="character" w:styleId="EndnoteReference">
    <w:name w:val="endnote reference"/>
    <w:uiPriority w:val="99"/>
    <w:semiHidden/>
    <w:unhideWhenUsed/>
    <w:rPr>
      <w:vertAlign w:val="superscript"/>
    </w:rPr>
  </w:style>
  <w:style w:type="paragraph" w:styleId="TOC1">
    <w:name w:val="toc 1"/>
    <w:basedOn w:val="Normal"/>
    <w:next w:val="Normal"/>
    <w:uiPriority w:val="39"/>
    <w:unhideWhenUsed/>
    <w:pPr>
      <w:spacing w:after="57"/>
    </w:pPr>
  </w:style>
  <w:style w:type="paragraph" w:styleId="TOC2">
    <w:name w:val="toc 2"/>
    <w:basedOn w:val="Normal"/>
    <w:next w:val="Normal"/>
    <w:uiPriority w:val="39"/>
    <w:unhideWhenUsed/>
    <w:pPr>
      <w:spacing w:after="57"/>
      <w:ind w:left="283"/>
    </w:pPr>
  </w:style>
  <w:style w:type="paragraph" w:styleId="TOC3">
    <w:name w:val="toc 3"/>
    <w:basedOn w:val="Normal"/>
    <w:next w:val="Normal"/>
    <w:uiPriority w:val="39"/>
    <w:unhideWhenUsed/>
    <w:pPr>
      <w:spacing w:after="57"/>
      <w:ind w:left="567"/>
    </w:p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OCHeading">
    <w:name w:val="TOC Heading"/>
    <w:uiPriority w:val="39"/>
    <w:unhideWhenUsed/>
  </w:style>
  <w:style w:type="paragraph" w:styleId="TableofFigures">
    <w:name w:val="table of figures"/>
    <w:basedOn w:val="Normal"/>
    <w:next w:val="Normal"/>
    <w:uiPriority w:val="99"/>
    <w:unhideWhenUsed/>
    <w:pPr>
      <w:spacing w:after="0"/>
    </w:pPr>
  </w:style>
  <w:style w:type="paragraph" w:styleId="NoSpacing">
    <w:name w:val="No Spacing"/>
    <w:basedOn w:val="Normal"/>
    <w:uiPriority w:val="1"/>
    <w:qFormat/>
    <w:rsid w:val="000C6D9F"/>
    <w:pPr>
      <w:spacing w:after="0" w:line="360" w:lineRule="auto"/>
    </w:pPr>
    <w:rPr>
      <w:rFonts w:asciiTheme="minorHAnsi" w:hAnsiTheme="minorHAnsi"/>
      <w:sz w:val="20"/>
    </w:rPr>
  </w:style>
  <w:style w:type="paragraph" w:styleId="ListParagraph">
    <w:name w:val="List Paragraph"/>
    <w:basedOn w:val="Normal"/>
    <w:uiPriority w:val="34"/>
    <w:qFormat/>
    <w:pPr>
      <w:ind w:left="720"/>
      <w:contextualSpacing/>
    </w:pPr>
  </w:style>
  <w:style w:type="paragraph" w:customStyle="1" w:styleId="FirstParagraph">
    <w:name w:val="First Paragraph"/>
    <w:basedOn w:val="BodyText"/>
    <w:next w:val="BodyText"/>
    <w:qFormat/>
    <w:rsid w:val="003658EF"/>
    <w:pPr>
      <w:spacing w:before="180" w:after="180" w:line="240" w:lineRule="auto"/>
    </w:pPr>
    <w:rPr>
      <w:sz w:val="24"/>
      <w:szCs w:val="24"/>
    </w:rPr>
  </w:style>
  <w:style w:type="paragraph" w:styleId="BodyText">
    <w:name w:val="Body Text"/>
    <w:basedOn w:val="Normal"/>
    <w:link w:val="BodyTextChar"/>
    <w:uiPriority w:val="99"/>
    <w:semiHidden/>
    <w:unhideWhenUsed/>
    <w:rsid w:val="003658EF"/>
  </w:style>
  <w:style w:type="character" w:customStyle="1" w:styleId="BodyTextChar">
    <w:name w:val="Body Text Char"/>
    <w:basedOn w:val="DefaultParagraphFont"/>
    <w:link w:val="BodyText"/>
    <w:uiPriority w:val="99"/>
    <w:semiHidden/>
    <w:rsid w:val="003658EF"/>
  </w:style>
  <w:style w:type="character" w:styleId="UnresolvedMention">
    <w:name w:val="Unresolved Mention"/>
    <w:basedOn w:val="DefaultParagraphFont"/>
    <w:uiPriority w:val="99"/>
    <w:semiHidden/>
    <w:unhideWhenUsed/>
    <w:rsid w:val="005B5657"/>
    <w:rPr>
      <w:color w:val="605E5C"/>
      <w:shd w:val="clear" w:color="auto" w:fill="E1DFDD"/>
    </w:rPr>
  </w:style>
  <w:style w:type="character" w:styleId="PlaceholderText">
    <w:name w:val="Placeholder Text"/>
    <w:basedOn w:val="DefaultParagraphFont"/>
    <w:uiPriority w:val="99"/>
    <w:semiHidden/>
    <w:rsid w:val="00DD0C8A"/>
    <w:rPr>
      <w:color w:val="666666"/>
    </w:rPr>
  </w:style>
  <w:style w:type="character" w:styleId="CommentReference">
    <w:name w:val="annotation reference"/>
    <w:basedOn w:val="DefaultParagraphFont"/>
    <w:uiPriority w:val="99"/>
    <w:semiHidden/>
    <w:unhideWhenUsed/>
    <w:rsid w:val="00CA2429"/>
    <w:rPr>
      <w:sz w:val="16"/>
      <w:szCs w:val="16"/>
    </w:rPr>
  </w:style>
  <w:style w:type="paragraph" w:styleId="CommentText">
    <w:name w:val="annotation text"/>
    <w:basedOn w:val="Normal"/>
    <w:link w:val="CommentTextChar"/>
    <w:uiPriority w:val="99"/>
    <w:unhideWhenUsed/>
    <w:rsid w:val="00CA2429"/>
    <w:pPr>
      <w:spacing w:before="120" w:after="160" w:line="240" w:lineRule="auto"/>
      <w:ind w:firstLine="720"/>
    </w:pPr>
    <w:rPr>
      <w:sz w:val="20"/>
      <w:szCs w:val="20"/>
      <w:lang w:val="en-SE"/>
    </w:rPr>
  </w:style>
  <w:style w:type="character" w:customStyle="1" w:styleId="CommentTextChar">
    <w:name w:val="Comment Text Char"/>
    <w:basedOn w:val="DefaultParagraphFont"/>
    <w:link w:val="CommentText"/>
    <w:uiPriority w:val="99"/>
    <w:rsid w:val="00CA2429"/>
    <w:rPr>
      <w:rFonts w:ascii="Cambria" w:hAnsi="Cambria"/>
      <w:sz w:val="20"/>
      <w:szCs w:val="20"/>
      <w:lang w:val="en-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866324">
      <w:bodyDiv w:val="1"/>
      <w:marLeft w:val="0"/>
      <w:marRight w:val="0"/>
      <w:marTop w:val="0"/>
      <w:marBottom w:val="0"/>
      <w:divBdr>
        <w:top w:val="none" w:sz="0" w:space="0" w:color="auto"/>
        <w:left w:val="none" w:sz="0" w:space="0" w:color="auto"/>
        <w:bottom w:val="none" w:sz="0" w:space="0" w:color="auto"/>
        <w:right w:val="none" w:sz="0" w:space="0" w:color="auto"/>
      </w:divBdr>
    </w:div>
    <w:div w:id="312176952">
      <w:bodyDiv w:val="1"/>
      <w:marLeft w:val="0"/>
      <w:marRight w:val="0"/>
      <w:marTop w:val="0"/>
      <w:marBottom w:val="0"/>
      <w:divBdr>
        <w:top w:val="none" w:sz="0" w:space="0" w:color="auto"/>
        <w:left w:val="none" w:sz="0" w:space="0" w:color="auto"/>
        <w:bottom w:val="none" w:sz="0" w:space="0" w:color="auto"/>
        <w:right w:val="none" w:sz="0" w:space="0" w:color="auto"/>
      </w:divBdr>
    </w:div>
    <w:div w:id="367029648">
      <w:bodyDiv w:val="1"/>
      <w:marLeft w:val="0"/>
      <w:marRight w:val="0"/>
      <w:marTop w:val="0"/>
      <w:marBottom w:val="0"/>
      <w:divBdr>
        <w:top w:val="none" w:sz="0" w:space="0" w:color="auto"/>
        <w:left w:val="none" w:sz="0" w:space="0" w:color="auto"/>
        <w:bottom w:val="none" w:sz="0" w:space="0" w:color="auto"/>
        <w:right w:val="none" w:sz="0" w:space="0" w:color="auto"/>
      </w:divBdr>
      <w:divsChild>
        <w:div w:id="738331218">
          <w:marLeft w:val="480"/>
          <w:marRight w:val="0"/>
          <w:marTop w:val="0"/>
          <w:marBottom w:val="0"/>
          <w:divBdr>
            <w:top w:val="none" w:sz="0" w:space="0" w:color="auto"/>
            <w:left w:val="none" w:sz="0" w:space="0" w:color="auto"/>
            <w:bottom w:val="none" w:sz="0" w:space="0" w:color="auto"/>
            <w:right w:val="none" w:sz="0" w:space="0" w:color="auto"/>
          </w:divBdr>
        </w:div>
        <w:div w:id="1508861610">
          <w:marLeft w:val="480"/>
          <w:marRight w:val="0"/>
          <w:marTop w:val="0"/>
          <w:marBottom w:val="0"/>
          <w:divBdr>
            <w:top w:val="none" w:sz="0" w:space="0" w:color="auto"/>
            <w:left w:val="none" w:sz="0" w:space="0" w:color="auto"/>
            <w:bottom w:val="none" w:sz="0" w:space="0" w:color="auto"/>
            <w:right w:val="none" w:sz="0" w:space="0" w:color="auto"/>
          </w:divBdr>
        </w:div>
      </w:divsChild>
    </w:div>
    <w:div w:id="523397153">
      <w:bodyDiv w:val="1"/>
      <w:marLeft w:val="0"/>
      <w:marRight w:val="0"/>
      <w:marTop w:val="0"/>
      <w:marBottom w:val="0"/>
      <w:divBdr>
        <w:top w:val="none" w:sz="0" w:space="0" w:color="auto"/>
        <w:left w:val="none" w:sz="0" w:space="0" w:color="auto"/>
        <w:bottom w:val="none" w:sz="0" w:space="0" w:color="auto"/>
        <w:right w:val="none" w:sz="0" w:space="0" w:color="auto"/>
      </w:divBdr>
    </w:div>
    <w:div w:id="662003178">
      <w:bodyDiv w:val="1"/>
      <w:marLeft w:val="0"/>
      <w:marRight w:val="0"/>
      <w:marTop w:val="0"/>
      <w:marBottom w:val="0"/>
      <w:divBdr>
        <w:top w:val="none" w:sz="0" w:space="0" w:color="auto"/>
        <w:left w:val="none" w:sz="0" w:space="0" w:color="auto"/>
        <w:bottom w:val="none" w:sz="0" w:space="0" w:color="auto"/>
        <w:right w:val="none" w:sz="0" w:space="0" w:color="auto"/>
      </w:divBdr>
    </w:div>
    <w:div w:id="803086813">
      <w:bodyDiv w:val="1"/>
      <w:marLeft w:val="0"/>
      <w:marRight w:val="0"/>
      <w:marTop w:val="0"/>
      <w:marBottom w:val="0"/>
      <w:divBdr>
        <w:top w:val="none" w:sz="0" w:space="0" w:color="auto"/>
        <w:left w:val="none" w:sz="0" w:space="0" w:color="auto"/>
        <w:bottom w:val="none" w:sz="0" w:space="0" w:color="auto"/>
        <w:right w:val="none" w:sz="0" w:space="0" w:color="auto"/>
      </w:divBdr>
    </w:div>
    <w:div w:id="803738046">
      <w:bodyDiv w:val="1"/>
      <w:marLeft w:val="0"/>
      <w:marRight w:val="0"/>
      <w:marTop w:val="0"/>
      <w:marBottom w:val="0"/>
      <w:divBdr>
        <w:top w:val="none" w:sz="0" w:space="0" w:color="auto"/>
        <w:left w:val="none" w:sz="0" w:space="0" w:color="auto"/>
        <w:bottom w:val="none" w:sz="0" w:space="0" w:color="auto"/>
        <w:right w:val="none" w:sz="0" w:space="0" w:color="auto"/>
      </w:divBdr>
    </w:div>
    <w:div w:id="813987468">
      <w:bodyDiv w:val="1"/>
      <w:marLeft w:val="0"/>
      <w:marRight w:val="0"/>
      <w:marTop w:val="0"/>
      <w:marBottom w:val="0"/>
      <w:divBdr>
        <w:top w:val="none" w:sz="0" w:space="0" w:color="auto"/>
        <w:left w:val="none" w:sz="0" w:space="0" w:color="auto"/>
        <w:bottom w:val="none" w:sz="0" w:space="0" w:color="auto"/>
        <w:right w:val="none" w:sz="0" w:space="0" w:color="auto"/>
      </w:divBdr>
    </w:div>
    <w:div w:id="877161538">
      <w:bodyDiv w:val="1"/>
      <w:marLeft w:val="0"/>
      <w:marRight w:val="0"/>
      <w:marTop w:val="0"/>
      <w:marBottom w:val="0"/>
      <w:divBdr>
        <w:top w:val="none" w:sz="0" w:space="0" w:color="auto"/>
        <w:left w:val="none" w:sz="0" w:space="0" w:color="auto"/>
        <w:bottom w:val="none" w:sz="0" w:space="0" w:color="auto"/>
        <w:right w:val="none" w:sz="0" w:space="0" w:color="auto"/>
      </w:divBdr>
    </w:div>
    <w:div w:id="879783299">
      <w:bodyDiv w:val="1"/>
      <w:marLeft w:val="0"/>
      <w:marRight w:val="0"/>
      <w:marTop w:val="0"/>
      <w:marBottom w:val="0"/>
      <w:divBdr>
        <w:top w:val="none" w:sz="0" w:space="0" w:color="auto"/>
        <w:left w:val="none" w:sz="0" w:space="0" w:color="auto"/>
        <w:bottom w:val="none" w:sz="0" w:space="0" w:color="auto"/>
        <w:right w:val="none" w:sz="0" w:space="0" w:color="auto"/>
      </w:divBdr>
    </w:div>
    <w:div w:id="1356420784">
      <w:bodyDiv w:val="1"/>
      <w:marLeft w:val="0"/>
      <w:marRight w:val="0"/>
      <w:marTop w:val="0"/>
      <w:marBottom w:val="0"/>
      <w:divBdr>
        <w:top w:val="none" w:sz="0" w:space="0" w:color="auto"/>
        <w:left w:val="none" w:sz="0" w:space="0" w:color="auto"/>
        <w:bottom w:val="none" w:sz="0" w:space="0" w:color="auto"/>
        <w:right w:val="none" w:sz="0" w:space="0" w:color="auto"/>
      </w:divBdr>
    </w:div>
    <w:div w:id="1837652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github.com/Subhayan18/Bernardo_et.al.git" TargetMode="Externa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theme" Target="theme/theme1.xml"/><Relationship Id="rId10" Type="http://schemas.openxmlformats.org/officeDocument/2006/relationships/image" Target="media/image1.tif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tumor.informatics.jax.org/mtbwi/pdxSearch.do"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951EDECD52D46B1BD18A0B906FC5A61"/>
        <w:category>
          <w:name w:val="General"/>
          <w:gallery w:val="placeholder"/>
        </w:category>
        <w:types>
          <w:type w:val="bbPlcHdr"/>
        </w:types>
        <w:behaviors>
          <w:behavior w:val="content"/>
        </w:behaviors>
        <w:guid w:val="{479168D4-F30C-4F95-BE15-E751AF9372E3}"/>
      </w:docPartPr>
      <w:docPartBody>
        <w:p w:rsidR="00797620" w:rsidRDefault="00EA2520" w:rsidP="00EA2520">
          <w:pPr>
            <w:pStyle w:val="8951EDECD52D46B1BD18A0B906FC5A61"/>
          </w:pPr>
          <w:r w:rsidRPr="003B4972">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856118F8-7E9D-4633-B37C-BC3C88E87328}"/>
      </w:docPartPr>
      <w:docPartBody>
        <w:p w:rsidR="00797620" w:rsidRDefault="00EA2520">
          <w:r w:rsidRPr="0085188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2520"/>
    <w:rsid w:val="0001060F"/>
    <w:rsid w:val="000336B6"/>
    <w:rsid w:val="001670CC"/>
    <w:rsid w:val="00334E5E"/>
    <w:rsid w:val="00351900"/>
    <w:rsid w:val="0049778A"/>
    <w:rsid w:val="00797620"/>
    <w:rsid w:val="008802D0"/>
    <w:rsid w:val="008820A3"/>
    <w:rsid w:val="00927E5D"/>
    <w:rsid w:val="00A81AC6"/>
    <w:rsid w:val="00AF5F38"/>
    <w:rsid w:val="00EA2520"/>
    <w:rsid w:val="00FF1CB0"/>
  </w:rsids>
  <m:mathPr>
    <m:mathFont m:val="Cambria Math"/>
    <m:brkBin m:val="before"/>
    <m:brkBinSub m:val="--"/>
    <m:smallFrac m:val="0"/>
    <m:dispDef/>
    <m:lMargin m:val="0"/>
    <m:rMargin m:val="0"/>
    <m:defJc m:val="centerGroup"/>
    <m:wrapIndent m:val="1440"/>
    <m:intLim m:val="subSup"/>
    <m:naryLim m:val="undOvr"/>
  </m:mathPr>
  <w:themeFontLang w:val="en-S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SE" w:eastAsia="en-S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A2520"/>
    <w:rPr>
      <w:color w:val="666666"/>
    </w:rPr>
  </w:style>
  <w:style w:type="paragraph" w:customStyle="1" w:styleId="8951EDECD52D46B1BD18A0B906FC5A61">
    <w:name w:val="8951EDECD52D46B1BD18A0B906FC5A61"/>
    <w:rsid w:val="00EA252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New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Classic 2">
      <a:majorFont>
        <a:latin typeface="Arial"/>
        <a:ea typeface="Arial"/>
        <a:cs typeface="Arial"/>
      </a:majorFont>
      <a:minorFont>
        <a:latin typeface="Arial"/>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cap="flat" cmpd="sng" algn="ctr">
          <a:solidFill>
            <a:schemeClr val="phClr">
              <a:shade val="95000"/>
              <a:satMod val="105000"/>
            </a:schemeClr>
          </a:solidFill>
        </a:ln>
        <a:ln w="12700" cap="flat" cmpd="sng" algn="ctr">
          <a:solidFill>
            <a:schemeClr val="phClr"/>
          </a:solidFill>
        </a:ln>
        <a:ln w="19050" cap="flat" cmpd="sng" algn="ctr">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7A770C2-34A8-418E-8D77-93F9AF581C96}">
  <we:reference id="wa104382081" version="1.55.1.0" store="en-US" storeType="OMEX"/>
  <we:alternateReferences>
    <we:reference id="wa104382081" version="1.55.1.0" store="" storeType="OMEX"/>
  </we:alternateReferences>
  <we:properties>
    <we:property name="MENDELEY_CITATIONS" value="[{&quot;citationID&quot;:&quot;MENDELEY_CITATION_9fd8db42-bf14-4982-8535-b646b2df4cb3&quot;,&quot;properties&quot;:{&quot;noteIndex&quot;:0},&quot;isEdited&quot;:false,&quot;manualOverride&quot;:{&quot;isManuallyOverridden&quot;:false,&quot;citeprocText&quot;:&quot;(Karlsson et al., 2024)&quot;,&quot;manualOverrideText&quot;:&quot;&quot;},&quot;citationTag&quot;:&quot;MENDELEY_CITATION_v3_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&quot;,&quot;citationItems&quot;:[{&quot;id&quot;:&quot;a3857832-0663-38c6-bc1e-8867469226a0&quot;,&quot;itemData&quot;:{&quot;type&quot;:&quot;article-journal&quot;,&quot;id&quot;:&quot;a3857832-0663-38c6-bc1e-8867469226a0&quot;,&quot;title&quot;:&quot;Early evolutionary branching across spatial domains predisposes to clonal replacement under chemotherapy in neuroblastoma&quot;,&quot;author&quot;:[{&quot;family&quot;:&quot;Karlsson&quot;,&quot;given&quot;:&quot;Jenny&quot;,&quot;parse-names&quot;:false,&quot;dropping-particle&quot;:&quot;&quot;,&quot;non-dropping-particle&quot;:&quot;&quot;},{&quot;family&quot;:&quot;Yasui&quot;,&quot;given&quot;:&quot;Hiroaki&quot;,&quot;parse-names&quot;:false,&quot;dropping-particle&quot;:&quot;&quot;,&quot;non-dropping-particle&quot;:&quot;&quot;},{&quot;family&quot;:&quot;Mañas&quot;,&quot;given&quot;:&quot;Adriana&quot;,&quot;parse-names&quot;:false,&quot;dropping-particle&quot;:&quot;&quot;,&quot;non-dropping-particle&quot;:&quot;&quot;},{&quot;family&quot;:&quot;Andersson&quot;,&quot;given&quot;:&quot;Natalie&quot;,&quot;parse-names&quot;:false,&quot;dropping-particle&quot;:&quot;&quot;,&quot;non-dropping-particle&quot;:&quot;&quot;},{&quot;family&quot;:&quot;Hansson&quot;,&quot;given&quot;:&quot;Karin&quot;,&quot;parse-names&quot;:false,&quot;dropping-particle&quot;:&quot;&quot;,&quot;non-dropping-particle&quot;:&quot;&quot;},{&quot;family&quot;:&quot;Aaltonen&quot;,&quot;given&quot;:&quot;Kristina&quot;,&quot;parse-names&quot;:false,&quot;dropping-particle&quot;:&quot;&quot;,&quot;non-dropping-particle&quot;:&quot;&quot;},{&quot;family&quot;:&quot;Jansson&quot;,&quot;given&quot;:&quot;Caroline&quot;,&quot;parse-names&quot;:false,&quot;dropping-particle&quot;:&quot;&quot;,&quot;non-dropping-particle&quot;:&quot;&quot;},{&quot;family&quot;:&quot;Durand&quot;,&quot;given&quot;:&quot;Geoffroy&quot;,&quot;parse-names&quot;:false,&quot;dropping-particle&quot;:&quot;&quot;,&quot;non-dropping-particle&quot;:&quot;&quot;},{&quot;family&quot;:&quot;Ravi&quot;,&quot;given&quot;:&quot;Naveen&quot;,&quot;parse-names&quot;:false,&quot;dropping-particle&quot;:&quot;&quot;,&quot;non-dropping-particle&quot;:&quot;&quot;},{&quot;family&quot;:&quot;Ferro&quot;,&quot;given&quot;:&quot;Michele&quot;,&quot;parse-names&quot;:false,&quot;dropping-particle&quot;:&quot;&quot;,&quot;non-dropping-particle&quot;:&quot;&quot;},{&quot;family&quot;:&quot;Yang&quot;,&quot;given&quot;:&quot;Minjun&quot;,&quot;parse-names&quot;:false,&quot;dropping-particle&quot;:&quot;&quot;,&quot;non-dropping-particle&quot;:&quot;&quot;},{&quot;family&quot;:&quot;Chattopadhyay&quot;,&quot;given&quot;:&quot;Subhayan&quot;,&quot;parse-names&quot;:false,&quot;dropping-particle&quot;:&quot;&quot;,&quot;non-dropping-particle&quot;:&quot;&quot;},{&quot;family&quot;:&quot;Paulsson&quot;,&quot;given&quot;:&quot;Kajsa&quot;,&quot;parse-names&quot;:false,&quot;dropping-particle&quot;:&quot;&quot;,&quot;non-dropping-particle&quot;:&quot;&quot;},{&quot;family&quot;:&quot;Spierings&quot;,&quot;given&quot;:&quot;Diana&quot;,&quot;parse-names&quot;:false,&quot;dropping-particle&quot;:&quot;&quot;,&quot;non-dropping-particle&quot;:&quot;&quot;},{&quot;family&quot;:&quot;Foijer&quot;,&quot;given&quot;:&quot;Floris&quot;,&quot;parse-names&quot;:false,&quot;dropping-particle&quot;:&quot;&quot;,&quot;non-dropping-particle&quot;:&quot;&quot;},{&quot;family&quot;:&quot;Valind&quot;,&quot;given&quot;:&quot;Anders&quot;,&quot;parse-names&quot;:false,&quot;dropping-particle&quot;:&quot;&quot;,&quot;non-dropping-particle&quot;:&quot;&quot;},{&quot;family&quot;:&quot;Bexell&quot;,&quot;given&quot;:&quot;Daniel&quot;,&quot;parse-names&quot;:false,&quot;dropping-particle&quot;:&quot;&quot;,&quot;non-dropping-particle&quot;:&quot;&quot;},{&quot;family&quot;:&quot;Gisselsson&quot;,&quot;given&quot;:&quot;David&quot;,&quot;parse-names&quot;:false,&quot;dropping-particle&quot;:&quot;&quot;,&quot;non-dropping-particle&quot;:&quot;&quot;}],&quot;container-title&quot;:&quot;Nature Communications&quot;,&quot;container-title-short&quot;:&quot;Nat Commun&quot;,&quot;accessed&quot;:{&quot;date-parts&quot;:[[2025,1,8]]},&quot;DOI&quot;:&quot;10.1038/s41467-024-53334-x&quot;,&quot;ISSN&quot;:&quot;2041-1723&quot;,&quot;URL&quot;:&quot;https://www.nature.com/articles/s41467-024-53334-x&quot;,&quot;issued&quot;:{&quot;date-parts&quot;:[[2024,10,18]]},&quot;page&quot;:&quot;8992&quot;,&quot;abstract&quot;:&quot;&lt;p&gt;Neuroblastoma (NB) is one of the most lethal childhood cancers due to its propensity to become treatment resistant. By spatial mapping of subclone geographies before and after chemotherapy across 89 tumor regions from 12 NBs, we find that densely packed territories of closely related subclones present at diagnosis are replaced under effective treatment by islands of distantly related survivor subclones, originating from a different most recent ancestor compared to lineages dominating before treatment. Conversely, in tumors that progressed under treatment, ancestors of subclones dominating later in disease are present already at diagnosis. Chemotherapy treated xenografts and cell culture models replicate these two contrasting scenarios and show branching evolution to be a constant feature of proliferating NB cells. Phylogenies based on whole genome sequencing of 505 individual NB cells indicate that a rich repertoire of parallel subclones emerges already with the first oncogenic mutations and lays the foundation for clonal replacement under treatment.&lt;/p&gt;&quot;,&quot;publisher&quot;:&quot;Nature Publishing Group&quot;,&quot;issue&quot;:&quot;1&quot;,&quot;volume&quot;:&quot;15&quot;},&quot;isTemporary&quot;:false}]},{&quot;citationID&quot;:&quot;MENDELEY_CITATION_e89fc6ba-95d0-4228-8463-c182b349d8c8&quot;,&quot;properties&quot;:{&quot;noteIndex&quot;:0},&quot;isEdited&quot;:false,&quot;manualOverride&quot;:{&quot;isManuallyOverridden&quot;:false,&quot;citeprocText&quot;:&quot;(Petersson et al., 2022)&quot;,&quot;manualOverrideText&quot;:&quot;&quot;},&quot;citationTag&quot;:&quot;MENDELEY_CITATION_v3_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&quot;,&quot;citationItems&quot;:[{&quot;id&quot;:&quot;0f849c24-887b-3f73-af33-5fc4412c33fe&quot;,&quot;itemData&quot;:{&quot;type&quot;:&quot;article-journal&quot;,&quot;id&quot;:&quot;0f849c24-887b-3f73-af33-5fc4412c33fe&quot;,&quot;title&quot;:&quot;Branching Copy-Number Evolution and Parallel Immune Profiles across the Regional Tumor Space of Resected Pancreatic Cancer&quot;,&quot;author&quot;:[{&quot;family&quot;:&quot;Petersson&quot;,&quot;given&quot;:&quot;Alexandra&quot;,&quot;parse-names&quot;:false,&quot;dropping-particle&quot;:&quot;&quot;,&quot;non-dropping-particle&quot;:&quot;&quot;},{&quot;family&quot;:&quot;Andersson&quot;,&quot;given&quot;:&quot;Natalie&quot;,&quot;parse-names&quot;:false,&quot;dropping-particle&quot;:&quot;&quot;,&quot;non-dropping-particle&quot;:&quot;&quot;},{&quot;family&quot;:&quot;Hau&quot;,&quot;given&quot;:&quot;Sofie Olsson&quot;,&quot;parse-names&quot;:false,&quot;dropping-particle&quot;:&quot;&quot;,&quot;non-dropping-particle&quot;:&quot;&quot;},{&quot;family&quot;:&quot;Eberhard&quot;,&quot;given&quot;:&quot;Jakob&quot;,&quot;parse-names&quot;:false,&quot;dropping-particle&quot;:&quot;&quot;,&quot;non-dropping-particle&quot;:&quot;&quot;},{&quot;family&quot;:&quot;Karlsson&quot;,&quot;given&quot;:&quot;Jenny&quot;,&quot;parse-names&quot;:false,&quot;dropping-particle&quot;:&quot;&quot;,&quot;non-dropping-particle&quot;:&quot;&quot;},{&quot;family&quot;:&quot;Chattopadhyay&quot;,&quot;given&quot;:&quot;Subhayan&quot;,&quot;parse-names&quot;:false,&quot;dropping-particle&quot;:&quot;&quot;,&quot;non-dropping-particle&quot;:&quot;&quot;},{&quot;family&quot;:&quot;Valind&quot;,&quot;given&quot;:&quot;Anders&quot;,&quot;parse-names&quot;:false,&quot;dropping-particle&quot;:&quot;&quot;,&quot;non-dropping-particle&quot;:&quot;&quot;},{&quot;family&quot;:&quot;Elebro&quot;,&quot;given&quot;:&quot;Jacob&quot;,&quot;parse-names&quot;:false,&quot;dropping-particle&quot;:&quot;&quot;,&quot;non-dropping-particle&quot;:&quot;&quot;},{&quot;family&quot;:&quot;Nodin&quot;,&quot;given&quot;:&quot;Björn&quot;,&quot;parse-names&quot;:false,&quot;dropping-particle&quot;:&quot;&quot;,&quot;non-dropping-particle&quot;:&quot;&quot;},{&quot;family&quot;:&quot;Leandersson&quot;,&quot;given&quot;:&quot;Karin&quot;,&quot;parse-names&quot;:false,&quot;dropping-particle&quot;:&quot;&quot;,&quot;non-dropping-particle&quot;:&quot;&quot;},{&quot;family&quot;:&quot;Gisselsson&quot;,&quot;given&quot;:&quot;David&quot;,&quot;parse-names&quot;:false,&quot;dropping-particle&quot;:&quot;&quot;,&quot;non-dropping-particle&quot;:&quot;&quot;},{&quot;family&quot;:&quot;Jirström&quot;,&quot;given&quot;:&quot;Karin&quot;,&quot;parse-names&quot;:false,&quot;dropping-particle&quot;:&quot;&quot;,&quot;non-dropping-particle&quot;:&quot;&quot;}],&quot;container-title&quot;:&quot;Molecular Cancer Research&quot;,&quot;DOI&quot;:&quot;10.1158/1541-7786.MCR-21-0986/680161/AM/BRANCHING-COPY-NUMBER-EVOLUTION-AND-PARALLEL&quot;,&quot;ISSN&quot;:&quot;15573125&quot;,&quot;PMID&quot;:&quot;35149544&quot;,&quot;URL&quot;:&quot;https://dx.doi.org/10.1158/1541-7786.MCR-21-0986&quot;,&quot;issued&quot;:{&quot;date-parts&quot;:[[2022,5,1]]},&quot;page&quot;:&quot;749-761&quot;,&quot;abstract&quot;:&quot;Pancreatic ductal adenocarcinoma (PDAC) remains a highly lethal disease. The only option for curative treatment is resection of the tumor followed by standard adjuvant chemotherapy. Yet, early relapse due to chemoresistance is almost inevitable. Herein, we delineated the genetic intratumor heterogeneity in resected PDAC, with the aim to identify evolutionary patterns that may be associated with overall survival (OS) following treatment with curative intent. Potential relationships with the adjacent immune microenvironment were also examined. The genetic and immune landscapes of the regional tumor space were analyzed in nine patients with resected PDAC. Targeted deep sequencing and genome wide SNP array were followed by clonal deconvolution and phylogenetic analysis. A mathematical complexity score was developed to calculate the network extent of each phylogeny. Spatial variation in abundancy and tumor nest infiltration of immune cells was analyzed by double IHC staining. Copy-number heterogeneity was denoted as the major contributing factor to the branching architectures of the produced phylogenetic trees. Increased tree complexity was significantly inversely associated with OS, and larger regional maximum aberrations (higher treetops) were associated with increased PD-L1 expression on tumor cells. Contrastingly, an FREM1 gene amplification, found in one patient, coincided with a particularly vigorous immune response. Findings from this limited case series suggest that complex evolutionary patterns may be associated with a shorter survival in surgically treated patients with PDAC. Some hypothesis-generating associations with the surrounding immune microenvironment were also detected. Implications: Evolutionary copy-number patterns may be associated with survival in patients with resected PDAC.&quot;,&quot;publisher&quot;:&quot;American Association for Cancer Research Inc.&quot;,&quot;issue&quot;:&quot;5&quot;,&quot;volume&quot;:&quot;20&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8C6563-ADB4-4213-9484-3163C66B11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2879</TotalTime>
  <Pages>21</Pages>
  <Words>2874</Words>
  <Characters>16383</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Carina Bernardo</dc:creator>
  <cp:lastModifiedBy>Carina Bernardo</cp:lastModifiedBy>
  <cp:revision>39</cp:revision>
  <cp:lastPrinted>2025-02-20T09:11:00Z</cp:lastPrinted>
  <dcterms:created xsi:type="dcterms:W3CDTF">2025-03-17T09:32:00Z</dcterms:created>
  <dcterms:modified xsi:type="dcterms:W3CDTF">2025-04-02T14:22:00Z</dcterms:modified>
</cp:coreProperties>
</file>