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32DFF1" w14:textId="29BF939A" w:rsidR="00541EEB" w:rsidRPr="00AE5020" w:rsidRDefault="006E3BC3" w:rsidP="00541EEB">
      <w:pPr>
        <w:pStyle w:val="Title"/>
        <w:rPr>
          <w:lang w:val="en-US"/>
        </w:rPr>
      </w:pPr>
      <w:r w:rsidRPr="00AE5020">
        <w:rPr>
          <w:lang w:val="en-US"/>
        </w:rPr>
        <w:t>Supplementary Materials</w:t>
      </w:r>
      <w:bookmarkStart w:id="0" w:name="OLE_LINK13"/>
      <w:bookmarkStart w:id="1" w:name="OLE_LINK14"/>
    </w:p>
    <w:p w14:paraId="6409719F" w14:textId="77777777" w:rsidR="00541EEB" w:rsidRPr="00AE5020" w:rsidRDefault="00541EEB" w:rsidP="00541EEB">
      <w:pPr>
        <w:pStyle w:val="Heading1"/>
        <w:rPr>
          <w:rFonts w:ascii="AppleSystemUIFont" w:hAnsi="AppleSystemUIFont" w:cs="AppleSystemUIFont"/>
          <w:sz w:val="26"/>
          <w:szCs w:val="26"/>
          <w:lang w:val="en-US"/>
        </w:rPr>
      </w:pPr>
      <w:r w:rsidRPr="00AE5020">
        <w:rPr>
          <w:lang w:val="en-US"/>
        </w:rPr>
        <w:t>Genome Interpretation of Peruvian Inca Empire Descendants Reveals Actionable Insights</w:t>
      </w:r>
    </w:p>
    <w:p w14:paraId="5958BA73" w14:textId="77777777" w:rsidR="00541EEB" w:rsidRPr="00AE5020" w:rsidRDefault="00541EEB" w:rsidP="00541EEB">
      <w:pPr>
        <w:autoSpaceDE w:val="0"/>
        <w:autoSpaceDN w:val="0"/>
        <w:adjustRightInd w:val="0"/>
        <w:jc w:val="both"/>
        <w:rPr>
          <w:rFonts w:ascii="AppleSystemUIFont" w:hAnsi="AppleSystemUIFont" w:cs="AppleSystemUIFont"/>
          <w:sz w:val="26"/>
          <w:szCs w:val="26"/>
          <w:lang w:val="en-US"/>
        </w:rPr>
      </w:pPr>
    </w:p>
    <w:p w14:paraId="3BF5B7E0" w14:textId="77777777" w:rsidR="00541EEB" w:rsidRPr="00AE5020" w:rsidRDefault="00541EEB" w:rsidP="00541EEB">
      <w:pPr>
        <w:autoSpaceDE w:val="0"/>
        <w:autoSpaceDN w:val="0"/>
        <w:adjustRightInd w:val="0"/>
        <w:jc w:val="both"/>
        <w:rPr>
          <w:rFonts w:ascii="AppleSystemUIFont" w:hAnsi="AppleSystemUIFont" w:cs="AppleSystemUIFont"/>
          <w:sz w:val="26"/>
          <w:szCs w:val="26"/>
          <w:lang w:val="en-US"/>
        </w:rPr>
      </w:pPr>
      <w:r w:rsidRPr="00AE5020">
        <w:rPr>
          <w:rFonts w:ascii="AppleSystemUIFont" w:hAnsi="AppleSystemUIFont" w:cs="AppleSystemUIFont"/>
          <w:sz w:val="26"/>
          <w:szCs w:val="26"/>
          <w:lang w:val="en-US"/>
        </w:rPr>
        <w:t>Manuel Corpas</w:t>
      </w:r>
      <w:r w:rsidRPr="00AE5020">
        <w:rPr>
          <w:rFonts w:ascii="AppleSystemUIFont" w:hAnsi="AppleSystemUIFont" w:cs="AppleSystemUIFont"/>
          <w:sz w:val="26"/>
          <w:szCs w:val="26"/>
          <w:vertAlign w:val="superscript"/>
          <w:lang w:val="en-US"/>
        </w:rPr>
        <w:t>1,2,3,*</w:t>
      </w:r>
      <w:r w:rsidRPr="00AE5020">
        <w:rPr>
          <w:rFonts w:ascii="AppleSystemUIFont" w:hAnsi="AppleSystemUIFont" w:cs="AppleSystemUIFont"/>
          <w:sz w:val="26"/>
          <w:szCs w:val="26"/>
          <w:lang w:val="en-US"/>
        </w:rPr>
        <w:t>, Segun Fatumo</w:t>
      </w:r>
      <w:r w:rsidRPr="00AE5020">
        <w:rPr>
          <w:rFonts w:ascii="AppleSystemUIFont" w:hAnsi="AppleSystemUIFont" w:cs="AppleSystemUIFont"/>
          <w:sz w:val="26"/>
          <w:szCs w:val="26"/>
          <w:vertAlign w:val="superscript"/>
          <w:lang w:val="en-US"/>
        </w:rPr>
        <w:t>4,5</w:t>
      </w:r>
      <w:r w:rsidRPr="00AE5020">
        <w:rPr>
          <w:rFonts w:ascii="AppleSystemUIFont" w:hAnsi="AppleSystemUIFont" w:cs="AppleSystemUIFont"/>
          <w:sz w:val="26"/>
          <w:szCs w:val="26"/>
          <w:lang w:val="en-US"/>
        </w:rPr>
        <w:t>, Cesar Sánchez</w:t>
      </w:r>
      <w:r w:rsidRPr="00AE5020">
        <w:rPr>
          <w:rFonts w:ascii="AppleSystemUIFont" w:hAnsi="AppleSystemUIFont" w:cs="AppleSystemUIFont"/>
          <w:sz w:val="26"/>
          <w:szCs w:val="26"/>
          <w:vertAlign w:val="superscript"/>
          <w:lang w:val="en-US"/>
        </w:rPr>
        <w:t>6</w:t>
      </w:r>
      <w:r w:rsidRPr="00AE5020">
        <w:rPr>
          <w:rFonts w:ascii="AppleSystemUIFont" w:hAnsi="AppleSystemUIFont" w:cs="AppleSystemUIFont"/>
          <w:sz w:val="26"/>
          <w:szCs w:val="26"/>
          <w:lang w:val="en-US"/>
        </w:rPr>
        <w:t>, Omar Cáceres</w:t>
      </w:r>
      <w:r w:rsidRPr="00AE5020">
        <w:rPr>
          <w:rFonts w:ascii="AppleSystemUIFont" w:hAnsi="AppleSystemUIFont" w:cs="AppleSystemUIFont"/>
          <w:sz w:val="26"/>
          <w:szCs w:val="26"/>
          <w:vertAlign w:val="superscript"/>
          <w:lang w:val="en-US"/>
        </w:rPr>
        <w:t>6</w:t>
      </w:r>
      <w:r w:rsidRPr="00AE5020">
        <w:rPr>
          <w:rFonts w:ascii="AppleSystemUIFont" w:hAnsi="AppleSystemUIFont" w:cs="AppleSystemUIFont"/>
          <w:sz w:val="26"/>
          <w:szCs w:val="26"/>
          <w:lang w:val="en-US"/>
        </w:rPr>
        <w:t>, Carlos Padilla</w:t>
      </w:r>
      <w:r w:rsidRPr="00AE5020">
        <w:rPr>
          <w:rFonts w:ascii="AppleSystemUIFont" w:hAnsi="AppleSystemUIFont" w:cs="AppleSystemUIFont"/>
          <w:sz w:val="26"/>
          <w:szCs w:val="26"/>
          <w:vertAlign w:val="superscript"/>
          <w:lang w:val="en-US"/>
        </w:rPr>
        <w:t>6</w:t>
      </w:r>
      <w:r w:rsidRPr="00AE5020">
        <w:rPr>
          <w:rFonts w:ascii="AppleSystemUIFont" w:hAnsi="AppleSystemUIFont" w:cs="AppleSystemUIFont"/>
          <w:sz w:val="26"/>
          <w:szCs w:val="26"/>
          <w:lang w:val="en-US"/>
        </w:rPr>
        <w:t>, Julio Valdivia</w:t>
      </w:r>
      <w:r w:rsidRPr="00AE5020">
        <w:rPr>
          <w:rFonts w:ascii="AppleSystemUIFont" w:hAnsi="AppleSystemUIFont" w:cs="AppleSystemUIFont"/>
          <w:sz w:val="26"/>
          <w:szCs w:val="26"/>
          <w:vertAlign w:val="superscript"/>
          <w:lang w:val="en-US"/>
        </w:rPr>
        <w:t>7</w:t>
      </w:r>
      <w:r w:rsidRPr="00AE5020">
        <w:rPr>
          <w:rFonts w:ascii="AppleSystemUIFont" w:hAnsi="AppleSystemUIFont" w:cs="AppleSystemUIFont"/>
          <w:sz w:val="26"/>
          <w:szCs w:val="26"/>
          <w:lang w:val="en-US"/>
        </w:rPr>
        <w:t>, Heinner Guio</w:t>
      </w:r>
      <w:r w:rsidRPr="00AE5020">
        <w:rPr>
          <w:rFonts w:ascii="AppleSystemUIFont" w:hAnsi="AppleSystemUIFont" w:cs="AppleSystemUIFont"/>
          <w:sz w:val="26"/>
          <w:szCs w:val="26"/>
          <w:vertAlign w:val="superscript"/>
          <w:lang w:val="en-US"/>
        </w:rPr>
        <w:t>6,8,9,*</w:t>
      </w:r>
    </w:p>
    <w:p w14:paraId="5C9BEE01" w14:textId="77777777" w:rsidR="00541EEB" w:rsidRPr="00AE5020" w:rsidRDefault="00541EEB" w:rsidP="00541EEB">
      <w:pPr>
        <w:autoSpaceDE w:val="0"/>
        <w:autoSpaceDN w:val="0"/>
        <w:adjustRightInd w:val="0"/>
        <w:jc w:val="both"/>
        <w:rPr>
          <w:rFonts w:ascii="AppleSystemUIFont" w:hAnsi="AppleSystemUIFont" w:cs="AppleSystemUIFont"/>
          <w:sz w:val="26"/>
          <w:szCs w:val="26"/>
          <w:lang w:val="en-US"/>
        </w:rPr>
      </w:pPr>
    </w:p>
    <w:p w14:paraId="65069033" w14:textId="77777777" w:rsidR="00541EEB" w:rsidRPr="00AE5020" w:rsidRDefault="00541EEB" w:rsidP="00541EEB">
      <w:pPr>
        <w:autoSpaceDE w:val="0"/>
        <w:autoSpaceDN w:val="0"/>
        <w:adjustRightInd w:val="0"/>
        <w:jc w:val="both"/>
        <w:rPr>
          <w:rFonts w:ascii="AppleSystemUIFont" w:hAnsi="AppleSystemUIFont" w:cs="AppleSystemUIFont"/>
          <w:sz w:val="22"/>
          <w:szCs w:val="22"/>
          <w:lang w:val="en-US"/>
        </w:rPr>
      </w:pPr>
      <w:r w:rsidRPr="00AE5020">
        <w:rPr>
          <w:rFonts w:ascii="AppleSystemUIFont" w:hAnsi="AppleSystemUIFont" w:cs="AppleSystemUIFont"/>
          <w:sz w:val="22"/>
          <w:szCs w:val="22"/>
          <w:vertAlign w:val="superscript"/>
          <w:lang w:val="en-US"/>
        </w:rPr>
        <w:t>1</w:t>
      </w:r>
      <w:r w:rsidRPr="00AE5020">
        <w:rPr>
          <w:rFonts w:ascii="AppleSystemUIFont" w:hAnsi="AppleSystemUIFont" w:cs="AppleSystemUIFont"/>
          <w:sz w:val="22"/>
          <w:szCs w:val="22"/>
          <w:lang w:val="en-US"/>
        </w:rPr>
        <w:t xml:space="preserve">Life Sciences, University of Westminster, 115 New Cavendish Street, W1W 6UW London, UK; </w:t>
      </w:r>
      <w:r w:rsidRPr="00AE5020">
        <w:rPr>
          <w:rFonts w:ascii="AppleSystemUIFont" w:hAnsi="AppleSystemUIFont" w:cs="AppleSystemUIFont"/>
          <w:sz w:val="22"/>
          <w:szCs w:val="22"/>
          <w:vertAlign w:val="superscript"/>
          <w:lang w:val="en-US"/>
        </w:rPr>
        <w:t>2</w:t>
      </w:r>
      <w:r w:rsidRPr="00AE5020">
        <w:rPr>
          <w:rFonts w:ascii="AppleSystemUIFont" w:hAnsi="AppleSystemUIFont" w:cs="AppleSystemUIFont"/>
          <w:sz w:val="22"/>
          <w:szCs w:val="22"/>
          <w:lang w:val="en-US"/>
        </w:rPr>
        <w:t>The Alan Turing Institute, London, UK;</w:t>
      </w:r>
      <w:r w:rsidRPr="00AE5020">
        <w:rPr>
          <w:lang w:val="en-US"/>
        </w:rPr>
        <w:t xml:space="preserve"> </w:t>
      </w:r>
      <w:r w:rsidRPr="00AE5020">
        <w:rPr>
          <w:vertAlign w:val="superscript"/>
          <w:lang w:val="en-US"/>
        </w:rPr>
        <w:t>3</w:t>
      </w:r>
      <w:r w:rsidRPr="00AE5020">
        <w:rPr>
          <w:rFonts w:ascii="AppleSystemUIFont" w:hAnsi="AppleSystemUIFont" w:cs="AppleSystemUIFont"/>
          <w:sz w:val="22"/>
          <w:szCs w:val="22"/>
          <w:lang w:val="en-US"/>
        </w:rPr>
        <w:t xml:space="preserve">40 Gracechurch Street, EC3V 0BT, London, UK; </w:t>
      </w:r>
      <w:r w:rsidRPr="00AE5020">
        <w:rPr>
          <w:rFonts w:ascii="AppleSystemUIFont" w:hAnsi="AppleSystemUIFont" w:cs="AppleSystemUIFont"/>
          <w:sz w:val="22"/>
          <w:szCs w:val="22"/>
          <w:vertAlign w:val="superscript"/>
          <w:lang w:val="en-US"/>
        </w:rPr>
        <w:t>4</w:t>
      </w:r>
      <w:r w:rsidRPr="00AE5020">
        <w:rPr>
          <w:rFonts w:ascii="AppleSystemUIFont" w:hAnsi="AppleSystemUIFont" w:cs="AppleSystemUIFont"/>
          <w:sz w:val="22"/>
          <w:szCs w:val="22"/>
          <w:lang w:val="en-US"/>
        </w:rPr>
        <w:t xml:space="preserve">Medical Research Council, Uganda Virus Research Institute and London School of Hygiene and Tropical Medicine (MRC/UVRI &amp;LSHTM), Entebbe, Uganda; </w:t>
      </w:r>
      <w:r w:rsidRPr="00AE5020">
        <w:rPr>
          <w:rFonts w:ascii="AppleSystemUIFont" w:hAnsi="AppleSystemUIFont" w:cs="AppleSystemUIFont"/>
          <w:sz w:val="22"/>
          <w:szCs w:val="22"/>
          <w:vertAlign w:val="superscript"/>
          <w:lang w:val="en-US"/>
        </w:rPr>
        <w:t>5</w:t>
      </w:r>
      <w:r w:rsidRPr="00AE5020">
        <w:rPr>
          <w:rFonts w:ascii="AppleSystemUIFont" w:hAnsi="AppleSystemUIFont" w:cs="AppleSystemUIFont"/>
          <w:sz w:val="22"/>
          <w:szCs w:val="22"/>
          <w:lang w:val="en-US"/>
        </w:rPr>
        <w:t xml:space="preserve">Precision Healthcare University Research Institute, Queen Mary University of London; </w:t>
      </w:r>
      <w:r w:rsidRPr="00AE5020">
        <w:rPr>
          <w:rFonts w:ascii="AppleSystemUIFont" w:hAnsi="AppleSystemUIFont" w:cs="AppleSystemUIFont"/>
          <w:sz w:val="22"/>
          <w:szCs w:val="22"/>
          <w:vertAlign w:val="superscript"/>
          <w:lang w:val="en-US"/>
        </w:rPr>
        <w:t>6</w:t>
      </w:r>
      <w:r w:rsidRPr="00AE5020">
        <w:rPr>
          <w:rFonts w:ascii="AppleSystemUIFont" w:hAnsi="AppleSystemUIFont" w:cs="AppleSystemUIFont"/>
          <w:sz w:val="22"/>
          <w:szCs w:val="22"/>
          <w:lang w:val="en-US"/>
        </w:rPr>
        <w:t xml:space="preserve">Instituto Nacional de Salud, Lima, Peru; </w:t>
      </w:r>
      <w:r w:rsidRPr="00AE5020">
        <w:rPr>
          <w:rFonts w:ascii="AppleSystemUIFont" w:hAnsi="AppleSystemUIFont" w:cs="AppleSystemUIFont"/>
          <w:sz w:val="22"/>
          <w:szCs w:val="22"/>
          <w:vertAlign w:val="superscript"/>
          <w:lang w:val="en-US"/>
        </w:rPr>
        <w:t>7</w:t>
      </w:r>
      <w:r w:rsidRPr="00AE5020">
        <w:rPr>
          <w:rFonts w:ascii="AppleSystemUIFont" w:hAnsi="AppleSystemUIFont" w:cs="AppleSystemUIFont"/>
          <w:sz w:val="22"/>
          <w:szCs w:val="22"/>
          <w:lang w:val="en-US"/>
        </w:rPr>
        <w:t xml:space="preserve">Universidad de Ingeniería y </w:t>
      </w:r>
      <w:proofErr w:type="spellStart"/>
      <w:r w:rsidRPr="00AE5020">
        <w:rPr>
          <w:rFonts w:ascii="AppleSystemUIFont" w:hAnsi="AppleSystemUIFont" w:cs="AppleSystemUIFont"/>
          <w:sz w:val="22"/>
          <w:szCs w:val="22"/>
          <w:lang w:val="en-US"/>
        </w:rPr>
        <w:t>Tecnología</w:t>
      </w:r>
      <w:proofErr w:type="spellEnd"/>
      <w:r w:rsidRPr="00AE5020">
        <w:rPr>
          <w:rFonts w:ascii="AppleSystemUIFont" w:hAnsi="AppleSystemUIFont" w:cs="AppleSystemUIFont"/>
          <w:sz w:val="22"/>
          <w:szCs w:val="22"/>
          <w:lang w:val="en-US"/>
        </w:rPr>
        <w:t xml:space="preserve"> (UTEC), Lima, Peru;</w:t>
      </w:r>
      <w:r w:rsidRPr="00AE5020">
        <w:rPr>
          <w:rFonts w:ascii="AppleSystemUIFont" w:hAnsi="AppleSystemUIFont" w:cs="AppleSystemUIFont"/>
          <w:sz w:val="22"/>
          <w:szCs w:val="22"/>
          <w:vertAlign w:val="superscript"/>
          <w:lang w:val="en-US"/>
        </w:rPr>
        <w:t xml:space="preserve"> 8</w:t>
      </w:r>
      <w:r w:rsidRPr="00AE5020">
        <w:rPr>
          <w:rFonts w:ascii="AppleSystemUIFont" w:hAnsi="AppleSystemUIFont" w:cs="AppleSystemUIFont"/>
          <w:sz w:val="22"/>
          <w:szCs w:val="22"/>
          <w:lang w:val="en-US"/>
        </w:rPr>
        <w:t xml:space="preserve">Universidad de </w:t>
      </w:r>
      <w:proofErr w:type="spellStart"/>
      <w:r w:rsidRPr="00AE5020">
        <w:rPr>
          <w:rFonts w:ascii="AppleSystemUIFont" w:hAnsi="AppleSystemUIFont" w:cs="AppleSystemUIFont"/>
          <w:sz w:val="22"/>
          <w:szCs w:val="22"/>
          <w:lang w:val="en-US"/>
        </w:rPr>
        <w:t>Huanuco</w:t>
      </w:r>
      <w:proofErr w:type="spellEnd"/>
      <w:r w:rsidRPr="00AE5020">
        <w:rPr>
          <w:rFonts w:ascii="AppleSystemUIFont" w:hAnsi="AppleSystemUIFont" w:cs="AppleSystemUIFont"/>
          <w:sz w:val="22"/>
          <w:szCs w:val="22"/>
          <w:lang w:val="en-US"/>
        </w:rPr>
        <w:t xml:space="preserve">, </w:t>
      </w:r>
      <w:proofErr w:type="spellStart"/>
      <w:r w:rsidRPr="00AE5020">
        <w:rPr>
          <w:rFonts w:ascii="AppleSystemUIFont" w:hAnsi="AppleSystemUIFont" w:cs="AppleSystemUIFont"/>
          <w:sz w:val="22"/>
          <w:szCs w:val="22"/>
          <w:lang w:val="en-US"/>
        </w:rPr>
        <w:t>Huanuco</w:t>
      </w:r>
      <w:proofErr w:type="spellEnd"/>
      <w:r w:rsidRPr="00AE5020">
        <w:rPr>
          <w:rFonts w:ascii="AppleSystemUIFont" w:hAnsi="AppleSystemUIFont" w:cs="AppleSystemUIFont"/>
          <w:sz w:val="22"/>
          <w:szCs w:val="22"/>
          <w:lang w:val="en-US"/>
        </w:rPr>
        <w:t xml:space="preserve">, Peru; </w:t>
      </w:r>
      <w:r w:rsidRPr="00AE5020">
        <w:rPr>
          <w:rFonts w:ascii="AppleSystemUIFont" w:hAnsi="AppleSystemUIFont" w:cs="AppleSystemUIFont"/>
          <w:sz w:val="22"/>
          <w:szCs w:val="22"/>
          <w:vertAlign w:val="superscript"/>
          <w:lang w:val="en-US"/>
        </w:rPr>
        <w:t>9</w:t>
      </w:r>
      <w:r w:rsidRPr="00AE5020">
        <w:rPr>
          <w:rFonts w:ascii="AppleSystemUIFont" w:hAnsi="AppleSystemUIFont" w:cs="AppleSystemUIFont"/>
          <w:sz w:val="22"/>
          <w:szCs w:val="22"/>
          <w:lang w:val="en-US"/>
        </w:rPr>
        <w:t>INBIOMEDIC Research and Technology Center, Lima, Peru</w:t>
      </w:r>
    </w:p>
    <w:p w14:paraId="47D6EDB0" w14:textId="77777777" w:rsidR="00541EEB" w:rsidRPr="00AE5020" w:rsidRDefault="00541EEB" w:rsidP="00541EEB">
      <w:pPr>
        <w:jc w:val="both"/>
        <w:rPr>
          <w:i/>
          <w:iCs/>
          <w:lang w:val="en-US"/>
        </w:rPr>
      </w:pPr>
    </w:p>
    <w:p w14:paraId="1B6947C4" w14:textId="77777777" w:rsidR="00541EEB" w:rsidRPr="00AE5020" w:rsidRDefault="00541EEB" w:rsidP="00541EEB">
      <w:pPr>
        <w:jc w:val="both"/>
        <w:rPr>
          <w:lang w:val="en-US"/>
        </w:rPr>
      </w:pPr>
      <w:r w:rsidRPr="00AE5020">
        <w:rPr>
          <w:i/>
          <w:iCs/>
          <w:lang w:val="en-US"/>
        </w:rPr>
        <w:t>* Corresponding authors: Manuel Corpas; Heinner Guio</w:t>
      </w:r>
    </w:p>
    <w:p w14:paraId="083A7376" w14:textId="77777777" w:rsidR="00541EEB" w:rsidRPr="00AE5020" w:rsidRDefault="00541EEB" w:rsidP="00541EEB">
      <w:pPr>
        <w:jc w:val="both"/>
        <w:rPr>
          <w:lang w:val="en-US"/>
        </w:rPr>
      </w:pPr>
    </w:p>
    <w:p w14:paraId="7A1C3E41" w14:textId="22875651" w:rsidR="00541EEB" w:rsidRPr="00AE5020" w:rsidRDefault="00541EEB" w:rsidP="00541EEB">
      <w:pPr>
        <w:jc w:val="both"/>
        <w:rPr>
          <w:lang w:val="en-US"/>
        </w:rPr>
      </w:pPr>
      <w:r w:rsidRPr="00541EEB">
        <w:rPr>
          <w:lang w:val="en-US"/>
        </w:rPr>
        <w:t xml:space="preserve">This Supplementary </w:t>
      </w:r>
      <w:r w:rsidR="00301D84" w:rsidRPr="00AE5020">
        <w:rPr>
          <w:lang w:val="en-US"/>
        </w:rPr>
        <w:t xml:space="preserve">Materials </w:t>
      </w:r>
      <w:r w:rsidRPr="00541EEB">
        <w:rPr>
          <w:lang w:val="en-US"/>
        </w:rPr>
        <w:t xml:space="preserve">Appendix provides extended context, methods, and results underpinning our main manuscript. We include historical demographic data on the Inca Empire descendants, additional methodological details on sample selection and sequencing, and extended analyses that illustrate the unique genetic architecture of Peruvian Indigenous and mestizo populations. </w:t>
      </w:r>
    </w:p>
    <w:p w14:paraId="22E22F6D" w14:textId="77777777" w:rsidR="00541EEB" w:rsidRPr="00541EEB" w:rsidRDefault="00541EEB" w:rsidP="00541EEB">
      <w:pPr>
        <w:jc w:val="both"/>
        <w:rPr>
          <w:lang w:val="en-US"/>
        </w:rPr>
      </w:pPr>
    </w:p>
    <w:p w14:paraId="0BA88681" w14:textId="6B0980B2" w:rsidR="00301D84" w:rsidRPr="00AE5020" w:rsidRDefault="00541EEB" w:rsidP="00BD07B8">
      <w:pPr>
        <w:jc w:val="both"/>
        <w:rPr>
          <w:lang w:val="en-US"/>
        </w:rPr>
      </w:pPr>
      <w:r w:rsidRPr="00541EEB">
        <w:rPr>
          <w:lang w:val="en-US"/>
        </w:rPr>
        <w:t>In the following sections, we first describe the historical background and rationale for including multiple coastal, highland, and Amazonian communities, along with the ethical and logistical considerations that governed sample collection. We then detail our variant calling pipeline and kinship analyses, which ensure robust quality control and reliable estimates of population structure. Extended tables and figures further document the frequency of high-impact variants, their functional annotations, and the inter-population differences in key pharmacogenes. Finally, we discuss limitations, outline how the data are shared under a community-led framework, and highlight avenues for future research to experimentally validate these potentially actionable findings. Taken together, these supplementary materials provide essential depth for readers seeking to replicate, evaluate, or build upon our study’s findings.</w:t>
      </w:r>
    </w:p>
    <w:p w14:paraId="16BF5662" w14:textId="6118861C" w:rsidR="000D6225" w:rsidRPr="00AE5020" w:rsidRDefault="00301D84" w:rsidP="00831720">
      <w:pPr>
        <w:pStyle w:val="Heading1"/>
        <w:rPr>
          <w:lang w:val="en-US"/>
        </w:rPr>
      </w:pPr>
      <w:r w:rsidRPr="00AE5020">
        <w:rPr>
          <w:lang w:val="en-US"/>
        </w:rPr>
        <w:t>Shifting Demographics and Genetic Adaptations in Andean Communities</w:t>
      </w:r>
    </w:p>
    <w:p w14:paraId="0E06996E" w14:textId="2E06B703" w:rsidR="000D6225" w:rsidRPr="000D6225" w:rsidRDefault="000D6225" w:rsidP="000D6225">
      <w:pPr>
        <w:jc w:val="both"/>
        <w:rPr>
          <w:lang w:val="en-US"/>
        </w:rPr>
      </w:pPr>
      <w:r w:rsidRPr="000D6225">
        <w:rPr>
          <w:lang w:val="en-US"/>
        </w:rPr>
        <w:t xml:space="preserve">The Inca Empire, also known as Tawantinsuyu, was the largest empire in pre-Columbian America. Its administrative </w:t>
      </w:r>
      <w:r w:rsidR="00C70056" w:rsidRPr="000D6225">
        <w:rPr>
          <w:lang w:val="en-US"/>
        </w:rPr>
        <w:t>center</w:t>
      </w:r>
      <w:r w:rsidRPr="000D6225">
        <w:rPr>
          <w:lang w:val="en-US"/>
        </w:rPr>
        <w:t xml:space="preserve"> </w:t>
      </w:r>
      <w:proofErr w:type="gramStart"/>
      <w:r w:rsidRPr="000D6225">
        <w:rPr>
          <w:lang w:val="en-US"/>
        </w:rPr>
        <w:t>was located in</w:t>
      </w:r>
      <w:proofErr w:type="gramEnd"/>
      <w:r w:rsidRPr="000D6225">
        <w:rPr>
          <w:lang w:val="en-US"/>
        </w:rPr>
        <w:t xml:space="preserve"> Cusco, present day Peru. At the height of the empire, it extended across the western part of South America, encompassing varied environments from the Pacific coast and the Andes down to the Amazonian rainforests. The Spanish conquest of the Inca Empire, beginning in 1532 with the arrival of Francisco Pizarro, had devastating effects on the indigenous populations of the empire, inadvertently introducing </w:t>
      </w:r>
      <w:proofErr w:type="gramStart"/>
      <w:r w:rsidRPr="000D6225">
        <w:rPr>
          <w:lang w:val="en-US"/>
        </w:rPr>
        <w:t>a number of</w:t>
      </w:r>
      <w:proofErr w:type="gramEnd"/>
      <w:r w:rsidRPr="000D6225">
        <w:rPr>
          <w:lang w:val="en-US"/>
        </w:rPr>
        <w:t xml:space="preserve"> diseases for which the </w:t>
      </w:r>
      <w:r w:rsidR="0091087F">
        <w:rPr>
          <w:lang w:val="en-US"/>
        </w:rPr>
        <w:t>indigenous</w:t>
      </w:r>
      <w:r w:rsidRPr="000D6225">
        <w:rPr>
          <w:lang w:val="en-US"/>
        </w:rPr>
        <w:t xml:space="preserve"> populations had no immunity. </w:t>
      </w:r>
      <w:r w:rsidRPr="000D6225">
        <w:rPr>
          <w:lang w:val="en-US"/>
        </w:rPr>
        <w:lastRenderedPageBreak/>
        <w:t>Perhaps the deadliest of the pathogens introduced by Europeans was smallpo</w:t>
      </w:r>
      <w:r w:rsidRPr="00AE5020">
        <w:rPr>
          <w:lang w:val="en-US"/>
        </w:rPr>
        <w:t xml:space="preserve">x </w:t>
      </w:r>
      <w:r w:rsidRPr="00AE5020">
        <w:rPr>
          <w:lang w:val="en-US"/>
        </w:rPr>
        <w:fldChar w:fldCharType="begin"/>
      </w:r>
      <w:r w:rsidRPr="00AE5020">
        <w:rPr>
          <w:lang w:val="en-US"/>
        </w:rPr>
        <w:instrText xml:space="preserve"> ADDIN ZOTERO_ITEM CSL_CITATION {"citationID":"Nrq7ZUeD","properties":{"formattedCitation":"\\super 1\\nosupersub{}","plainCitation":"1","noteIndex":0},"citationItems":[{"id":659,"uris":["http://zotero.org/users/16405780/items/MGEC4WJ8"],"itemData":{"id":659,"type":"article-journal","container-title":"Proceedings (Baylor University. Medical Center)","ISSN":"0899-8280","issue":"1","journalAbbreviation":"Proc (Bayl Univ Med Cent)","note":"PMID: 16200144\nPMCID: PMC1200696","page":"21-25","source":"PubMed Central","title":"Edward Jenner and the history of smallpox and vaccination","volume":"18","author":[{"family":"Riedel","given":"Stefan"}],"issued":{"date-parts":[["2005",1]]}}}],"schema":"https://github.com/citation-style-language/schema/raw/master/csl-citation.json"} </w:instrText>
      </w:r>
      <w:r w:rsidRPr="00AE5020">
        <w:rPr>
          <w:lang w:val="en-US"/>
        </w:rPr>
        <w:fldChar w:fldCharType="separate"/>
      </w:r>
      <w:r w:rsidRPr="00AE5020">
        <w:rPr>
          <w:rFonts w:ascii="Calibri" w:cs="Calibri"/>
          <w:vertAlign w:val="superscript"/>
          <w:lang w:val="en-US"/>
        </w:rPr>
        <w:t>1</w:t>
      </w:r>
      <w:r w:rsidRPr="00AE5020">
        <w:rPr>
          <w:lang w:val="en-US"/>
        </w:rPr>
        <w:fldChar w:fldCharType="end"/>
      </w:r>
      <w:r w:rsidRPr="000D6225">
        <w:rPr>
          <w:lang w:val="en-US"/>
        </w:rPr>
        <w:t xml:space="preserve">, spreading faster than the Spanish conquest itself. While influenza was not as deadly as smallpox, it did also cause significant deaths among </w:t>
      </w:r>
      <w:r w:rsidR="0091087F">
        <w:rPr>
          <w:lang w:val="en-US"/>
        </w:rPr>
        <w:t>indigenous</w:t>
      </w:r>
      <w:r w:rsidRPr="000D6225">
        <w:rPr>
          <w:lang w:val="en-US"/>
        </w:rPr>
        <w:t xml:space="preserve"> populations</w:t>
      </w:r>
      <w:r w:rsidRPr="00AE5020">
        <w:rPr>
          <w:lang w:val="en-US"/>
        </w:rPr>
        <w:t xml:space="preserve"> </w:t>
      </w:r>
      <w:r w:rsidRPr="00AE5020">
        <w:rPr>
          <w:lang w:val="en-US"/>
        </w:rPr>
        <w:fldChar w:fldCharType="begin"/>
      </w:r>
      <w:r w:rsidRPr="00AE5020">
        <w:rPr>
          <w:lang w:val="en-US"/>
        </w:rPr>
        <w:instrText xml:space="preserve"> ADDIN ZOTERO_ITEM CSL_CITATION {"citationID":"IIo2hk7t","properties":{"formattedCitation":"\\super 2\\nosupersub{}","plainCitation":"2","noteIndex":0},"citationItems":[{"id":662,"uris":["http://zotero.org/users/16405780/items/KB6F2MJQ"],"itemData":{"id":662,"type":"article-journal","abstract":"The incidence and severity of COVID-19 infections have been disproportionately high in Native American populations. Native Americans are a high-risk group for COVID-19 because of a variety of healthcare disparities. Historically, these populations suffered excessively during previous epidemics in the United States (US). Several epidemics occurred when disease-naïve indigenous peoples were exposed to European settlers with herd immunity. Native American populations had four times higher mortality in the 1918 Spanish flu epidemic. Deaths from H1N1 infections were higher in Native Americans and most cases and deaths from the Hantavirus pulmonary syndrome (HPS) occurred in Native Americans. Other infectious diseases, including HIV, hepatitis A and hepatitis C are more also common. Diabetes, alcoholism and cardiovascular diseases, all risk factors for severity and mortality in COVID-19 infection, are also more common in this group. Addressing the root causes of enhanced risk in Native American populations will improve outcomes from COVID-19 and future pandemics.","container-title":"The American Journal of the Medical Sciences","DOI":"10.1016/j.amjms.2022.01.005","ISSN":"1538-2990","issue":"4","journalAbbreviation":"Am J Med Sci","language":"eng","note":"PMID: 35085528\nPMCID: PMC8785365","page":"288-294","source":"PubMed","title":"A Historical Perspective of Healthcare Disparity and Infectious Disease in the Native American Population","volume":"363","author":[{"family":"Ehrenpreis","given":"Jamie E."},{"family":"Ehrenpreis","given":"Eli D."}],"issued":{"date-parts":[["2022",4]]}}}],"schema":"https://github.com/citation-style-language/schema/raw/master/csl-citation.json"} </w:instrText>
      </w:r>
      <w:r w:rsidRPr="00AE5020">
        <w:rPr>
          <w:lang w:val="en-US"/>
        </w:rPr>
        <w:fldChar w:fldCharType="separate"/>
      </w:r>
      <w:r w:rsidRPr="00AE5020">
        <w:rPr>
          <w:rFonts w:ascii="Calibri" w:cs="Calibri"/>
          <w:vertAlign w:val="superscript"/>
          <w:lang w:val="en-US"/>
        </w:rPr>
        <w:t>2</w:t>
      </w:r>
      <w:r w:rsidRPr="00AE5020">
        <w:rPr>
          <w:lang w:val="en-US"/>
        </w:rPr>
        <w:fldChar w:fldCharType="end"/>
      </w:r>
      <w:r w:rsidRPr="000D6225">
        <w:rPr>
          <w:lang w:val="en-US"/>
        </w:rPr>
        <w:t xml:space="preserve">. </w:t>
      </w:r>
      <w:proofErr w:type="gramStart"/>
      <w:r w:rsidRPr="000D6225">
        <w:rPr>
          <w:lang w:val="en-US"/>
        </w:rPr>
        <w:t>A number of</w:t>
      </w:r>
      <w:proofErr w:type="gramEnd"/>
      <w:r w:rsidRPr="000D6225">
        <w:rPr>
          <w:lang w:val="en-US"/>
        </w:rPr>
        <w:t xml:space="preserve"> catastrophic epidemics swept the region, killing the Inca leader Huayna Capac and his son. These waves of epidemic disease included smallpox, influenza, tuberculosis, measles, mumps, dysentery, typhus, and pneumonia</w:t>
      </w:r>
      <w:r w:rsidRPr="00AE5020">
        <w:rPr>
          <w:lang w:val="en-US"/>
        </w:rPr>
        <w:t xml:space="preserve"> </w:t>
      </w:r>
      <w:r w:rsidRPr="00AE5020">
        <w:rPr>
          <w:lang w:val="en-US"/>
        </w:rPr>
        <w:fldChar w:fldCharType="begin"/>
      </w:r>
      <w:r w:rsidRPr="00AE5020">
        <w:rPr>
          <w:lang w:val="en-US"/>
        </w:rPr>
        <w:instrText xml:space="preserve"> ADDIN ZOTERO_ITEM CSL_CITATION {"citationID":"aa0ElxQz","properties":{"formattedCitation":"\\super 3\\nosupersub{}","plainCitation":"3","noteIndex":0},"citationItems":[{"id":665,"uris":["http://zotero.org/users/16405780/items/7J94AGAT"],"itemData":{"id":665,"type":"webpage","title":"The Impact of European Diseases on Native Americans | Encyclopedia.com","URL":"https://www.encyclopedia.com/science/encyclopedias-almanacs-transcripts-and-maps/impact-european-diseases-native-americans","accessed":{"date-parts":[["2025",4,2]]}}}],"schema":"https://github.com/citation-style-language/schema/raw/master/csl-citation.json"} </w:instrText>
      </w:r>
      <w:r w:rsidRPr="00AE5020">
        <w:rPr>
          <w:lang w:val="en-US"/>
        </w:rPr>
        <w:fldChar w:fldCharType="separate"/>
      </w:r>
      <w:r w:rsidRPr="00AE5020">
        <w:rPr>
          <w:rFonts w:ascii="Calibri" w:cs="Calibri"/>
          <w:vertAlign w:val="superscript"/>
          <w:lang w:val="en-US"/>
        </w:rPr>
        <w:t>3</w:t>
      </w:r>
      <w:r w:rsidRPr="00AE5020">
        <w:rPr>
          <w:lang w:val="en-US"/>
        </w:rPr>
        <w:fldChar w:fldCharType="end"/>
      </w:r>
      <w:r w:rsidRPr="000D6225">
        <w:rPr>
          <w:lang w:val="en-US"/>
        </w:rPr>
        <w:t>. </w:t>
      </w:r>
    </w:p>
    <w:p w14:paraId="2E38D872" w14:textId="77777777" w:rsidR="000D6225" w:rsidRPr="000D6225" w:rsidRDefault="000D6225" w:rsidP="000D6225">
      <w:pPr>
        <w:jc w:val="both"/>
        <w:rPr>
          <w:lang w:val="en-US"/>
        </w:rPr>
      </w:pPr>
    </w:p>
    <w:p w14:paraId="55D44BD4" w14:textId="7F34DC1C" w:rsidR="000D6225" w:rsidRPr="000D6225" w:rsidRDefault="000D6225" w:rsidP="000D6225">
      <w:pPr>
        <w:jc w:val="both"/>
        <w:rPr>
          <w:lang w:val="en-US"/>
        </w:rPr>
      </w:pPr>
      <w:r w:rsidRPr="000D6225">
        <w:rPr>
          <w:lang w:val="en-US"/>
        </w:rPr>
        <w:t>The effects of newly introduced pathogens in indigenous populations of the Americas are explained by their isolation from the Eurasian continent for 23,000 years</w:t>
      </w:r>
      <w:r w:rsidRPr="00AE5020">
        <w:rPr>
          <w:lang w:val="en-US"/>
        </w:rPr>
        <w:t xml:space="preserve"> </w:t>
      </w:r>
      <w:r w:rsidRPr="00AE5020">
        <w:rPr>
          <w:lang w:val="en-US"/>
        </w:rPr>
        <w:fldChar w:fldCharType="begin"/>
      </w:r>
      <w:r w:rsidRPr="00AE5020">
        <w:rPr>
          <w:lang w:val="en-US"/>
        </w:rPr>
        <w:instrText xml:space="preserve"> ADDIN ZOTERO_ITEM CSL_CITATION {"citationID":"2gHS1hf9","properties":{"formattedCitation":"\\super 4\\nosupersub{}","plainCitation":"4","noteIndex":0},"citationItems":[{"id":437,"uris":["http://zotero.org/users/16405780/items/ZQW5D9EI"],"itemData":{"id":437,"type":"article-journal","abstract":"Through the Peruvian Genome Project we generate and analyze the genomes of 280 individuals where the majority have &gt;90% Native American ancestry and explore questions at the interface of evolutionary genetics, history, anthropology, and medicine. This is the most extensive sampling of high-coverage Native American and mestizo whole genomes to date. We estimate an initial peopling of Peru was rapid and began by 12,000 y ago. In addition, the mestizo populations exhibit admixture between Native American groups prior to their Spanish admixture and was likely influenced by the Inca Empire and Spanish conquest. Our results address important Native American population history questions and establish a dataset beneficial to address the underrepresentation of Native American ancestry in sequencing studies., Native Americans from the Amazon, Andes, and coastal geographic regions of South America have a rich cultural heritage but are genetically understudied, therefore leading to gaps in our knowledge of their genomic architecture and demographic history. In this study, we sequence 150 genomes to high coverage combined with an additional 130 genotype array samples from Native American and mestizo populations in Peru. The majority of our samples possess greater than 90% Native American ancestry, which makes this the most extensive Native American sequencing project to date. Demographic modeling reveals that the peopling of Peru began </w:instrText>
      </w:r>
      <w:r w:rsidRPr="00AE5020">
        <w:rPr>
          <w:rFonts w:ascii="Cambria Math" w:hAnsi="Cambria Math" w:cs="Cambria Math"/>
          <w:lang w:val="en-US"/>
        </w:rPr>
        <w:instrText>∼</w:instrText>
      </w:r>
      <w:r w:rsidRPr="00AE5020">
        <w:rPr>
          <w:lang w:val="en-US"/>
        </w:rPr>
        <w:instrText xml:space="preserve">12,000 y ago, consistent with the hypothesis of the rapid peopling of the Americas and Peruvian archeological data. We find that the Native American populations possess distinct ancestral divisions, whereas the mestizo groups were admixtures of multiple Native American communities that occurred before and during the Inca Empire and Spanish rule. In addition, the mestizo communities also show Spanish introgression largely following Peruvian Independence, nearly 300 y after Spain conquered Peru. Further, we estimate migration events between Peruvian populations from all three geographic regions with the majority of between-region migration moving from the high Andes to the low-altitude Amazon and coast. As such, we present a detailed model of the evolutionary dynamics which impacted the genomes of modern-day Peruvians and a Native American ancestry dataset that will serve as a beneficial resource to addressing the underrepresentation of Native American ancestry in sequencing studies.","container-title":"Proceedings of the National Academy of Sciences of the United States of America","DOI":"10.1073/pnas.1720798115","ISSN":"0027-8424","issue":"28","journalAbbreviation":"Proc Natl Acad Sci U S A","note":"PMID: 29946025\nPMCID: PMC6048481","page":"E6526-E6535","source":"PubMed Central","title":"Evolutionary genomic dynamics of Peruvians before, during, and after the Inca Empire","volume":"115","author":[{"family":"Harris","given":"Daniel N."},{"family":"Song","given":"Wei"},{"family":"Shetty","given":"Amol C."},{"family":"Levano","given":"Kelly S."},{"family":"Cáceres","given":"Omar"},{"family":"Padilla","given":"Carlos"},{"family":"Borda","given":"Víctor"},{"family":"Tarazona","given":"David"},{"family":"Trujillo","given":"Omar"},{"family":"Sanchez","given":"Cesar"},{"family":"Kessler","given":"Michael D."},{"family":"Galarza","given":"Marco"},{"family":"Capristano","given":"Silvia"},{"family":"Montejo","given":"Harrison"},{"family":"Flores-Villanueva","given":"Pedro O."},{"family":"Tarazona-Santos","given":"Eduardo"},{"family":"O’Connor","given":"Timothy D."},{"family":"Guio","given":"Heinner"}],"issued":{"date-parts":[["2018",7,10]]}}}],"schema":"https://github.com/citation-style-language/schema/raw/master/csl-citation.json"} </w:instrText>
      </w:r>
      <w:r w:rsidRPr="00AE5020">
        <w:rPr>
          <w:lang w:val="en-US"/>
        </w:rPr>
        <w:fldChar w:fldCharType="separate"/>
      </w:r>
      <w:r w:rsidRPr="00AE5020">
        <w:rPr>
          <w:rFonts w:ascii="Calibri" w:cs="Calibri"/>
          <w:vertAlign w:val="superscript"/>
          <w:lang w:val="en-US"/>
        </w:rPr>
        <w:t>4</w:t>
      </w:r>
      <w:r w:rsidRPr="00AE5020">
        <w:rPr>
          <w:lang w:val="en-US"/>
        </w:rPr>
        <w:fldChar w:fldCharType="end"/>
      </w:r>
      <w:r w:rsidRPr="000D6225">
        <w:rPr>
          <w:lang w:val="en-US"/>
        </w:rPr>
        <w:t xml:space="preserve">. Not having developed immunity to the diseases that were common in Europe and Asia led to a devastating reduction of the Inca population, from an estimated peak of 16 million to less than 2 million around the year 1600 when the population started to </w:t>
      </w:r>
      <w:r w:rsidR="00C01C95" w:rsidRPr="000D6225">
        <w:rPr>
          <w:lang w:val="en-US"/>
        </w:rPr>
        <w:t>stabilize</w:t>
      </w:r>
      <w:r w:rsidRPr="000D6225">
        <w:rPr>
          <w:lang w:val="en-US"/>
        </w:rPr>
        <w:t xml:space="preserve"> (</w:t>
      </w:r>
      <w:r w:rsidRPr="000D6225">
        <w:rPr>
          <w:b/>
          <w:bCs/>
          <w:lang w:val="en-US"/>
        </w:rPr>
        <w:t>Fig</w:t>
      </w:r>
      <w:r w:rsidRPr="00AE5020">
        <w:rPr>
          <w:b/>
          <w:bCs/>
          <w:lang w:val="en-US"/>
        </w:rPr>
        <w:t>.</w:t>
      </w:r>
      <w:r w:rsidRPr="000D6225">
        <w:rPr>
          <w:b/>
          <w:bCs/>
          <w:lang w:val="en-US"/>
        </w:rPr>
        <w:t xml:space="preserve"> 1</w:t>
      </w:r>
      <w:r w:rsidRPr="000D6225">
        <w:rPr>
          <w:lang w:val="en-US"/>
        </w:rPr>
        <w:t xml:space="preserve">). This led to a significant bottleneck in </w:t>
      </w:r>
      <w:r w:rsidR="0091087F">
        <w:rPr>
          <w:lang w:val="en-US"/>
        </w:rPr>
        <w:t>indigenous</w:t>
      </w:r>
      <w:r w:rsidRPr="000D6225">
        <w:rPr>
          <w:lang w:val="en-US"/>
        </w:rPr>
        <w:t xml:space="preserve"> populations that has not recovered to this day. For populations with a genetic lineage tracing back to the Incas, the </w:t>
      </w:r>
      <w:r w:rsidR="00C01C95" w:rsidRPr="000D6225">
        <w:rPr>
          <w:lang w:val="en-US"/>
        </w:rPr>
        <w:t>characterization</w:t>
      </w:r>
      <w:r w:rsidRPr="000D6225">
        <w:rPr>
          <w:lang w:val="en-US"/>
        </w:rPr>
        <w:t xml:space="preserve"> of genetic factors contributing to infectious disease susceptibility may help explain some of the deadliest pandemics that affected the Americas before and after contact with Europeans. By tracing changes in frequency of certain genetic variants that might have offered a detrimental effect in the face of past epidemics, we can help address some of the historical health inequities that continue to affect </w:t>
      </w:r>
      <w:r w:rsidR="0091087F">
        <w:rPr>
          <w:lang w:val="en-US"/>
        </w:rPr>
        <w:t>indigenous</w:t>
      </w:r>
      <w:r w:rsidRPr="000D6225">
        <w:rPr>
          <w:lang w:val="en-US"/>
        </w:rPr>
        <w:t xml:space="preserve"> populations in the continent. </w:t>
      </w:r>
    </w:p>
    <w:p w14:paraId="4C6DE99E" w14:textId="77777777" w:rsidR="000D6225" w:rsidRPr="000D6225" w:rsidRDefault="000D6225" w:rsidP="000D6225">
      <w:pPr>
        <w:jc w:val="both"/>
        <w:rPr>
          <w:lang w:val="en-US"/>
        </w:rPr>
      </w:pPr>
    </w:p>
    <w:p w14:paraId="2FA837ED" w14:textId="2E1DAFBC" w:rsidR="000D6225" w:rsidRPr="000D6225" w:rsidRDefault="000D6225" w:rsidP="000D6225">
      <w:pPr>
        <w:jc w:val="both"/>
        <w:rPr>
          <w:lang w:val="en-US"/>
        </w:rPr>
      </w:pPr>
      <w:r w:rsidRPr="000D6225">
        <w:rPr>
          <w:lang w:val="en-US"/>
        </w:rPr>
        <w:fldChar w:fldCharType="begin"/>
      </w:r>
      <w:r w:rsidRPr="000D6225">
        <w:rPr>
          <w:lang w:val="en-US"/>
        </w:rPr>
        <w:instrText xml:space="preserve"> INCLUDEPICTURE "https://lh7-rt.googleusercontent.com/docsz/AD_4nXcmwfM1gqCAwngYRrj34t835OE88636Rzcgy7dNiVo9uUGjF5zPld6EYtcqYRQFspmU3T3LuceVLxkfHM7blwjPNWbWGnwfDuBfauzK65lxZCMoKuB3JgZod9C9_bm6H-1U6UVEhSz0XTZQwL3br_pVEss?key=2BRaS9Wc4VsLqGoil2hjEw" \* MERGEFORMATINET </w:instrText>
      </w:r>
      <w:r w:rsidRPr="000D6225">
        <w:rPr>
          <w:lang w:val="en-US"/>
        </w:rPr>
        <w:fldChar w:fldCharType="separate"/>
      </w:r>
      <w:r w:rsidRPr="00AE5020">
        <w:rPr>
          <w:lang w:val="en-US"/>
        </w:rPr>
        <w:drawing>
          <wp:inline distT="0" distB="0" distL="0" distR="0" wp14:anchorId="4DD8B78E" wp14:editId="43F32C86">
            <wp:extent cx="5727700" cy="4034790"/>
            <wp:effectExtent l="0" t="0" r="0" b="3810"/>
            <wp:docPr id="1209091605" name="Picture 1" descr="A graph with a line going u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091605" name="Picture 1" descr="A graph with a line going up&#10;&#10;AI-generated content may be incorrec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27700" cy="4034790"/>
                    </a:xfrm>
                    <a:prstGeom prst="rect">
                      <a:avLst/>
                    </a:prstGeom>
                    <a:noFill/>
                    <a:ln>
                      <a:noFill/>
                    </a:ln>
                  </pic:spPr>
                </pic:pic>
              </a:graphicData>
            </a:graphic>
          </wp:inline>
        </w:drawing>
      </w:r>
      <w:r w:rsidRPr="000D6225">
        <w:rPr>
          <w:lang w:val="en-US"/>
        </w:rPr>
        <w:fldChar w:fldCharType="end"/>
      </w:r>
    </w:p>
    <w:p w14:paraId="63765DA8" w14:textId="23DAD099" w:rsidR="000D6225" w:rsidRPr="000D6225" w:rsidRDefault="000D6225" w:rsidP="000D6225">
      <w:pPr>
        <w:jc w:val="both"/>
        <w:rPr>
          <w:sz w:val="20"/>
          <w:szCs w:val="20"/>
          <w:lang w:val="en-US"/>
        </w:rPr>
      </w:pPr>
      <w:r w:rsidRPr="000D6225">
        <w:rPr>
          <w:b/>
          <w:bCs/>
          <w:sz w:val="20"/>
          <w:szCs w:val="20"/>
          <w:lang w:val="en-US"/>
        </w:rPr>
        <w:t>Figure 1</w:t>
      </w:r>
      <w:r w:rsidRPr="000D6225">
        <w:rPr>
          <w:sz w:val="20"/>
          <w:szCs w:val="20"/>
          <w:lang w:val="en-US"/>
        </w:rPr>
        <w:t xml:space="preserve">. The impact of the arrival of Spanish conquistadors in the population of the Inca Empire. From an estimated peak of 16 million, it was reduced to less than 2 million around the year 1600 when the population started to </w:t>
      </w:r>
      <w:proofErr w:type="spellStart"/>
      <w:r w:rsidRPr="000D6225">
        <w:rPr>
          <w:sz w:val="20"/>
          <w:szCs w:val="20"/>
          <w:lang w:val="en-US"/>
        </w:rPr>
        <w:t>stabilise</w:t>
      </w:r>
      <w:proofErr w:type="spellEnd"/>
      <w:r w:rsidRPr="000D6225">
        <w:rPr>
          <w:sz w:val="20"/>
          <w:szCs w:val="20"/>
          <w:lang w:val="en-US"/>
        </w:rPr>
        <w:t xml:space="preserve">. </w:t>
      </w:r>
      <w:r w:rsidRPr="00AE5020">
        <w:rPr>
          <w:sz w:val="20"/>
          <w:szCs w:val="20"/>
          <w:lang w:val="en-US"/>
        </w:rPr>
        <w:t>Source:</w:t>
      </w:r>
      <w:r w:rsidRPr="000D6225">
        <w:rPr>
          <w:sz w:val="20"/>
          <w:szCs w:val="20"/>
          <w:lang w:val="en-US"/>
        </w:rPr>
        <w:t xml:space="preserve"> </w:t>
      </w:r>
      <w:r w:rsidRPr="00AE5020">
        <w:rPr>
          <w:sz w:val="20"/>
          <w:szCs w:val="20"/>
          <w:lang w:val="en-US"/>
        </w:rPr>
        <w:fldChar w:fldCharType="begin"/>
      </w:r>
      <w:r w:rsidRPr="00AE5020">
        <w:rPr>
          <w:sz w:val="20"/>
          <w:szCs w:val="20"/>
          <w:lang w:val="en-US"/>
        </w:rPr>
        <w:instrText xml:space="preserve"> ADDIN ZOTERO_ITEM CSL_CITATION {"citationID":"tT70GmH8","properties":{"formattedCitation":"\\super 5\\nosupersub{}","plainCitation":"5","noteIndex":0},"citationItems":[{"id":667,"uris":["http://zotero.org/users/16405780/items/A9VQJEKT"],"itemData":{"id":667,"type":"webpage","abstract":"Inca population estimates vary greatly, but many Inca historians place the figure between 6 million and 14 million people.","container-title":"How to Peru","title":"Inca Population Estimates","URL":"https://howtoperu.com/inca-population-estimates/","author":[{"family":"Ochoa","given":"Danny"}],"accessed":{"date-parts":[["2025",4,2]]},"issued":{"date-parts":[["2012",11,29]]}}}],"schema":"https://github.com/citation-style-language/schema/raw/master/csl-citation.json"} </w:instrText>
      </w:r>
      <w:r w:rsidRPr="00AE5020">
        <w:rPr>
          <w:sz w:val="20"/>
          <w:szCs w:val="20"/>
          <w:lang w:val="en-US"/>
        </w:rPr>
        <w:fldChar w:fldCharType="separate"/>
      </w:r>
      <w:r w:rsidRPr="00AE5020">
        <w:rPr>
          <w:rFonts w:ascii="Calibri" w:cs="Calibri"/>
          <w:sz w:val="20"/>
          <w:vertAlign w:val="superscript"/>
          <w:lang w:val="en-US"/>
        </w:rPr>
        <w:t>5</w:t>
      </w:r>
      <w:r w:rsidRPr="00AE5020">
        <w:rPr>
          <w:sz w:val="20"/>
          <w:szCs w:val="20"/>
          <w:lang w:val="en-US"/>
        </w:rPr>
        <w:fldChar w:fldCharType="end"/>
      </w:r>
      <w:r w:rsidRPr="00AE5020">
        <w:rPr>
          <w:sz w:val="20"/>
          <w:szCs w:val="20"/>
          <w:lang w:val="en-US"/>
        </w:rPr>
        <w:t>.</w:t>
      </w:r>
    </w:p>
    <w:p w14:paraId="4EF3D8B6" w14:textId="77777777" w:rsidR="000D6225" w:rsidRPr="000D6225" w:rsidRDefault="000D6225" w:rsidP="000D6225">
      <w:pPr>
        <w:jc w:val="both"/>
        <w:rPr>
          <w:lang w:val="en-US"/>
        </w:rPr>
      </w:pPr>
    </w:p>
    <w:p w14:paraId="548140D9" w14:textId="27929E15" w:rsidR="000D6225" w:rsidRPr="00AE5020" w:rsidRDefault="000D6225" w:rsidP="00AE5020">
      <w:pPr>
        <w:jc w:val="both"/>
        <w:rPr>
          <w:lang w:val="en-US"/>
        </w:rPr>
      </w:pPr>
      <w:r w:rsidRPr="000D6225">
        <w:rPr>
          <w:lang w:val="en-US"/>
        </w:rPr>
        <w:t xml:space="preserve">The genetic impact of the colonial era is not just a matter of historical interest, it also has critical implications for present day medical research and healthcare delivery. Not only </w:t>
      </w:r>
      <w:r w:rsidRPr="000D6225">
        <w:rPr>
          <w:lang w:val="en-US"/>
        </w:rPr>
        <w:lastRenderedPageBreak/>
        <w:t>indigenous populations have been severely underrepresented in genetic research</w:t>
      </w:r>
      <w:r w:rsidRPr="00AE5020">
        <w:rPr>
          <w:lang w:val="en-US"/>
        </w:rPr>
        <w:t xml:space="preserve"> </w:t>
      </w:r>
      <w:r w:rsidRPr="00AE5020">
        <w:rPr>
          <w:lang w:val="en-US"/>
        </w:rPr>
        <w:fldChar w:fldCharType="begin"/>
      </w:r>
      <w:r w:rsidRPr="00AE5020">
        <w:rPr>
          <w:lang w:val="en-US"/>
        </w:rPr>
        <w:instrText xml:space="preserve"> ADDIN ZOTERO_ITEM CSL_CITATION {"citationID":"APCCV22N","properties":{"formattedCitation":"\\super 6,7\\nosupersub{}","plainCitation":"6,7","noteIndex":0},"citationItems":[{"id":288,"uris":["http://zotero.org/users/16405780/items/4BFQGWAK"],"itemData":{"id":288,"type":"article-journal","abstract":"A lack of diversity in genomics for health continues to hinder equitable leadership and access to precision medicine approaches for underrepresented populations. To avoid perpetuating biases within the genomics workforce and genomic data collection practices, equity, diversity, and inclusion (EDI) must be addressed. This paper documents the journey taken by the Global Alliance for Genomics and Health (a genomics-based standard-setting and policy-framing organization) to create a more equitable, diverse, and inclusive environment for its standards and members. Initial steps include the creation of two groups: the Equity, Diversity, and Inclusion Advisory Group and the Regulatory and Ethics Diversity Group. Following a framework that we call “Reflected in our Teams, Reflected in our Standards,” both groups address EDI at different stages in their policy development process.","container-title":"Cell Genomics","DOI":"10.1016/J.XGEN.2023.100386","ISSN":"2666-979X","issue":"10","note":"publisher: Elsevier","page":"100386","title":"Equity, diversity, and inclusion at the Global Alliance for Genomics and Health","volume":"3","author":[{"family":"Skantharajah","given":"Neerjah"},{"family":"Baichoo","given":"Shakuntala"},{"family":"Boughtwood","given":"Tiffany F."},{"family":"Casas-Silva","given":"Esmeralda"},{"family":"Chandrasekharan","given":"Subhashini"},{"family":"Dave","given":"Sanjay M."},{"family":"Fakhro","given":"Khalid A."},{"family":"Vargas","given":"Aida B. Falcon","dropping-particle":"de"},{"family":"Gayle","given":"Sylvia S."},{"family":"Gupta","given":"Vivek K."},{"family":"Hendricks-Sturrup","given":"Rachele"},{"family":"Hobb","given":"Ashley E."},{"family":"Li","given":"Stephanie"},{"family":"Llamas","given":"Bastien"},{"family":"Lopez-Correa","given":"Catalina"},{"family":"Machirori","given":"Mavis"},{"family":"Melendez-Zajgla","given":"Jorge"},{"family":"Millner","given":"Mareike A."},{"family":"Page","given":"Angela J. H."},{"family":"Paglione","given":"Laura D."},{"family":"Raven-Adams","given":"Maili C."},{"family":"Smith","given":"Lindsay"},{"family":"Thomas","given":"Ericka M."},{"family":"Kumuthini","given":"Judit"},{"family":"Corpas","given":"Manuel"}],"issued":{"date-parts":[["2023",10]]}}},{"id":73,"uris":["http://zotero.org/users/16405780/items/HCRK6BQH"],"itemData":{"id":73,"type":"article-journal","container-title":"Cell genomics","issue":"1","note":"publisher: Elsevier","title":"Bridging genomics’ greatest challenge: The diversity gap","volume":"5","author":[{"family":"Corpas","given":"Manuel"},{"family":"Pius","given":"Mkpouto"},{"family":"Poburennaya","given":"Marie"},{"family":"Guio","given":"Heinner"},{"family":"Dwek","given":"Miriam"},{"family":"Nagaraj","given":"Shivashankar"},{"family":"Lopez-Correa","given":"Catalina"},{"family":"Popejoy","given":"Alice"},{"family":"Fatumo","given":"Segun"}],"issued":{"date-parts":[["2025"]]}}}],"schema":"https://github.com/citation-style-language/schema/raw/master/csl-citation.json"} </w:instrText>
      </w:r>
      <w:r w:rsidRPr="00AE5020">
        <w:rPr>
          <w:lang w:val="en-US"/>
        </w:rPr>
        <w:fldChar w:fldCharType="separate"/>
      </w:r>
      <w:r w:rsidRPr="00AE5020">
        <w:rPr>
          <w:rFonts w:ascii="Calibri" w:cs="Calibri"/>
          <w:vertAlign w:val="superscript"/>
          <w:lang w:val="en-US"/>
        </w:rPr>
        <w:t>6,7</w:t>
      </w:r>
      <w:r w:rsidRPr="00AE5020">
        <w:rPr>
          <w:lang w:val="en-US"/>
        </w:rPr>
        <w:fldChar w:fldCharType="end"/>
      </w:r>
      <w:r w:rsidRPr="000D6225">
        <w:rPr>
          <w:lang w:val="en-US"/>
        </w:rPr>
        <w:t>, knowledge of their genetic adaptations involved in health can be a key advancement for ameliorating current health disparities</w:t>
      </w:r>
      <w:r w:rsidRPr="00AE5020">
        <w:rPr>
          <w:lang w:val="en-US"/>
        </w:rPr>
        <w:t xml:space="preserve"> </w:t>
      </w:r>
      <w:r w:rsidR="00AE5020" w:rsidRPr="00AE5020">
        <w:rPr>
          <w:lang w:val="en-US"/>
        </w:rPr>
        <w:fldChar w:fldCharType="begin"/>
      </w:r>
      <w:r w:rsidR="00AE5020" w:rsidRPr="00AE5020">
        <w:rPr>
          <w:lang w:val="en-US"/>
        </w:rPr>
        <w:instrText xml:space="preserve"> ADDIN ZOTERO_ITEM CSL_CITATION {"citationID":"1dsg0R00","properties":{"formattedCitation":"\\super 8\\nosupersub{}","plainCitation":"8","noteIndex":0},"citationItems":[{"id":669,"uris":["http://zotero.org/users/16405780/items/3MSBFX4F"],"itemData":{"id":669,"type":"article-journal","abstract":"Research to understand human genomic variation and its implications in health has great potential to contribute in the reduction of health disparities. Biological anthropology can play important roles in genomics and health disparities research using a biocultural approach. This paper argues that racial/ethnic categories should not be used as a surrogate for sociocultural factors or global genomic clusters in biomedical research or clinical settings, because of the high genetic heterogeneity that exists within traditional racial/ethnic groups. Genetic ancestry is used to show variation in ancestral genomic contributions to recently admixed populations in the United States, such as African Americans and Hispanic/Latino Americans. Genetic ancestry estimates are also used to examine the relationship between ancestry-related biological and sociocultural factors affecting health disparities. To localize areas of genomes that contribute to health disparities, admixture mapping and genome-wide association studies (GWAS) are often used. Recent GWAS have identified many genetic variants that are highly differentiated among human populations that are associated with disease risk. Some of these are population-specific variants. Many of these variants may impact disease risk and help explain a portion of the difference in disease burden among racial/ethnic groups. Genetic ancestry is also of particular interest in precision medicine and disparities in drug efficacy and outcomes. By using genetic ancestry, we can learn about potential biological differences that may contribute to the heterogeneity observed across self-reported racial groups.","container-title":"American Journal of Physical Anthropology","DOI":"10.1002/ajpa.24144","ISSN":"1096-8644","issue":"2","journalAbbreviation":"Am J Phys Anthropol","language":"eng","note":"PMID: 32935870\nPMCID: PMC8246846","page":"363-375","source":"PubMed","title":"Leveraging genetic ancestry to study health disparities","volume":"175","author":[{"family":"Batai","given":"Ken"},{"family":"Hooker","given":"Stanley"},{"family":"Kittles","given":"Rick A."}],"issued":{"date-parts":[["2021",6]]}}}],"schema":"https://github.com/citation-style-language/schema/raw/master/csl-citation.json"} </w:instrText>
      </w:r>
      <w:r w:rsidR="00AE5020" w:rsidRPr="00AE5020">
        <w:rPr>
          <w:lang w:val="en-US"/>
        </w:rPr>
        <w:fldChar w:fldCharType="separate"/>
      </w:r>
      <w:r w:rsidR="00AE5020" w:rsidRPr="00AE5020">
        <w:rPr>
          <w:rFonts w:ascii="Calibri" w:cs="Calibri"/>
          <w:vertAlign w:val="superscript"/>
          <w:lang w:val="en-US"/>
        </w:rPr>
        <w:t>8</w:t>
      </w:r>
      <w:r w:rsidR="00AE5020" w:rsidRPr="00AE5020">
        <w:rPr>
          <w:lang w:val="en-US"/>
        </w:rPr>
        <w:fldChar w:fldCharType="end"/>
      </w:r>
      <w:r w:rsidRPr="000D6225">
        <w:rPr>
          <w:lang w:val="en-US"/>
        </w:rPr>
        <w:t xml:space="preserve">. Therefore, for diseases that have historically affected the Inca population disproportionally such as pathogen-induced infections, identification of new relevant genetic associations may warrant innovative targeted interventions. These interventions could also help improve the population’s current health and its ability to adapt to new pandemics such as COVID-19. We note, for instance, that modern day Peru has the world’s greatest death rate per million population for COVID-19 disease </w:t>
      </w:r>
      <w:r w:rsidR="00AE5020" w:rsidRPr="00AE5020">
        <w:rPr>
          <w:lang w:val="en-US"/>
        </w:rPr>
        <w:fldChar w:fldCharType="begin"/>
      </w:r>
      <w:r w:rsidR="00AE5020" w:rsidRPr="00AE5020">
        <w:rPr>
          <w:lang w:val="en-US"/>
        </w:rPr>
        <w:instrText xml:space="preserve"> ADDIN ZOTERO_ITEM CSL_CITATION {"citationID":"vxbNHyp0","properties":{"formattedCitation":"\\super 9\\nosupersub{}","plainCitation":"9","noteIndex":0},"citationItems":[{"id":672,"uris":["http://zotero.org/users/16405780/items/5M8NYBPQ"],"itemData":{"id":672,"type":"webpage","abstract":"COVID deaths worldwide were highest in Peru, topping a list that compares deaths per million in 210 countries worldwide.","container-title":"Statista","language":"en","title":"COVID-19 deaths per capita by country","URL":"https://www.statista.com/statistics/1104709/coronavirus-deaths-worldwide-per-million-inhabitants/","accessed":{"date-parts":[["2025",4,2]]}}}],"schema":"https://github.com/citation-style-language/schema/raw/master/csl-citation.json"} </w:instrText>
      </w:r>
      <w:r w:rsidR="00AE5020" w:rsidRPr="00AE5020">
        <w:rPr>
          <w:lang w:val="en-US"/>
        </w:rPr>
        <w:fldChar w:fldCharType="separate"/>
      </w:r>
      <w:r w:rsidR="00AE5020" w:rsidRPr="00AE5020">
        <w:rPr>
          <w:rFonts w:ascii="Calibri" w:cs="Calibri"/>
          <w:vertAlign w:val="superscript"/>
          <w:lang w:val="en-US"/>
        </w:rPr>
        <w:t>9</w:t>
      </w:r>
      <w:r w:rsidR="00AE5020" w:rsidRPr="00AE5020">
        <w:rPr>
          <w:lang w:val="en-US"/>
        </w:rPr>
        <w:fldChar w:fldCharType="end"/>
      </w:r>
      <w:r w:rsidR="00AE5020" w:rsidRPr="00AE5020">
        <w:rPr>
          <w:lang w:val="en-US"/>
        </w:rPr>
        <w:t>.</w:t>
      </w:r>
    </w:p>
    <w:p w14:paraId="1B40A2B7" w14:textId="77777777" w:rsidR="000D6225" w:rsidRPr="00301D84" w:rsidRDefault="000D6225" w:rsidP="000D6225">
      <w:pPr>
        <w:jc w:val="both"/>
        <w:rPr>
          <w:lang w:val="en-US"/>
        </w:rPr>
      </w:pPr>
    </w:p>
    <w:p w14:paraId="3AAF7191" w14:textId="5CEF3D89" w:rsidR="00AE5020" w:rsidRPr="00AE5020" w:rsidRDefault="00301D84" w:rsidP="00831720">
      <w:pPr>
        <w:jc w:val="both"/>
        <w:rPr>
          <w:lang w:val="en-US"/>
        </w:rPr>
      </w:pPr>
      <w:r w:rsidRPr="00301D84">
        <w:rPr>
          <w:lang w:val="en-US"/>
        </w:rPr>
        <w:t xml:space="preserve">With an ethos of community‐led engagement, our study investigates the genetic architectures of these historically marginalized groups to identify novel or clinically relevant variation. We emphasize newly discovered and rare variants of </w:t>
      </w:r>
      <w:proofErr w:type="gramStart"/>
      <w:r w:rsidRPr="00301D84">
        <w:rPr>
          <w:lang w:val="en-US"/>
        </w:rPr>
        <w:t>particular clinical</w:t>
      </w:r>
      <w:proofErr w:type="gramEnd"/>
      <w:r w:rsidRPr="00301D84">
        <w:rPr>
          <w:lang w:val="en-US"/>
        </w:rPr>
        <w:t xml:space="preserve"> or evolutionary interest, placing them in global context and exploring their potential roles in disease risk and pharmacogenomic response. By spotlighting the genetic landscape of Inca Empire descendants, we aim to inform precision medicine strategies and bring greater equity to healthcare in Andean and other underserved populations.</w:t>
      </w:r>
      <w:bookmarkEnd w:id="0"/>
      <w:bookmarkEnd w:id="1"/>
    </w:p>
    <w:p w14:paraId="7BE7E47A" w14:textId="77777777" w:rsidR="00AE5020" w:rsidRPr="00AE5020" w:rsidRDefault="00AE5020" w:rsidP="00831720">
      <w:pPr>
        <w:pStyle w:val="Heading1"/>
        <w:rPr>
          <w:lang w:val="en-US"/>
        </w:rPr>
      </w:pPr>
      <w:r w:rsidRPr="00AE5020">
        <w:rPr>
          <w:lang w:val="en-US"/>
        </w:rPr>
        <w:t>Clinical Significance of High-Impact Variants</w:t>
      </w:r>
    </w:p>
    <w:p w14:paraId="14DA1087" w14:textId="13DE9B2A" w:rsidR="000F7F55" w:rsidRPr="00AE5020" w:rsidRDefault="00D30F12" w:rsidP="00AE5020">
      <w:pPr>
        <w:jc w:val="both"/>
        <w:rPr>
          <w:lang w:val="en-US"/>
        </w:rPr>
      </w:pPr>
      <w:r w:rsidRPr="00AE5020">
        <w:rPr>
          <w:lang w:val="en-US"/>
        </w:rPr>
        <w:t xml:space="preserve">All </w:t>
      </w:r>
      <w:r w:rsidR="00AE5020">
        <w:rPr>
          <w:lang w:val="en-US"/>
        </w:rPr>
        <w:t xml:space="preserve">150 </w:t>
      </w:r>
      <w:r w:rsidRPr="00AE5020">
        <w:rPr>
          <w:lang w:val="en-US"/>
        </w:rPr>
        <w:t>genomes sequenced</w:t>
      </w:r>
      <w:r w:rsidR="00AE5020">
        <w:rPr>
          <w:lang w:val="en-US"/>
        </w:rPr>
        <w:t xml:space="preserve"> here reached </w:t>
      </w:r>
      <w:r w:rsidRPr="00AE5020">
        <w:rPr>
          <w:lang w:val="en-US"/>
        </w:rPr>
        <w:t xml:space="preserve">an average depth of ~35× using Illumina </w:t>
      </w:r>
      <w:proofErr w:type="spellStart"/>
      <w:r w:rsidRPr="00AE5020">
        <w:rPr>
          <w:lang w:val="en-US"/>
        </w:rPr>
        <w:t>HiSeq</w:t>
      </w:r>
      <w:proofErr w:type="spellEnd"/>
      <w:r w:rsidRPr="00AE5020">
        <w:rPr>
          <w:lang w:val="en-US"/>
        </w:rPr>
        <w:t xml:space="preserve"> X10 technology, yielding high-confidence variant calls. After alignment of reads to the human reference genome (GRCh37/hg19) with BWA-MEM </w:t>
      </w:r>
      <w:r w:rsidRPr="00AE5020">
        <w:rPr>
          <w:lang w:val="en-US"/>
        </w:rPr>
        <w:fldChar w:fldCharType="begin"/>
      </w:r>
      <w:r w:rsidR="00C01C95">
        <w:rPr>
          <w:lang w:val="en-US"/>
        </w:rPr>
        <w:instrText xml:space="preserve"> ADDIN ZOTERO_ITEM CSL_CITATION {"citationID":"EbVDEYGh","properties":{"formattedCitation":"\\super 10\\nosupersub{}","plainCitation":"10","noteIndex":0},"citationItems":[{"id":470,"uris":["http://zotero.org/users/16405780/items/5RV2IIQJ"],"itemData":{"id":470,"type":"article","abstract":"Summary: BWA-MEM is a new alignment algorithm for aligning sequence reads or long query sequences against a large reference genome such as human. It automatically chooses between local and end-to-end alignments, supports paired-end reads and performs chimeric alignment. The algorithm is robust to sequencing errors and applicable to a wide range of sequence lengths from 70bp to a few megabases. For mapping 100bp sequences, BWA-MEM shows better performance than several state-of-art read aligners to date. Availability and implementation: BWA-MEM is implemented as a component of BWA, which is available at http://github.com/lh3/bwa. Contact: hengli@broadinstitute.org","DOI":"10.48550/arXiv.1303.3997","note":"arXiv:1303.3997 [q-bio]","number":"arXiv:1303.3997","publisher":"arXiv","source":"arXiv.org","title":"Aligning sequence reads, clone sequences and assembly contigs with BWA-MEM","URL":"http://arxiv.org/abs/1303.3997","author":[{"family":"Li","given":"Heng"}],"accessed":{"date-parts":[["2025",3,8]]},"issued":{"date-parts":[["2013",5,26]]}}}],"schema":"https://github.com/citation-style-language/schema/raw/master/csl-citation.json"} </w:instrText>
      </w:r>
      <w:r w:rsidRPr="00AE5020">
        <w:rPr>
          <w:lang w:val="en-US"/>
        </w:rPr>
        <w:fldChar w:fldCharType="separate"/>
      </w:r>
      <w:r w:rsidR="00C01C95" w:rsidRPr="00C01C95">
        <w:rPr>
          <w:rFonts w:ascii="Calibri" w:cs="Calibri"/>
          <w:vertAlign w:val="superscript"/>
        </w:rPr>
        <w:t>10</w:t>
      </w:r>
      <w:r w:rsidRPr="00AE5020">
        <w:rPr>
          <w:lang w:val="en-US"/>
        </w:rPr>
        <w:fldChar w:fldCharType="end"/>
      </w:r>
      <w:r w:rsidRPr="00AE5020">
        <w:rPr>
          <w:lang w:val="en-US"/>
        </w:rPr>
        <w:t xml:space="preserve"> and duplicate read marking with </w:t>
      </w:r>
      <w:bookmarkStart w:id="2" w:name="OLE_LINK21"/>
      <w:bookmarkStart w:id="3" w:name="OLE_LINK22"/>
      <w:r w:rsidRPr="00AE5020">
        <w:rPr>
          <w:lang w:val="en-US"/>
        </w:rPr>
        <w:t>Picard</w:t>
      </w:r>
      <w:bookmarkEnd w:id="2"/>
      <w:bookmarkEnd w:id="3"/>
      <w:r w:rsidRPr="00AE5020">
        <w:rPr>
          <w:lang w:val="en-US"/>
        </w:rPr>
        <w:t xml:space="preserve"> </w:t>
      </w:r>
      <w:r w:rsidRPr="00AE5020">
        <w:rPr>
          <w:lang w:val="en-US"/>
        </w:rPr>
        <w:fldChar w:fldCharType="begin"/>
      </w:r>
      <w:r w:rsidR="00C01C95">
        <w:rPr>
          <w:lang w:val="en-US"/>
        </w:rPr>
        <w:instrText xml:space="preserve"> ADDIN ZOTERO_ITEM CSL_CITATION {"citationID":"swdQ7vDL","properties":{"formattedCitation":"\\super 11\\nosupersub{}","plainCitation":"11","noteIndex":0},"citationItems":[{"id":474,"uris":["http://zotero.org/users/16405780/items/MVDZAUYT"],"itemData":{"id":474,"type":"webpage","title":"Picard Tools - By Broad Institute","URL":"https://broadinstitute.github.io/picard/","accessed":{"date-parts":[["2025",3,8]]}}}],"schema":"https://github.com/citation-style-language/schema/raw/master/csl-citation.json"} </w:instrText>
      </w:r>
      <w:r w:rsidRPr="00AE5020">
        <w:rPr>
          <w:lang w:val="en-US"/>
        </w:rPr>
        <w:fldChar w:fldCharType="separate"/>
      </w:r>
      <w:r w:rsidR="00C01C95" w:rsidRPr="00C01C95">
        <w:rPr>
          <w:rFonts w:ascii="Calibri" w:cs="Calibri"/>
          <w:vertAlign w:val="superscript"/>
        </w:rPr>
        <w:t>11</w:t>
      </w:r>
      <w:r w:rsidRPr="00AE5020">
        <w:rPr>
          <w:lang w:val="en-US"/>
        </w:rPr>
        <w:fldChar w:fldCharType="end"/>
      </w:r>
      <w:r w:rsidRPr="00AE5020">
        <w:rPr>
          <w:lang w:val="en-US"/>
        </w:rPr>
        <w:t xml:space="preserve">, variant calling was performed jointly on all samples using GATK </w:t>
      </w:r>
      <w:r w:rsidRPr="00AE5020">
        <w:rPr>
          <w:lang w:val="en-US"/>
        </w:rPr>
        <w:fldChar w:fldCharType="begin"/>
      </w:r>
      <w:r w:rsidR="00C01C95">
        <w:rPr>
          <w:lang w:val="en-US"/>
        </w:rPr>
        <w:instrText xml:space="preserve"> ADDIN ZOTERO_ITEM CSL_CITATION {"citationID":"rhomNAlY","properties":{"formattedCitation":"\\super 12\\nosupersub{}","plainCitation":"12","noteIndex":0},"citationItems":[{"id":476,"uris":["http://zotero.org/users/16405780/items/S8YSP4XD"],"itemData":{"id":476,"type":"article-journal","abstract":"Recent advances in sequencing technology make it possible to comprehensively catalog genetic variation in population samples, creating a foundation for understanding human disease, ancestry and evolution. The amounts of raw data produced are prodigious, and many computational steps are required to translate this output into high-quality variant calls. We present a unified analytic framework to discover and genotype variation among multiple samples simultaneously that achieves sensitive and specific results across five sequencing technologies and three distinct, canonical experimental designs. Our process includes (i) initial read mapping; (ii) local realignment around indels; (iii) base quality score recalibration; (iv) SNP discovery and genotyping to find all potential variants; and (v) machine learning to separate true segregating variation from machine artifacts common to next-generation sequencing technologies. We here discuss the application of these tools, instantiated in the Genome Analysis Toolkit, to deep whole-genome, whole-exome capture and multi-sample low-pass (</w:instrText>
      </w:r>
      <w:r w:rsidR="00C01C95">
        <w:rPr>
          <w:rFonts w:ascii="Cambria Math" w:hAnsi="Cambria Math" w:cs="Cambria Math"/>
          <w:lang w:val="en-US"/>
        </w:rPr>
        <w:instrText>∼</w:instrText>
      </w:r>
      <w:r w:rsidR="00C01C95">
        <w:rPr>
          <w:lang w:val="en-US"/>
        </w:rPr>
        <w:instrText xml:space="preserve">4×) 1000 Genomes Project datasets.","container-title":"Nature Genetics","DOI":"10.1038/ng.806","ISSN":"1546-1718","issue":"5","journalAbbreviation":"Nat Genet","language":"eng","note":"PMID: 21478889\nPMCID: PMC3083463","page":"491-498","source":"PubMed","title":"A framework for variation discovery and genotyping using next-generation DNA sequencing data","volume":"43","author":[{"family":"DePristo","given":"Mark A."},{"family":"Banks","given":"Eric"},{"family":"Poplin","given":"Ryan"},{"family":"Garimella","given":"Kiran V."},{"family":"Maguire","given":"Jared R."},{"family":"Hartl","given":"Christopher"},{"family":"Philippakis","given":"Anthony A."},{"family":"Angel","given":"Guillermo","non-dropping-particle":"del"},{"family":"Rivas","given":"Manuel A."},{"family":"Hanna","given":"Matt"},{"family":"McKenna","given":"Aaron"},{"family":"Fennell","given":"Tim J."},{"family":"Kernytsky","given":"Andrew M."},{"family":"Sivachenko","given":"Andrey Y."},{"family":"Cibulskis","given":"Kristian"},{"family":"Gabriel","given":"Stacey B."},{"family":"Altshuler","given":"David"},{"family":"Daly","given":"Mark J."}],"issued":{"date-parts":[["2011",5]]}}}],"schema":"https://github.com/citation-style-language/schema/raw/master/csl-citation.json"} </w:instrText>
      </w:r>
      <w:r w:rsidRPr="00AE5020">
        <w:rPr>
          <w:lang w:val="en-US"/>
        </w:rPr>
        <w:fldChar w:fldCharType="separate"/>
      </w:r>
      <w:r w:rsidR="00C01C95" w:rsidRPr="00C01C95">
        <w:rPr>
          <w:rFonts w:ascii="Calibri" w:cs="Calibri"/>
          <w:vertAlign w:val="superscript"/>
        </w:rPr>
        <w:t>12</w:t>
      </w:r>
      <w:r w:rsidRPr="00AE5020">
        <w:rPr>
          <w:lang w:val="en-US"/>
        </w:rPr>
        <w:fldChar w:fldCharType="end"/>
      </w:r>
      <w:r w:rsidRPr="00AE5020">
        <w:rPr>
          <w:lang w:val="en-US"/>
        </w:rPr>
        <w:t>. We applied stringent quality filters – excluding any low-confidence variants flagged by the caller and removing sites with Phred quality &lt;20 – to ensure robust downstream analysis.</w:t>
      </w:r>
      <w:r w:rsidR="00AE5020">
        <w:rPr>
          <w:lang w:val="en-US"/>
        </w:rPr>
        <w:t xml:space="preserve"> </w:t>
      </w:r>
      <w:r w:rsidR="000F7F55" w:rsidRPr="00AE5020">
        <w:rPr>
          <w:lang w:val="en-US"/>
        </w:rPr>
        <w:t xml:space="preserve">We </w:t>
      </w:r>
      <w:r w:rsidR="00AE5020">
        <w:rPr>
          <w:lang w:val="en-US"/>
        </w:rPr>
        <w:t xml:space="preserve">then </w:t>
      </w:r>
      <w:r w:rsidR="000F7F55" w:rsidRPr="00AE5020">
        <w:rPr>
          <w:lang w:val="en-US"/>
        </w:rPr>
        <w:t xml:space="preserve">analyzed the 150 whole genomes using the </w:t>
      </w:r>
      <w:proofErr w:type="spellStart"/>
      <w:r w:rsidR="000F7F55" w:rsidRPr="00AE5020">
        <w:rPr>
          <w:lang w:val="en-US"/>
        </w:rPr>
        <w:t>Ensembl</w:t>
      </w:r>
      <w:proofErr w:type="spellEnd"/>
      <w:r w:rsidR="000F7F55" w:rsidRPr="00AE5020">
        <w:rPr>
          <w:lang w:val="en-US"/>
        </w:rPr>
        <w:t xml:space="preserve"> Variant Effect Predictor (VEP)​ </w:t>
      </w:r>
      <w:r w:rsidR="000F7F55" w:rsidRPr="00AE5020">
        <w:rPr>
          <w:lang w:val="en-US"/>
        </w:rPr>
        <w:fldChar w:fldCharType="begin"/>
      </w:r>
      <w:r w:rsidR="00C01C95">
        <w:rPr>
          <w:lang w:val="en-US"/>
        </w:rPr>
        <w:instrText xml:space="preserve"> ADDIN ZOTERO_ITEM CSL_CITATION {"citationID":"2b0TJw97","properties":{"formattedCitation":"\\super 13\\nosupersub{}","plainCitation":"13","noteIndex":0},"citationItems":[{"id":500,"uris":["http://zotero.org/users/16405780/items/RMWUXEEN"],"itemData":{"id":500,"type":"article-journal","abstract":"The Ensembl Variant Effect Predictor is a powerful toolset for the analysis, annotation, and prioritization of genomic variants in coding and non-coding regions. It provides access to an extensive collection of genomic annotation, with a variety of interfaces to suit different requirements, and simple options for configuring and extending analysis. It is open source, free to use, and supports full reproducibility of results. The Ensembl Variant Effect Predictor can simplify and accelerate variant interpretation in a wide range of study designs.","container-title":"Genome Biology","DOI":"10.1186/s13059-016-0974-4","ISSN":"1474-760X","issue":"1","journalAbbreviation":"Genome Biology","page":"122","source":"BioMed Central","title":"The Ensembl Variant Effect Predictor","volume":"17","author":[{"family":"McLaren","given":"William"},{"family":"Gil","given":"Laurent"},{"family":"Hunt","given":"Sarah E."},{"family":"Riat","given":"Harpreet Singh"},{"family":"Ritchie","given":"Graham R. S."},{"family":"Thormann","given":"Anja"},{"family":"Flicek","given":"Paul"},{"family":"Cunningham","given":"Fiona"}],"issued":{"date-parts":[["2016",6,6]]}}}],"schema":"https://github.com/citation-style-language/schema/raw/master/csl-citation.json"} </w:instrText>
      </w:r>
      <w:r w:rsidR="000F7F55" w:rsidRPr="00AE5020">
        <w:rPr>
          <w:lang w:val="en-US"/>
        </w:rPr>
        <w:fldChar w:fldCharType="separate"/>
      </w:r>
      <w:r w:rsidR="00C01C95" w:rsidRPr="00C01C95">
        <w:rPr>
          <w:rFonts w:ascii="Calibri" w:cs="Calibri"/>
          <w:vertAlign w:val="superscript"/>
        </w:rPr>
        <w:t>13</w:t>
      </w:r>
      <w:r w:rsidR="000F7F55" w:rsidRPr="00AE5020">
        <w:rPr>
          <w:lang w:val="en-US"/>
        </w:rPr>
        <w:fldChar w:fldCharType="end"/>
      </w:r>
      <w:r w:rsidR="000F7F55" w:rsidRPr="00AE5020">
        <w:rPr>
          <w:lang w:val="en-US"/>
        </w:rPr>
        <w:t>. Out of 12,905,020 single nucleotide variants (SNVs) detected, 12,897,474 were identified as biallelic, and 1,638,862 (12.7%) were novel​.</w:t>
      </w:r>
    </w:p>
    <w:p w14:paraId="093E2FF9" w14:textId="77777777" w:rsidR="000F7F55" w:rsidRPr="00AE5020" w:rsidRDefault="000F7F55" w:rsidP="00D30F12">
      <w:pPr>
        <w:jc w:val="both"/>
        <w:rPr>
          <w:lang w:val="en-US"/>
        </w:rPr>
      </w:pPr>
    </w:p>
    <w:p w14:paraId="4EED3B74" w14:textId="1D15180B" w:rsidR="000F7F55" w:rsidRPr="00AE5020" w:rsidRDefault="005A07C4" w:rsidP="000F7F55">
      <w:pPr>
        <w:jc w:val="both"/>
        <w:rPr>
          <w:bCs/>
          <w:lang w:val="en-US"/>
        </w:rPr>
      </w:pPr>
      <w:r w:rsidRPr="00AE5020">
        <w:rPr>
          <w:lang w:val="en-US"/>
        </w:rPr>
        <w:t>Our</w:t>
      </w:r>
      <w:r w:rsidR="000F7F55" w:rsidRPr="00AE5020">
        <w:rPr>
          <w:bCs/>
          <w:lang w:val="en-US"/>
        </w:rPr>
        <w:t xml:space="preserve"> results emphasize that only 6% of high-impact variants have any </w:t>
      </w:r>
      <w:proofErr w:type="spellStart"/>
      <w:r w:rsidR="000F7F55" w:rsidRPr="00AE5020">
        <w:rPr>
          <w:bCs/>
          <w:lang w:val="en-US"/>
        </w:rPr>
        <w:t>ClinVar</w:t>
      </w:r>
      <w:proofErr w:type="spellEnd"/>
      <w:r w:rsidR="00C01C95">
        <w:rPr>
          <w:bCs/>
          <w:lang w:val="en-US"/>
        </w:rPr>
        <w:t xml:space="preserve"> </w:t>
      </w:r>
      <w:r w:rsidR="00C01C95">
        <w:rPr>
          <w:bCs/>
          <w:lang w:val="en-US"/>
        </w:rPr>
        <w:fldChar w:fldCharType="begin"/>
      </w:r>
      <w:r w:rsidR="00C01C95">
        <w:rPr>
          <w:bCs/>
          <w:lang w:val="en-US"/>
        </w:rPr>
        <w:instrText xml:space="preserve"> ADDIN ZOTERO_ITEM CSL_CITATION {"citationID":"vVE9xTZi","properties":{"formattedCitation":"\\super 14\\nosupersub{}","plainCitation":"14","noteIndex":0},"citationItems":[{"id":300,"uris":["http://zotero.org/users/16405780/items/E6J6HP9S"],"itemData":{"id":300,"type":"article-journal","abstract":"ClinVar is a freely available, public archive of human genetic variants and interpretations of their relationships to diseases and other conditions, maintained at the National Institutes of Health (NIH). Submitted interpretations of variants are aggregated and made available on the ClinVar website (https://www.ncbi.nlm.nih.gov/clinvar/), and as downloadable files via FTP and through programmatic tools such as NCBI's E-utilities. The default view on the ClinVar website, the Variation page, was recently redesigned. The new layout includes several new sections that make it easier to find submitted data as well as summary data such as all diseases and citations reported for the variant. The new design also better represents more complex data such as haplotypes and genotypes, as well as variants that are in ClinVar as part of a haplotype or genotype but have no interpretation for the single variant. ClinVar's variant-centric XML had its production release in April 2019. The ClinVar website and E-utilities both have been updated to support the VCV (variation in ClinVar) accession numbers found in the variant-centric XML file. ClinVar's search engine has been fine-tuned for improved retrieval of search results.","container-title":"Nucleic Acids Research","DOI":"10.1093/NAR/GKZ972","ISSN":"0305-1048","issue":"D1","note":"publisher: Oxford Academic\nPMID: 31777943","page":"D835-D844","title":"ClinVar: improvements to accessing data","volume":"48","author":[{"family":"Landrum","given":"Melissa J."},{"family":"Chitipiralla","given":"Shanmuga"},{"family":"Brown","given":"Garth R."},{"family":"Chen","given":"Chao"},{"family":"Gu","given":"Baoshan"},{"family":"Hart","given":"Jennifer"},{"family":"Hoffman","given":"Douglas"},{"family":"Jang","given":"Wonhee"},{"family":"Kaur","given":"Kuljeet"},{"family":"Liu","given":"Chunlei"},{"family":"Lyoshin","given":"Vitaly"},{"family":"Maddipatla","given":"Zenith"},{"family":"Maiti","given":"Rama"},{"family":"Mitchell","given":"Joseph"},{"family":"O'Leary","given":"Nuala"},{"family":"Riley","given":"George R."},{"family":"Shi","given":"Wenyao"},{"family":"Zhou","given":"George"},{"family":"Schneider","given":"Valerie"},{"family":"Maglott","given":"Donna"},{"family":"Holmes","given":"J. Bradley"},{"family":"Kattman","given":"Brandi L."}],"issued":{"date-parts":[["2020",1]]}}}],"schema":"https://github.com/citation-style-language/schema/raw/master/csl-citation.json"} </w:instrText>
      </w:r>
      <w:r w:rsidR="00C01C95">
        <w:rPr>
          <w:bCs/>
          <w:lang w:val="en-US"/>
        </w:rPr>
        <w:fldChar w:fldCharType="separate"/>
      </w:r>
      <w:r w:rsidR="00C01C95" w:rsidRPr="00C01C95">
        <w:rPr>
          <w:rFonts w:ascii="Calibri" w:cs="Calibri"/>
          <w:vertAlign w:val="superscript"/>
        </w:rPr>
        <w:t>14</w:t>
      </w:r>
      <w:r w:rsidR="00C01C95">
        <w:rPr>
          <w:bCs/>
          <w:lang w:val="en-US"/>
        </w:rPr>
        <w:fldChar w:fldCharType="end"/>
      </w:r>
      <w:r w:rsidR="000F7F55" w:rsidRPr="00AE5020">
        <w:rPr>
          <w:bCs/>
          <w:lang w:val="en-US"/>
        </w:rPr>
        <w:t xml:space="preserve"> annotation (and that over half of those annotated are benign/likely benign)</w:t>
      </w:r>
      <w:r w:rsidR="00AE5020">
        <w:rPr>
          <w:bCs/>
          <w:lang w:val="en-US"/>
        </w:rPr>
        <w:t>. This</w:t>
      </w:r>
      <w:r w:rsidR="000F7F55" w:rsidRPr="00AE5020">
        <w:rPr>
          <w:bCs/>
          <w:lang w:val="en-US"/>
        </w:rPr>
        <w:t xml:space="preserve"> suggests that many potentially important variants remain unreported or understudied in public databases</w:t>
      </w:r>
      <w:r w:rsidR="00AE5020">
        <w:rPr>
          <w:bCs/>
          <w:lang w:val="en-US"/>
        </w:rPr>
        <w:t xml:space="preserve"> (</w:t>
      </w:r>
      <w:r w:rsidR="00AE5020" w:rsidRPr="00AE5020">
        <w:rPr>
          <w:b/>
          <w:lang w:val="en-US"/>
        </w:rPr>
        <w:t>Table 1</w:t>
      </w:r>
      <w:r w:rsidR="00AE5020">
        <w:rPr>
          <w:bCs/>
          <w:lang w:val="en-US"/>
        </w:rPr>
        <w:t>)</w:t>
      </w:r>
      <w:r w:rsidR="000F7F55" w:rsidRPr="00AE5020">
        <w:rPr>
          <w:bCs/>
          <w:lang w:val="en-US"/>
        </w:rPr>
        <w:t xml:space="preserve">. </w:t>
      </w:r>
    </w:p>
    <w:p w14:paraId="7E0EBB9D" w14:textId="77777777" w:rsidR="000F7F55" w:rsidRPr="00AE5020" w:rsidRDefault="000F7F55" w:rsidP="000F7F55">
      <w:pPr>
        <w:jc w:val="both"/>
        <w:rPr>
          <w:b/>
          <w:bCs/>
          <w:lang w:val="en-US"/>
        </w:rPr>
      </w:pPr>
    </w:p>
    <w:tbl>
      <w:tblPr>
        <w:tblW w:w="7680" w:type="dxa"/>
        <w:tblInd w:w="566" w:type="dxa"/>
        <w:tblCellMar>
          <w:left w:w="0" w:type="dxa"/>
          <w:right w:w="0" w:type="dxa"/>
        </w:tblCellMar>
        <w:tblLook w:val="0420" w:firstRow="1" w:lastRow="0" w:firstColumn="0" w:lastColumn="0" w:noHBand="0" w:noVBand="1"/>
      </w:tblPr>
      <w:tblGrid>
        <w:gridCol w:w="6227"/>
        <w:gridCol w:w="1453"/>
      </w:tblGrid>
      <w:tr w:rsidR="000F7F55" w:rsidRPr="00AE5020" w14:paraId="0D8D13D3" w14:textId="77777777" w:rsidTr="001D10C8">
        <w:trPr>
          <w:trHeight w:val="325"/>
        </w:trPr>
        <w:tc>
          <w:tcPr>
            <w:tcW w:w="6227" w:type="dxa"/>
            <w:tcBorders>
              <w:top w:val="single" w:sz="8" w:space="0" w:color="FFFFFF"/>
              <w:left w:val="single" w:sz="8" w:space="0" w:color="FFFFFF"/>
              <w:bottom w:val="single" w:sz="24" w:space="0" w:color="FFFFFF"/>
              <w:right w:val="single" w:sz="8" w:space="0" w:color="FFFFFF"/>
            </w:tcBorders>
            <w:shd w:val="clear" w:color="auto" w:fill="B4C6E7" w:themeFill="accent1" w:themeFillTint="66"/>
            <w:tcMar>
              <w:top w:w="72" w:type="dxa"/>
              <w:left w:w="144" w:type="dxa"/>
              <w:bottom w:w="72" w:type="dxa"/>
              <w:right w:w="144" w:type="dxa"/>
            </w:tcMar>
            <w:hideMark/>
          </w:tcPr>
          <w:p w14:paraId="16406B27" w14:textId="77777777" w:rsidR="000F7F55" w:rsidRPr="00AE5020" w:rsidRDefault="000F7F55" w:rsidP="001D10C8">
            <w:pPr>
              <w:jc w:val="both"/>
              <w:rPr>
                <w:b/>
                <w:bCs/>
                <w:sz w:val="21"/>
                <w:lang w:val="en-US"/>
              </w:rPr>
            </w:pPr>
            <w:r w:rsidRPr="00AE5020">
              <w:rPr>
                <w:b/>
                <w:bCs/>
                <w:sz w:val="21"/>
                <w:lang w:val="en-US"/>
              </w:rPr>
              <w:t>Variant Category</w:t>
            </w:r>
          </w:p>
        </w:tc>
        <w:tc>
          <w:tcPr>
            <w:tcW w:w="1453" w:type="dxa"/>
            <w:tcBorders>
              <w:top w:val="single" w:sz="8" w:space="0" w:color="FFFFFF"/>
              <w:left w:val="single" w:sz="8" w:space="0" w:color="FFFFFF"/>
              <w:bottom w:val="single" w:sz="24" w:space="0" w:color="FFFFFF"/>
              <w:right w:val="single" w:sz="8" w:space="0" w:color="FFFFFF"/>
            </w:tcBorders>
            <w:shd w:val="clear" w:color="auto" w:fill="B4C6E7" w:themeFill="accent1" w:themeFillTint="66"/>
            <w:tcMar>
              <w:top w:w="72" w:type="dxa"/>
              <w:left w:w="144" w:type="dxa"/>
              <w:bottom w:w="72" w:type="dxa"/>
              <w:right w:w="144" w:type="dxa"/>
            </w:tcMar>
            <w:hideMark/>
          </w:tcPr>
          <w:p w14:paraId="405B670C" w14:textId="77777777" w:rsidR="000F7F55" w:rsidRPr="00AE5020" w:rsidRDefault="000F7F55" w:rsidP="001D10C8">
            <w:pPr>
              <w:jc w:val="both"/>
              <w:rPr>
                <w:b/>
                <w:bCs/>
                <w:sz w:val="21"/>
                <w:lang w:val="en-US"/>
              </w:rPr>
            </w:pPr>
            <w:r w:rsidRPr="00AE5020">
              <w:rPr>
                <w:b/>
                <w:bCs/>
                <w:sz w:val="21"/>
                <w:lang w:val="en-US"/>
              </w:rPr>
              <w:t>N variants</w:t>
            </w:r>
          </w:p>
        </w:tc>
      </w:tr>
      <w:tr w:rsidR="000F7F55" w:rsidRPr="00AE5020" w14:paraId="53D660B1" w14:textId="77777777" w:rsidTr="001D10C8">
        <w:trPr>
          <w:trHeight w:val="561"/>
        </w:trPr>
        <w:tc>
          <w:tcPr>
            <w:tcW w:w="6227" w:type="dxa"/>
            <w:tcBorders>
              <w:top w:val="single" w:sz="24"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783E3EAB" w14:textId="77777777" w:rsidR="000F7F55" w:rsidRPr="00AE5020" w:rsidRDefault="000F7F55" w:rsidP="001D10C8">
            <w:pPr>
              <w:jc w:val="both"/>
              <w:rPr>
                <w:bCs/>
                <w:sz w:val="21"/>
                <w:lang w:val="en-US"/>
              </w:rPr>
            </w:pPr>
            <w:r w:rsidRPr="00AE5020">
              <w:rPr>
                <w:bCs/>
                <w:sz w:val="21"/>
                <w:lang w:val="en-US"/>
              </w:rPr>
              <w:t>High Impact (protein truncation, loss of function or triggering nonsense mediated decay)</w:t>
            </w:r>
          </w:p>
        </w:tc>
        <w:tc>
          <w:tcPr>
            <w:tcW w:w="1453" w:type="dxa"/>
            <w:tcBorders>
              <w:top w:val="single" w:sz="24"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06F72F18" w14:textId="77777777" w:rsidR="000F7F55" w:rsidRPr="00AE5020" w:rsidRDefault="000F7F55" w:rsidP="001D10C8">
            <w:pPr>
              <w:jc w:val="right"/>
              <w:rPr>
                <w:bCs/>
                <w:sz w:val="21"/>
                <w:lang w:val="en-US"/>
              </w:rPr>
            </w:pPr>
            <w:r w:rsidRPr="00AE5020">
              <w:rPr>
                <w:bCs/>
                <w:sz w:val="21"/>
                <w:lang w:val="en-US"/>
              </w:rPr>
              <w:t>1,210</w:t>
            </w:r>
          </w:p>
        </w:tc>
      </w:tr>
      <w:tr w:rsidR="000F7F55" w:rsidRPr="00AE5020" w14:paraId="03E86BA3" w14:textId="77777777" w:rsidTr="001D10C8">
        <w:trPr>
          <w:trHeight w:val="201"/>
        </w:trPr>
        <w:tc>
          <w:tcPr>
            <w:tcW w:w="6227" w:type="dxa"/>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6248503F" w14:textId="77777777" w:rsidR="000F7F55" w:rsidRPr="00AE5020" w:rsidRDefault="000F7F55" w:rsidP="001D10C8">
            <w:pPr>
              <w:jc w:val="both"/>
              <w:rPr>
                <w:bCs/>
                <w:sz w:val="21"/>
                <w:lang w:val="en-US"/>
              </w:rPr>
            </w:pPr>
            <w:r w:rsidRPr="00AE5020">
              <w:rPr>
                <w:bCs/>
                <w:sz w:val="21"/>
                <w:lang w:val="en-US"/>
              </w:rPr>
              <w:t>Unknown (High Impact in Protein Coding)</w:t>
            </w:r>
          </w:p>
        </w:tc>
        <w:tc>
          <w:tcPr>
            <w:tcW w:w="1453" w:type="dxa"/>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0B3B7AF3" w14:textId="77777777" w:rsidR="000F7F55" w:rsidRPr="00AE5020" w:rsidRDefault="000F7F55" w:rsidP="001D10C8">
            <w:pPr>
              <w:jc w:val="right"/>
              <w:rPr>
                <w:bCs/>
                <w:sz w:val="21"/>
                <w:lang w:val="en-US"/>
              </w:rPr>
            </w:pPr>
            <w:r w:rsidRPr="00AE5020">
              <w:rPr>
                <w:bCs/>
                <w:sz w:val="21"/>
                <w:lang w:val="en-US"/>
              </w:rPr>
              <w:t>1,137</w:t>
            </w:r>
          </w:p>
        </w:tc>
      </w:tr>
      <w:tr w:rsidR="000F7F55" w:rsidRPr="00AE5020" w14:paraId="73B3F737" w14:textId="77777777" w:rsidTr="001D10C8">
        <w:trPr>
          <w:trHeight w:val="349"/>
        </w:trPr>
        <w:tc>
          <w:tcPr>
            <w:tcW w:w="6227" w:type="dxa"/>
            <w:tcBorders>
              <w:top w:val="single" w:sz="8"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0675F7E7" w14:textId="77777777" w:rsidR="000F7F55" w:rsidRPr="00AE5020" w:rsidRDefault="000F7F55" w:rsidP="001D10C8">
            <w:pPr>
              <w:jc w:val="both"/>
              <w:rPr>
                <w:bCs/>
                <w:sz w:val="21"/>
                <w:lang w:val="en-US"/>
              </w:rPr>
            </w:pPr>
            <w:r w:rsidRPr="00AE5020">
              <w:rPr>
                <w:bCs/>
                <w:sz w:val="21"/>
                <w:lang w:val="en-US"/>
              </w:rPr>
              <w:t>Benign/Likely Benign (High Impact in Protein Coding)</w:t>
            </w:r>
          </w:p>
        </w:tc>
        <w:tc>
          <w:tcPr>
            <w:tcW w:w="1453" w:type="dxa"/>
            <w:tcBorders>
              <w:top w:val="single" w:sz="8"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76B4086B" w14:textId="77777777" w:rsidR="000F7F55" w:rsidRPr="00AE5020" w:rsidRDefault="000F7F55" w:rsidP="001D10C8">
            <w:pPr>
              <w:jc w:val="right"/>
              <w:rPr>
                <w:bCs/>
                <w:sz w:val="21"/>
                <w:lang w:val="en-US"/>
              </w:rPr>
            </w:pPr>
            <w:r w:rsidRPr="00AE5020">
              <w:rPr>
                <w:bCs/>
                <w:sz w:val="21"/>
                <w:lang w:val="en-US"/>
              </w:rPr>
              <w:t>35</w:t>
            </w:r>
          </w:p>
        </w:tc>
      </w:tr>
      <w:tr w:rsidR="000F7F55" w:rsidRPr="00AE5020" w14:paraId="406BC35C" w14:textId="77777777" w:rsidTr="001D10C8">
        <w:trPr>
          <w:trHeight w:val="271"/>
        </w:trPr>
        <w:tc>
          <w:tcPr>
            <w:tcW w:w="6227" w:type="dxa"/>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5A1FED0B" w14:textId="77777777" w:rsidR="000F7F55" w:rsidRPr="00AE5020" w:rsidRDefault="000F7F55" w:rsidP="001D10C8">
            <w:pPr>
              <w:jc w:val="both"/>
              <w:rPr>
                <w:bCs/>
                <w:sz w:val="21"/>
                <w:lang w:val="en-US"/>
              </w:rPr>
            </w:pPr>
            <w:r w:rsidRPr="00AE5020">
              <w:rPr>
                <w:bCs/>
                <w:sz w:val="21"/>
                <w:lang w:val="en-US"/>
              </w:rPr>
              <w:t>Pathogenic/Likely Pathogenic (High Impact in Protein Coding)</w:t>
            </w:r>
          </w:p>
        </w:tc>
        <w:tc>
          <w:tcPr>
            <w:tcW w:w="1453" w:type="dxa"/>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15D5A6C6" w14:textId="77777777" w:rsidR="000F7F55" w:rsidRPr="00AE5020" w:rsidRDefault="000F7F55" w:rsidP="001D10C8">
            <w:pPr>
              <w:jc w:val="right"/>
              <w:rPr>
                <w:bCs/>
                <w:sz w:val="21"/>
                <w:lang w:val="en-US"/>
              </w:rPr>
            </w:pPr>
            <w:r w:rsidRPr="00AE5020">
              <w:rPr>
                <w:bCs/>
                <w:sz w:val="21"/>
                <w:lang w:val="en-US"/>
              </w:rPr>
              <w:t>20</w:t>
            </w:r>
          </w:p>
        </w:tc>
      </w:tr>
      <w:tr w:rsidR="000F7F55" w:rsidRPr="00AE5020" w14:paraId="4AD0AA0B" w14:textId="77777777" w:rsidTr="001D10C8">
        <w:trPr>
          <w:trHeight w:val="250"/>
        </w:trPr>
        <w:tc>
          <w:tcPr>
            <w:tcW w:w="6227" w:type="dxa"/>
            <w:tcBorders>
              <w:top w:val="single" w:sz="8"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01327A91" w14:textId="77777777" w:rsidR="000F7F55" w:rsidRPr="00AE5020" w:rsidRDefault="000F7F55" w:rsidP="001D10C8">
            <w:pPr>
              <w:jc w:val="both"/>
              <w:rPr>
                <w:bCs/>
                <w:sz w:val="21"/>
                <w:lang w:val="en-US"/>
              </w:rPr>
            </w:pPr>
            <w:r w:rsidRPr="00AE5020">
              <w:rPr>
                <w:bCs/>
                <w:sz w:val="21"/>
                <w:lang w:val="en-US"/>
              </w:rPr>
              <w:t>Uncertain Significance (High Impact in Protein Coding)</w:t>
            </w:r>
          </w:p>
        </w:tc>
        <w:tc>
          <w:tcPr>
            <w:tcW w:w="1453" w:type="dxa"/>
            <w:tcBorders>
              <w:top w:val="single" w:sz="8"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0894AD80" w14:textId="77777777" w:rsidR="000F7F55" w:rsidRPr="00AE5020" w:rsidRDefault="000F7F55" w:rsidP="001D10C8">
            <w:pPr>
              <w:jc w:val="right"/>
              <w:rPr>
                <w:bCs/>
                <w:sz w:val="21"/>
                <w:lang w:val="en-US"/>
              </w:rPr>
            </w:pPr>
            <w:r w:rsidRPr="00AE5020">
              <w:rPr>
                <w:bCs/>
                <w:sz w:val="21"/>
                <w:lang w:val="en-US"/>
              </w:rPr>
              <w:t>7</w:t>
            </w:r>
          </w:p>
        </w:tc>
      </w:tr>
      <w:tr w:rsidR="000F7F55" w:rsidRPr="00AE5020" w14:paraId="683D52CF" w14:textId="77777777" w:rsidTr="001D10C8">
        <w:trPr>
          <w:trHeight w:val="255"/>
        </w:trPr>
        <w:tc>
          <w:tcPr>
            <w:tcW w:w="6227" w:type="dxa"/>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42184339" w14:textId="77777777" w:rsidR="000F7F55" w:rsidRPr="00AE5020" w:rsidRDefault="000F7F55" w:rsidP="001D10C8">
            <w:pPr>
              <w:jc w:val="both"/>
              <w:rPr>
                <w:bCs/>
                <w:sz w:val="21"/>
                <w:lang w:val="en-US"/>
              </w:rPr>
            </w:pPr>
            <w:r w:rsidRPr="00AE5020">
              <w:rPr>
                <w:bCs/>
                <w:sz w:val="21"/>
                <w:lang w:val="en-US"/>
              </w:rPr>
              <w:t>Conflicting Evidence (High Impact in Protein Coding)</w:t>
            </w:r>
          </w:p>
        </w:tc>
        <w:tc>
          <w:tcPr>
            <w:tcW w:w="1453" w:type="dxa"/>
            <w:tcBorders>
              <w:top w:val="single" w:sz="8" w:space="0" w:color="FFFFFF"/>
              <w:left w:val="single" w:sz="8" w:space="0" w:color="FFFFFF"/>
              <w:bottom w:val="single" w:sz="8" w:space="0" w:color="FFFFFF"/>
              <w:right w:val="single" w:sz="8" w:space="0" w:color="FFFFFF"/>
            </w:tcBorders>
            <w:shd w:val="clear" w:color="auto" w:fill="E7EAED"/>
            <w:tcMar>
              <w:top w:w="72" w:type="dxa"/>
              <w:left w:w="144" w:type="dxa"/>
              <w:bottom w:w="72" w:type="dxa"/>
              <w:right w:w="144" w:type="dxa"/>
            </w:tcMar>
            <w:hideMark/>
          </w:tcPr>
          <w:p w14:paraId="37D7AE0F" w14:textId="77777777" w:rsidR="000F7F55" w:rsidRPr="00AE5020" w:rsidRDefault="000F7F55" w:rsidP="001D10C8">
            <w:pPr>
              <w:jc w:val="right"/>
              <w:rPr>
                <w:bCs/>
                <w:sz w:val="21"/>
                <w:lang w:val="en-US"/>
              </w:rPr>
            </w:pPr>
            <w:r w:rsidRPr="00AE5020">
              <w:rPr>
                <w:bCs/>
                <w:sz w:val="21"/>
                <w:lang w:val="en-US"/>
              </w:rPr>
              <w:t>11</w:t>
            </w:r>
          </w:p>
        </w:tc>
      </w:tr>
    </w:tbl>
    <w:p w14:paraId="139EB57B" w14:textId="77777777" w:rsidR="000F7F55" w:rsidRPr="00AE5020" w:rsidRDefault="000F7F55" w:rsidP="000F7F55">
      <w:pPr>
        <w:jc w:val="both"/>
        <w:rPr>
          <w:b/>
          <w:bCs/>
          <w:lang w:val="en-US"/>
        </w:rPr>
      </w:pPr>
    </w:p>
    <w:p w14:paraId="4AA4E0D6" w14:textId="1A40DA33" w:rsidR="000F7F55" w:rsidRPr="00AE5020" w:rsidRDefault="000F7F55" w:rsidP="000F7F55">
      <w:pPr>
        <w:jc w:val="both"/>
        <w:rPr>
          <w:b/>
          <w:bCs/>
          <w:sz w:val="20"/>
          <w:lang w:val="en-US"/>
        </w:rPr>
      </w:pPr>
      <w:r w:rsidRPr="00AE5020">
        <w:rPr>
          <w:b/>
          <w:bCs/>
          <w:sz w:val="20"/>
          <w:lang w:val="en-US"/>
        </w:rPr>
        <w:lastRenderedPageBreak/>
        <w:t xml:space="preserve">Table </w:t>
      </w:r>
      <w:r w:rsidR="00AE5020">
        <w:rPr>
          <w:b/>
          <w:bCs/>
          <w:sz w:val="20"/>
          <w:lang w:val="en-US"/>
        </w:rPr>
        <w:t>1</w:t>
      </w:r>
      <w:r w:rsidRPr="00AE5020">
        <w:rPr>
          <w:b/>
          <w:bCs/>
          <w:sz w:val="20"/>
          <w:lang w:val="en-US"/>
        </w:rPr>
        <w:t xml:space="preserve">. </w:t>
      </w:r>
      <w:r w:rsidRPr="00AE5020">
        <w:rPr>
          <w:bCs/>
          <w:sz w:val="20"/>
          <w:lang w:val="en-US"/>
        </w:rPr>
        <w:t xml:space="preserve">Classification of the 1,210 high-impact variants identified in 150 Peruvian genomes, highlighting their </w:t>
      </w:r>
      <w:proofErr w:type="spellStart"/>
      <w:r w:rsidRPr="00AE5020">
        <w:rPr>
          <w:bCs/>
          <w:sz w:val="20"/>
          <w:lang w:val="en-US"/>
        </w:rPr>
        <w:t>ClinVar</w:t>
      </w:r>
      <w:proofErr w:type="spellEnd"/>
      <w:r w:rsidRPr="00AE5020">
        <w:rPr>
          <w:bCs/>
          <w:sz w:val="20"/>
          <w:lang w:val="en-US"/>
        </w:rPr>
        <w:t xml:space="preserve"> annotation status. Nearly 94% (1,137 variants) had no existing clinical record, underscoring the high proportion of novel or uncharacterized variants in this cohort. Among the annotated fraction, 35 variants were benign or likely benign, 20 were classified as pathogenic or likely pathogenic, 7 as having uncertain significance, and 11 exhibited conflicting evidence of pathogenicity.</w:t>
      </w:r>
    </w:p>
    <w:p w14:paraId="03397940" w14:textId="77777777" w:rsidR="000F7F55" w:rsidRPr="00AE5020" w:rsidRDefault="000F7F55" w:rsidP="00D30F12">
      <w:pPr>
        <w:jc w:val="both"/>
        <w:rPr>
          <w:lang w:val="en-US"/>
        </w:rPr>
      </w:pPr>
    </w:p>
    <w:p w14:paraId="719E57A2" w14:textId="4E41EBE4" w:rsidR="00A8274E" w:rsidRPr="00C01C95" w:rsidRDefault="00E50757" w:rsidP="00C01C95">
      <w:pPr>
        <w:jc w:val="both"/>
        <w:rPr>
          <w:bCs/>
          <w:lang w:val="en-US"/>
        </w:rPr>
      </w:pPr>
      <w:r w:rsidRPr="00AE5020">
        <w:rPr>
          <w:bCs/>
          <w:lang w:val="en-US"/>
        </w:rPr>
        <w:t xml:space="preserve">Benign or likely benign variants constituted the largest subset of </w:t>
      </w:r>
      <w:proofErr w:type="spellStart"/>
      <w:r w:rsidRPr="00AE5020">
        <w:rPr>
          <w:bCs/>
          <w:lang w:val="en-US"/>
        </w:rPr>
        <w:t>ClinVar</w:t>
      </w:r>
      <w:proofErr w:type="spellEnd"/>
      <w:r w:rsidRPr="00AE5020">
        <w:rPr>
          <w:bCs/>
          <w:lang w:val="en-US"/>
        </w:rPr>
        <w:t xml:space="preserve">-annotated high-impact variants (35 variants, 2.9% of the total). Pathogenic or likely pathogenic variants were comparatively fewer in number (20 variants, 1.7% of the total). The remaining annotated high-impact variants were classified as variants of uncertain significance (VUS, 7 variants, 0.6%) or had conflicting interpretations of pathogenicity (11 variants, 0.9%) according to </w:t>
      </w:r>
      <w:proofErr w:type="spellStart"/>
      <w:r w:rsidRPr="00AE5020">
        <w:rPr>
          <w:bCs/>
          <w:lang w:val="en-US"/>
        </w:rPr>
        <w:t>ClinVar</w:t>
      </w:r>
      <w:proofErr w:type="spellEnd"/>
      <w:r w:rsidRPr="00AE5020">
        <w:rPr>
          <w:bCs/>
          <w:lang w:val="en-US"/>
        </w:rPr>
        <w:t>. A binomial test confirmed that benign annotations were more frequent than pathogenic among these high-impact variants (</w:t>
      </w:r>
      <w:r w:rsidRPr="00AE5020">
        <w:rPr>
          <w:bCs/>
          <w:i/>
          <w:iCs/>
          <w:lang w:val="en-US"/>
        </w:rPr>
        <w:t>p</w:t>
      </w:r>
      <w:r w:rsidRPr="00AE5020">
        <w:rPr>
          <w:bCs/>
          <w:lang w:val="en-US"/>
        </w:rPr>
        <w:t xml:space="preserve"> = 0.02), highlighting an unexpected skew given the severe predicted effect of these mutations.</w:t>
      </w:r>
    </w:p>
    <w:p w14:paraId="381BFC52" w14:textId="1630A0DD" w:rsidR="00A8274E" w:rsidRPr="00AE5020" w:rsidRDefault="00A8274E" w:rsidP="000C11E3">
      <w:pPr>
        <w:pStyle w:val="Heading1"/>
        <w:rPr>
          <w:lang w:val="en-US"/>
        </w:rPr>
      </w:pPr>
      <w:r w:rsidRPr="00AE5020">
        <w:rPr>
          <w:lang w:val="en-US"/>
        </w:rPr>
        <w:t xml:space="preserve">Interpretation of High-Impact Rare Variants </w:t>
      </w:r>
      <w:r w:rsidR="000C11E3">
        <w:rPr>
          <w:lang w:val="en-US"/>
        </w:rPr>
        <w:t>in</w:t>
      </w:r>
      <w:r w:rsidRPr="00AE5020">
        <w:rPr>
          <w:lang w:val="en-US"/>
        </w:rPr>
        <w:t xml:space="preserve"> Affected Genes</w:t>
      </w:r>
    </w:p>
    <w:p w14:paraId="24ABA358" w14:textId="5AE69A80" w:rsidR="00A8274E" w:rsidRDefault="00A8274E" w:rsidP="00A8274E">
      <w:pPr>
        <w:jc w:val="both"/>
        <w:rPr>
          <w:lang w:val="en-US"/>
        </w:rPr>
      </w:pPr>
      <w:proofErr w:type="gramStart"/>
      <w:r w:rsidRPr="00AE5020">
        <w:rPr>
          <w:lang w:val="en-US"/>
        </w:rPr>
        <w:t>High‐impact</w:t>
      </w:r>
      <w:proofErr w:type="gramEnd"/>
      <w:r w:rsidRPr="00AE5020">
        <w:rPr>
          <w:lang w:val="en-US"/>
        </w:rPr>
        <w:t xml:space="preserve"> ≥0.1 allele frequency (AF) biallelic variants in our Peruvian cohort that are rare or not present in </w:t>
      </w:r>
      <w:proofErr w:type="spellStart"/>
      <w:r w:rsidRPr="00AE5020">
        <w:rPr>
          <w:lang w:val="en-US"/>
        </w:rPr>
        <w:t>gnomAD</w:t>
      </w:r>
      <w:proofErr w:type="spellEnd"/>
      <w:r w:rsidRPr="00AE5020">
        <w:rPr>
          <w:lang w:val="en-US"/>
        </w:rPr>
        <w:t xml:space="preserve"> (AF&lt;0.01) were selected for further analysis</w:t>
      </w:r>
      <w:r w:rsidR="00831720">
        <w:rPr>
          <w:lang w:val="en-US"/>
        </w:rPr>
        <w:t xml:space="preserve"> from the above 1,210 high impact variants</w:t>
      </w:r>
      <w:r w:rsidRPr="00AE5020">
        <w:rPr>
          <w:lang w:val="en-US"/>
        </w:rPr>
        <w:t xml:space="preserve">. This frequency cutoff yielded 27 variants in as many GENCODE </w:t>
      </w:r>
      <w:r w:rsidRPr="00AE5020">
        <w:rPr>
          <w:lang w:val="en-US"/>
        </w:rPr>
        <w:fldChar w:fldCharType="begin"/>
      </w:r>
      <w:r w:rsidR="00C01C95">
        <w:rPr>
          <w:lang w:val="en-US"/>
        </w:rPr>
        <w:instrText xml:space="preserve"> ADDIN ZOTERO_ITEM CSL_CITATION {"citationID":"YSyC4hET","properties":{"formattedCitation":"\\super 15\\nosupersub{}","plainCitation":"15","noteIndex":0},"citationItems":[{"id":641,"uris":["http://zotero.org/users/16405780/items/EUJDER7R"],"itemData":{"id":641,"type":"article-journal","abstract":"The accurate identification and description of the genes in the human and mouse genomes is a fundamental requirement for high quality analysis of data informing both genome biology and clinical genomics. Over the last 15 years, the GENCODE consortium has been producing reference quality gene annotations to provide this foundational resource. The GENCODE consortium includes both experimental and computational biology groups who work together to improve and extend the GENCODE gene annotation. Specifically, we generate primary data, create bioinformatics tools and provide analysis to support the work of expert manual gene annotators and automated gene annotation pipelines. In addition, manual and computational annotation workflows use any and all publicly available data and analysis, along with the research literature to identify and characterise gene loci to the highest standard. GENCODE gene annotations are accessible via the Ensembl and UCSC Genome Browsers, the Ensembl FTP site, Ensembl Biomart, Ensembl Perl and REST APIs as well as https://www.gencodegenes.org.","container-title":"Nucleic Acids Research","DOI":"10.1093/nar/gky955","ISSN":"0305-1048","issue":"D1","journalAbbreviation":"Nucleic Acids Research","page":"D766-D773","source":"Silverchair","title":"GENCODE reference annotation for the human and mouse genomes","volume":"47","author":[{"family":"Frankish","given":"Adam"},{"family":"Diekhans","given":"Mark"},{"family":"Ferreira","given":"Anne-Maud"},{"family":"Johnson","given":"Rory"},{"family":"Jungreis","given":"Irwin"},{"family":"Loveland","given":"Jane"},{"family":"Mudge","given":"Jonathan M"},{"family":"Sisu","given":"Cristina"},{"family":"Wright","given":"James"},{"family":"Armstrong","given":"Joel"},{"family":"Barnes","given":"If"},{"family":"Berry","given":"Andrew"},{"family":"Bignell","given":"Alexandra"},{"family":"Carbonell Sala","given":"Silvia"},{"family":"Chrast","given":"Jacqueline"},{"family":"Cunningham","given":"Fiona"},{"family":"Di Domenico","given":"Tomás"},{"family":"Donaldson","given":"Sarah"},{"family":"Fiddes","given":"Ian T"},{"family":"García Girón","given":"Carlos"},{"family":"Gonzalez","given":"Jose Manuel"},{"family":"Grego","given":"Tiago"},{"family":"Hardy","given":"Matthew"},{"family":"Hourlier","given":"Thibaut"},{"family":"Hunt","given":"Toby"},{"family":"Izuogu","given":"Osagie G"},{"family":"Lagarde","given":"Julien"},{"family":"Martin","given":"Fergal J"},{"family":"Martínez","given":"Laura"},{"family":"Mohanan","given":"Shamika"},{"family":"Muir","given":"Paul"},{"family":"Navarro","given":"Fabio C P"},{"family":"Parker","given":"Anne"},{"family":"Pei","given":"Baikang"},{"family":"Pozo","given":"Fernando"},{"family":"Ruffier","given":"Magali"},{"family":"Schmitt","given":"Bianca M"},{"family":"Stapleton","given":"Eloise"},{"family":"Suner","given":"Marie-Marthe"},{"family":"Sycheva","given":"Irina"},{"family":"Uszczynska-Ratajczak","given":"Barbara"},{"family":"Xu","given":"Jinuri"},{"family":"Yates","given":"Andrew"},{"family":"Zerbino","given":"Daniel"},{"family":"Zhang","given":"Yan"},{"family":"Aken","given":"Bronwen"},{"family":"Choudhary","given":"Jyoti S"},{"family":"Gerstein","given":"Mark"},{"family":"Guigó","given":"Roderic"},{"family":"Hubbard","given":"Tim J P"},{"family":"Kellis","given":"Manolis"},{"family":"Paten","given":"Benedict"},{"family":"Reymond","given":"Alexandre"},{"family":"Tress","given":"Michael L"},{"family":"Flicek","given":"Paul"}],"issued":{"date-parts":[["2019",1,8]]}}}],"schema":"https://github.com/citation-style-language/schema/raw/master/csl-citation.json"} </w:instrText>
      </w:r>
      <w:r w:rsidRPr="00AE5020">
        <w:rPr>
          <w:lang w:val="en-US"/>
        </w:rPr>
        <w:fldChar w:fldCharType="separate"/>
      </w:r>
      <w:r w:rsidR="00C01C95" w:rsidRPr="00C01C95">
        <w:rPr>
          <w:rFonts w:ascii="Calibri" w:cs="Calibri"/>
          <w:vertAlign w:val="superscript"/>
        </w:rPr>
        <w:t>15</w:t>
      </w:r>
      <w:r w:rsidRPr="00AE5020">
        <w:rPr>
          <w:lang w:val="en-US"/>
        </w:rPr>
        <w:fldChar w:fldCharType="end"/>
      </w:r>
      <w:r w:rsidRPr="00AE5020">
        <w:rPr>
          <w:lang w:val="en-US"/>
        </w:rPr>
        <w:t xml:space="preserve"> version 19  affected genes from across the seven sequenced populations (</w:t>
      </w:r>
      <w:r w:rsidRPr="00AE5020">
        <w:rPr>
          <w:b/>
          <w:lang w:val="en-US"/>
        </w:rPr>
        <w:t>Table </w:t>
      </w:r>
      <w:r w:rsidR="00831720">
        <w:rPr>
          <w:b/>
          <w:lang w:val="en-US"/>
        </w:rPr>
        <w:t>2</w:t>
      </w:r>
      <w:r w:rsidRPr="00AE5020">
        <w:rPr>
          <w:lang w:val="en-US"/>
        </w:rPr>
        <w:t xml:space="preserve">). We note that several affected genes (e.g., </w:t>
      </w:r>
      <w:r w:rsidRPr="00AE5020">
        <w:rPr>
          <w:i/>
          <w:iCs/>
          <w:lang w:val="en-US"/>
        </w:rPr>
        <w:t>FAM166A</w:t>
      </w:r>
      <w:r w:rsidRPr="00AE5020">
        <w:rPr>
          <w:lang w:val="en-US"/>
        </w:rPr>
        <w:t xml:space="preserve">, </w:t>
      </w:r>
      <w:r w:rsidRPr="00AE5020">
        <w:rPr>
          <w:i/>
          <w:iCs/>
          <w:lang w:val="en-US"/>
        </w:rPr>
        <w:t>LIN37</w:t>
      </w:r>
      <w:r w:rsidRPr="00AE5020">
        <w:rPr>
          <w:lang w:val="en-US"/>
        </w:rPr>
        <w:t xml:space="preserve">, </w:t>
      </w:r>
      <w:r w:rsidRPr="00AE5020">
        <w:rPr>
          <w:i/>
          <w:iCs/>
          <w:lang w:val="en-US"/>
        </w:rPr>
        <w:t>PSRC1</w:t>
      </w:r>
      <w:r w:rsidRPr="00AE5020">
        <w:rPr>
          <w:lang w:val="en-US"/>
        </w:rPr>
        <w:t xml:space="preserve">) possess splice‐site variants present at or near 1.00 frequency across all populations. These changes, each with moderate to high CADD_PHRED </w:t>
      </w:r>
      <w:r w:rsidRPr="00AE5020">
        <w:rPr>
          <w:lang w:val="en-US"/>
        </w:rPr>
        <w:fldChar w:fldCharType="begin"/>
      </w:r>
      <w:r w:rsidR="00C01C95">
        <w:rPr>
          <w:lang w:val="en-US"/>
        </w:rPr>
        <w:instrText xml:space="preserve"> ADDIN ZOTERO_ITEM CSL_CITATION {"citationID":"teITc1AX","properties":{"formattedCitation":"\\super 16\\nosupersub{}","plainCitation":"16","noteIndex":0},"citationItems":[{"id":605,"uris":["http://zotero.org/users/16405780/items/YETAZKWC"],"itemData":{"id":605,"type":"article-journal","abstract":"Combined Annotation-Dependent Depletion (CADD) is a widely used measure of variant deleteriousness that can effectively prioritize causal variants in genetic analyses, particularly highly penetrant contributors to severe Mendelian disorders. CADD is an integrative annotation built from more than 60 genomic features, and can score human single nucleotide variants and short insertion and deletions anywhere in the reference assembly. CADD uses a machine learning model trained on a binary distinction between simulated de novo variants and variants that have arisen and become fixed in human populations since the split between humans and chimpanzees; the former are free of selective pressure and may thus include both neutral and deleterious alleles, while the latter are overwhelmingly neutral (or, at most, weakly deleterious) by virtue of having survived millions of years of purifying selection. Here we review the latest updates to CADD, including the most recent version, 1.4, which supports the human genome build GRCh38. We also present updates to our website that include simplified variant lookup, extended documentation, an Application Program Interface and improved mechanisms for integrating CADD scores into other tools or applications. CADD scores, software and documentation are available at https://cadd.gs.washington.edu.","container-title":"Nucleic Acids Research","DOI":"10.1093/nar/gky1016","ISSN":"0305-1048","issue":"D1","journalAbbreviation":"Nucleic Acids Research","page":"D886-D894","source":"Silverchair","title":"CADD: predicting the deleteriousness of variants throughout the human genome","title-short":"CADD","volume":"47","author":[{"family":"Rentzsch","given":"Philipp"},{"family":"Witten","given":"Daniela"},{"family":"Cooper","given":"Gregory M"},{"family":"Shendure","given":"Jay"},{"family":"Kircher","given":"Martin"}],"issued":{"date-parts":[["2019",1,8]]}}}],"schema":"https://github.com/citation-style-language/schema/raw/master/csl-citation.json"} </w:instrText>
      </w:r>
      <w:r w:rsidRPr="00AE5020">
        <w:rPr>
          <w:lang w:val="en-US"/>
        </w:rPr>
        <w:fldChar w:fldCharType="separate"/>
      </w:r>
      <w:r w:rsidR="00C01C95" w:rsidRPr="00C01C95">
        <w:rPr>
          <w:rFonts w:ascii="Calibri" w:cs="Calibri"/>
          <w:vertAlign w:val="superscript"/>
        </w:rPr>
        <w:t>16</w:t>
      </w:r>
      <w:r w:rsidRPr="00AE5020">
        <w:rPr>
          <w:lang w:val="en-US"/>
        </w:rPr>
        <w:fldChar w:fldCharType="end"/>
      </w:r>
      <w:r w:rsidRPr="00AE5020">
        <w:rPr>
          <w:lang w:val="en-US"/>
        </w:rPr>
        <w:t xml:space="preserve"> scores (≥14), suggest they are deeply embedded in the shared gene pool of contemporary Peruvians, potentially reflecting founder events or ancient drift that predates the genetic divergence among these groups. Their functional consequences remain unclear—further transcript and protein analyses will be required to clarify whether these splice‐site mutations produce truncated transcripts or </w:t>
      </w:r>
      <w:proofErr w:type="spellStart"/>
      <w:r w:rsidRPr="00AE5020">
        <w:rPr>
          <w:lang w:val="en-US"/>
        </w:rPr>
        <w:t>alter</w:t>
      </w:r>
      <w:r w:rsidR="0091087F">
        <w:rPr>
          <w:lang w:val="en-US"/>
        </w:rPr>
        <w:t>indigenous</w:t>
      </w:r>
      <w:proofErr w:type="spellEnd"/>
      <w:r w:rsidRPr="00AE5020">
        <w:rPr>
          <w:lang w:val="en-US"/>
        </w:rPr>
        <w:t xml:space="preserve"> isoforms.</w:t>
      </w:r>
    </w:p>
    <w:p w14:paraId="541C7770" w14:textId="77777777" w:rsidR="00831720" w:rsidRDefault="00831720" w:rsidP="00A8274E">
      <w:pPr>
        <w:jc w:val="both"/>
        <w:rPr>
          <w:lang w:val="en-US"/>
        </w:rPr>
      </w:pPr>
    </w:p>
    <w:p w14:paraId="68BF7F40" w14:textId="25368EAE" w:rsidR="00831720" w:rsidRPr="00AE5020" w:rsidRDefault="00831720" w:rsidP="00831720">
      <w:pPr>
        <w:jc w:val="both"/>
        <w:rPr>
          <w:lang w:val="en-US"/>
        </w:rPr>
      </w:pPr>
      <w:r w:rsidRPr="00AE5020">
        <w:rPr>
          <w:bCs/>
          <w:lang w:val="en-US"/>
        </w:rPr>
        <w:t>A</w:t>
      </w:r>
      <w:r>
        <w:rPr>
          <w:bCs/>
          <w:lang w:val="en-US"/>
        </w:rPr>
        <w:t>nother</w:t>
      </w:r>
      <w:r w:rsidRPr="00AE5020">
        <w:rPr>
          <w:bCs/>
          <w:lang w:val="en-US"/>
        </w:rPr>
        <w:t xml:space="preserve"> highly prevalent affected gene, </w:t>
      </w:r>
      <w:r w:rsidRPr="00AE5020">
        <w:rPr>
          <w:bCs/>
          <w:i/>
          <w:lang w:val="en-US"/>
        </w:rPr>
        <w:t>USP29</w:t>
      </w:r>
      <w:r w:rsidRPr="00AE5020">
        <w:rPr>
          <w:lang w:val="en-US"/>
        </w:rPr>
        <w:t xml:space="preserve"> (Ubiquitin‐Specific Peptidase 29), is a </w:t>
      </w:r>
      <w:r w:rsidRPr="00AE5020">
        <w:rPr>
          <w:bCs/>
          <w:lang w:val="en-US"/>
        </w:rPr>
        <w:t>deubiquitinating enzyme</w:t>
      </w:r>
      <w:r w:rsidRPr="00AE5020">
        <w:rPr>
          <w:lang w:val="en-US"/>
        </w:rPr>
        <w:t xml:space="preserve"> believed to promotes cellular antiviral responses and autoimmunity </w:t>
      </w:r>
      <w:r w:rsidRPr="00AE5020">
        <w:rPr>
          <w:lang w:val="en-US"/>
        </w:rPr>
        <w:fldChar w:fldCharType="begin"/>
      </w:r>
      <w:r w:rsidRPr="00AE5020">
        <w:rPr>
          <w:lang w:val="en-US"/>
        </w:rPr>
        <w:instrText xml:space="preserve"> ADDIN ZOTERO_ITEM CSL_CITATION {"citationID":"9jwvSkV8","properties":{"formattedCitation":"\\super 17\\nosupersub{}","plainCitation":"17","noteIndex":0},"citationItems":[{"id":555,"uris":["http://zotero.org/users/16405780/items/JEL7RW79"],"itemData":{"id":555,"type":"webpage","title":"USP29 ubiquitin specific peptidase 29 [Homo sapiens (human)] - Gene - NCBI","URL":"https://www.ncbi.nlm.nih.gov/gene/57663","accessed":{"date-parts":[["2025",3,12]]}}}],"schema":"https://github.com/citation-style-language/schema/raw/master/csl-citation.json"} </w:instrText>
      </w:r>
      <w:r w:rsidRPr="00AE5020">
        <w:rPr>
          <w:lang w:val="en-US"/>
        </w:rPr>
        <w:fldChar w:fldCharType="separate"/>
      </w:r>
      <w:r w:rsidRPr="00AE5020">
        <w:rPr>
          <w:rFonts w:ascii="Calibri" w:cs="Calibri"/>
          <w:vertAlign w:val="superscript"/>
          <w:lang w:val="en-US"/>
        </w:rPr>
        <w:t>17</w:t>
      </w:r>
      <w:r w:rsidRPr="00AE5020">
        <w:rPr>
          <w:lang w:val="en-US"/>
        </w:rPr>
        <w:fldChar w:fldCharType="end"/>
      </w:r>
      <w:r w:rsidRPr="00AE5020">
        <w:rPr>
          <w:lang w:val="en-US"/>
        </w:rPr>
        <w:t xml:space="preserve">. In this dataset, it appears at an </w:t>
      </w:r>
      <w:r w:rsidRPr="00AE5020">
        <w:rPr>
          <w:bCs/>
          <w:lang w:val="en-US"/>
        </w:rPr>
        <w:t>extremely high frequency (AF=0.99)</w:t>
      </w:r>
      <w:r w:rsidRPr="00AE5020">
        <w:rPr>
          <w:lang w:val="en-US"/>
        </w:rPr>
        <w:t xml:space="preserve"> across all Peruvian populations, yet carries a </w:t>
      </w:r>
      <w:r w:rsidRPr="00AE5020">
        <w:rPr>
          <w:bCs/>
          <w:lang w:val="en-US"/>
        </w:rPr>
        <w:t>CADD_PHRED score of 34</w:t>
      </w:r>
      <w:r w:rsidRPr="00AE5020">
        <w:rPr>
          <w:lang w:val="en-US"/>
        </w:rPr>
        <w:t>, suggesting a potentially disruptive (stop‐gained) mutation. Recent work has shown that USP29 plays a crucial role in SARS-CoV-2 immune evasion, specifically by preventing the proteasomal degradation of ORF9b—an accessory viral protein that suppresses type I interferon (IFN) and NF-</w:t>
      </w:r>
      <w:proofErr w:type="spellStart"/>
      <w:r w:rsidRPr="00AE5020">
        <w:rPr>
          <w:lang w:val="en-US"/>
        </w:rPr>
        <w:t>κB</w:t>
      </w:r>
      <w:proofErr w:type="spellEnd"/>
      <w:r w:rsidRPr="00AE5020">
        <w:rPr>
          <w:lang w:val="en-US"/>
        </w:rPr>
        <w:t xml:space="preserve"> signaling </w:t>
      </w:r>
      <w:r w:rsidRPr="00AE5020">
        <w:rPr>
          <w:lang w:val="en-US"/>
        </w:rPr>
        <w:fldChar w:fldCharType="begin"/>
      </w:r>
      <w:r w:rsidRPr="00AE5020">
        <w:rPr>
          <w:lang w:val="en-US"/>
        </w:rPr>
        <w:instrText xml:space="preserve"> ADDIN ZOTERO_ITEM CSL_CITATION {"citationID":"n1nmErUX","properties":{"formattedCitation":"\\super 18\\nosupersub{}","plainCitation":"18","noteIndex":0},"citationItems":[{"id":554,"uris":["http://zotero.org/users/16405780/items/H3UKPFV8"],"itemData":{"id":554,"type":"article-journal","abstract":"Ubiquitin signaling is essential for immunity to restrict pathogen proliferation. Due to its enormous impact on human health and the global economy, intensive efforts have been invested in studying severe acute respiratory syndrome coronavirus 2 (SARS-CoV-2) and its interactions with hosts. However, the role of the ubiquitin network in pathogenicity has not yet been explored. Here, we found that ORF9b of SARS-CoV-2 is ubiquitinated on Lys-4 and Lys-40 by unknown E3 ubiquitin ligases and is degraded by the ubiquitin proteasomal system. Importantly, we identified USP29 as a host factor that prevents ORF9b ubiquitination and subsequent degradation. USP29 interacts with the carboxyl end of ORF9b and removes ubiquitin chains from the protein, thereby inhibiting type I interferon (IFN) induction and NF-κB activation. We also found that ORF9b stabilization by USP29 enhanced the virulence of VSV-eGFP and transcription and replication-competent SARS-CoV-2 virus-like-particles (trVLP). Moreover, we observed that the mRNA level of USP29 in SARS-CoV-2 patients was higher than that in healthy people. Our findings provide important evidence indicating that targeting USP29 may effectively combat SARS-CoV-2 infection. IMPORTANCE Coronavirus disease 2019 (COVID-19) is a current global health threat caused by SARS-CoV-2. The innate immune response such as type I IFN (IFN-I) is the first line of host defense against viral infections, whereas SARS-CoV-2 proteins antagonize IFN-I production through distinct mechanisms. Among them, ORF9b inhibits the canonical IκB kinase alpha (IKKɑ)/β/γ-NF-κB signaling and subsequent IFN production; therefore, discovering the regulation of ORF9b by the host might help develop a novel antiviral strategy. Posttranslational modification of proteins by ubiquitination regulates many biological processes, including viral infections. Here, we report that ORF9b is ubiquitinated and degraded through the proteasome pathway, whereas deubiquitinase USP29 deubiquitinates ORF9b and prevents its degradation, resulting in the enhancement of ORF9b-mediated inhibition of IFN-I and NF-κB activation and the enhancement of virulence of VSV-eGFP and SARS-CoV-2 trVLP.","container-title":"mBio","DOI":"10.1128/mbio.01300-22","ISSN":"2150-7511","issue":"3","journalAbbreviation":"mBio","language":"eng","note":"PMID: 35638730\nPMCID: PMC9239186","page":"e0130022","source":"PubMed","title":"The Deubiquitinase USP29 Promotes SARS-CoV-2 Virulence by Preventing Proteasome Degradation of ORF9b","volume":"13","author":[{"family":"Gao","given":"Wenying"},{"family":"Wang","given":"Liuli"},{"family":"Ju","given":"Xiaohui"},{"family":"Zhao","given":"Simin"},{"family":"Li","given":"Zhaolong"},{"family":"Su","given":"Manman"},{"family":"Xu","given":"Jiancheng"},{"family":"Wang","given":"Peihui"},{"family":"Ding","given":"Qiang"},{"family":"Lv","given":"Guoyue"},{"family":"Zhang","given":"Wenyan"}],"issued":{"date-parts":[["2022",6,28]]}}}],"schema":"https://github.com/citation-style-language/schema/raw/master/csl-citation.json"} </w:instrText>
      </w:r>
      <w:r w:rsidRPr="00AE5020">
        <w:rPr>
          <w:lang w:val="en-US"/>
        </w:rPr>
        <w:fldChar w:fldCharType="separate"/>
      </w:r>
      <w:r w:rsidRPr="00AE5020">
        <w:rPr>
          <w:rFonts w:ascii="Calibri" w:cs="Calibri"/>
          <w:vertAlign w:val="superscript"/>
          <w:lang w:val="en-US"/>
        </w:rPr>
        <w:t>18</w:t>
      </w:r>
      <w:r w:rsidRPr="00AE5020">
        <w:rPr>
          <w:lang w:val="en-US"/>
        </w:rPr>
        <w:fldChar w:fldCharType="end"/>
      </w:r>
      <w:r w:rsidRPr="00AE5020">
        <w:rPr>
          <w:lang w:val="en-US"/>
        </w:rPr>
        <w:t xml:space="preserve">. This is an intriguing finding given that Peru has reported the </w:t>
      </w:r>
      <w:r w:rsidRPr="00AE5020">
        <w:rPr>
          <w:bCs/>
          <w:lang w:val="en-US"/>
        </w:rPr>
        <w:t>highest COVID-19 death per million rate</w:t>
      </w:r>
      <w:r w:rsidRPr="00AE5020">
        <w:rPr>
          <w:lang w:val="en-US"/>
        </w:rPr>
        <w:t xml:space="preserve"> worldwide </w:t>
      </w:r>
      <w:r w:rsidRPr="00AE5020">
        <w:rPr>
          <w:lang w:val="en-US"/>
        </w:rPr>
        <w:fldChar w:fldCharType="begin"/>
      </w:r>
      <w:r w:rsidRPr="00AE5020">
        <w:rPr>
          <w:lang w:val="en-US"/>
        </w:rPr>
        <w:instrText xml:space="preserve"> ADDIN ZOTERO_ITEM CSL_CITATION {"citationID":"WKjFv6mU","properties":{"formattedCitation":"\\super 19\\nosupersub{}","plainCitation":"19","noteIndex":0},"citationItems":[{"id":553,"uris":["http://zotero.org/users/16405780/items/J9PKVXRD"],"itemData":{"id":553,"type":"webpage","abstract":"COVID deaths worldwide were highest in Peru, topping a list that compares deaths per million in 210 countries worldwide.","container-title":"Statista","language":"en","title":"COVID-19 deaths per capita by country","URL":"https://www.statista.com/statistics/1104709/coronavirus-deaths-worldwide-per-million-inhabitants/","accessed":{"date-parts":[["2025",3,12]]}}}],"schema":"https://github.com/citation-style-language/schema/raw/master/csl-citation.json"} </w:instrText>
      </w:r>
      <w:r w:rsidRPr="00AE5020">
        <w:rPr>
          <w:lang w:val="en-US"/>
        </w:rPr>
        <w:fldChar w:fldCharType="separate"/>
      </w:r>
      <w:r w:rsidRPr="00AE5020">
        <w:rPr>
          <w:rFonts w:ascii="Calibri" w:cs="Calibri"/>
          <w:vertAlign w:val="superscript"/>
          <w:lang w:val="en-US"/>
        </w:rPr>
        <w:t>19</w:t>
      </w:r>
      <w:r w:rsidRPr="00AE5020">
        <w:rPr>
          <w:lang w:val="en-US"/>
        </w:rPr>
        <w:fldChar w:fldCharType="end"/>
      </w:r>
      <w:r w:rsidRPr="00AE5020">
        <w:rPr>
          <w:lang w:val="en-US"/>
        </w:rPr>
        <w:t xml:space="preserve">. Whether this variant contributed to Peru’s stark COVID-19 outcomes remains uncertain, as socioeconomic factors likely played a decisive role. Nonetheless, the extreme allele frequency observed warrants further investigation into how this </w:t>
      </w:r>
      <w:proofErr w:type="spellStart"/>
      <w:r w:rsidRPr="00AE5020">
        <w:rPr>
          <w:lang w:val="en-US"/>
        </w:rPr>
        <w:t>deubiquitinase</w:t>
      </w:r>
      <w:proofErr w:type="spellEnd"/>
      <w:r w:rsidRPr="00AE5020">
        <w:rPr>
          <w:lang w:val="en-US"/>
        </w:rPr>
        <w:t xml:space="preserve"> variant might influence antiviral defenses or shape susceptibility in these Peruvian communities.</w:t>
      </w:r>
    </w:p>
    <w:p w14:paraId="1581B30A" w14:textId="77777777" w:rsidR="00831720" w:rsidRPr="00AE5020" w:rsidRDefault="00831720" w:rsidP="00831720">
      <w:pPr>
        <w:rPr>
          <w:lang w:val="en-US"/>
        </w:rPr>
      </w:pPr>
    </w:p>
    <w:p w14:paraId="2BBE329E" w14:textId="39D2809F" w:rsidR="00831720" w:rsidRPr="00AE5020" w:rsidRDefault="00831720" w:rsidP="00831720">
      <w:pPr>
        <w:jc w:val="both"/>
        <w:rPr>
          <w:lang w:val="en-US"/>
        </w:rPr>
      </w:pPr>
      <w:r w:rsidRPr="00AE5020">
        <w:rPr>
          <w:lang w:val="en-US"/>
        </w:rPr>
        <w:t xml:space="preserve">Within the type I interferon cluster, a </w:t>
      </w:r>
      <w:r w:rsidRPr="00AE5020">
        <w:rPr>
          <w:bCs/>
          <w:lang w:val="en-US"/>
        </w:rPr>
        <w:t xml:space="preserve">stop‐gained variant in </w:t>
      </w:r>
      <w:r w:rsidRPr="00AE5020">
        <w:rPr>
          <w:bCs/>
          <w:i/>
          <w:iCs/>
          <w:lang w:val="en-US"/>
        </w:rPr>
        <w:t>IFNA10</w:t>
      </w:r>
      <w:r w:rsidRPr="00AE5020">
        <w:rPr>
          <w:lang w:val="en-US"/>
        </w:rPr>
        <w:t xml:space="preserve"> emerged displayed relatively moderate allele frequencies in both </w:t>
      </w:r>
      <w:r w:rsidR="0091087F">
        <w:rPr>
          <w:lang w:val="en-US"/>
        </w:rPr>
        <w:t>indigenous</w:t>
      </w:r>
      <w:r w:rsidRPr="00AE5020">
        <w:rPr>
          <w:lang w:val="en-US"/>
        </w:rPr>
        <w:t xml:space="preserve"> and admixed communities (AF=0.23-0.40). Since interferon‐α genes orchestrate core antiviral defenses, this </w:t>
      </w:r>
      <w:r w:rsidRPr="00AE5020">
        <w:rPr>
          <w:bCs/>
          <w:lang w:val="en-US"/>
        </w:rPr>
        <w:t>disruptive mutation</w:t>
      </w:r>
      <w:r w:rsidRPr="00AE5020">
        <w:rPr>
          <w:lang w:val="en-US"/>
        </w:rPr>
        <w:t xml:space="preserve"> might reduce type I interferon production, potentially modifying viral susceptibility. The variation in counts across populations points to </w:t>
      </w:r>
      <w:r w:rsidRPr="00AE5020">
        <w:rPr>
          <w:bCs/>
          <w:lang w:val="en-US"/>
        </w:rPr>
        <w:t>distinct selective pressures or demographic events</w:t>
      </w:r>
      <w:r w:rsidRPr="00AE5020">
        <w:rPr>
          <w:lang w:val="en-US"/>
        </w:rPr>
        <w:t xml:space="preserve">, such as founder effects in the Andes. Additionally, </w:t>
      </w:r>
      <w:r w:rsidRPr="00AE5020">
        <w:rPr>
          <w:bCs/>
          <w:i/>
          <w:iCs/>
          <w:lang w:val="en-US"/>
        </w:rPr>
        <w:t>MOB3C</w:t>
      </w:r>
      <w:r w:rsidRPr="00AE5020">
        <w:rPr>
          <w:lang w:val="en-US"/>
        </w:rPr>
        <w:t xml:space="preserve"> and </w:t>
      </w:r>
      <w:r w:rsidRPr="00AE5020">
        <w:rPr>
          <w:bCs/>
          <w:i/>
          <w:iCs/>
          <w:lang w:val="en-US"/>
        </w:rPr>
        <w:t>C14orf105</w:t>
      </w:r>
      <w:r w:rsidRPr="00AE5020">
        <w:rPr>
          <w:lang w:val="en-US"/>
        </w:rPr>
        <w:t xml:space="preserve"> are associated </w:t>
      </w:r>
      <w:r>
        <w:rPr>
          <w:lang w:val="en-US"/>
        </w:rPr>
        <w:t>with</w:t>
      </w:r>
      <w:r w:rsidRPr="00AE5020">
        <w:rPr>
          <w:lang w:val="en-US"/>
        </w:rPr>
        <w:t xml:space="preserve"> immune‐related expression </w:t>
      </w:r>
      <w:r w:rsidRPr="00AE5020">
        <w:rPr>
          <w:lang w:val="en-US"/>
        </w:rPr>
        <w:fldChar w:fldCharType="begin"/>
      </w:r>
      <w:r w:rsidRPr="00AE5020">
        <w:rPr>
          <w:lang w:val="en-US"/>
        </w:rPr>
        <w:instrText xml:space="preserve"> ADDIN ZOTERO_ITEM CSL_CITATION {"citationID":"QQpcpbwl","properties":{"formattedCitation":"\\super 20\\nosupersub{}","plainCitation":"20","noteIndex":0},"citationItems":[{"id":525,"uris":["http://zotero.org/users/16405780/items/KKGK2UIB"],"itemData":{"id":525,"type":"article-journal","abstract":"Aminaphtone, a drug used in the treatment of chronic venous insufficiency (CVI), showed a remarkable role in the modulation of several vasoactive factors, like endothelin-1 and adhesion molecules. We analysed in vitro the effects of Aminaphtone on whole-genome gene expression and production of different inflammatory proteins. ECV-304 endothelial cells were stimulated with IL-1β 100U/ml in the presence or absence of Aminaphtone 6μg/ml. Gene expression profiles were compared at 1, 3, and 6h after stimulation by microarray. Supernatants of ECV-304 cultures were analysed at 3, 6, 12, and 24h by multiplex ELISA for production of several cytokine and chemokines. Microarrays showed a significant down-regulation at all times of a wide range of inflammatory genes. Aminaphtone appeared also able to modulate the regulation of immune response process (down-regulating cytokine biosynthesis, transcripts involved in lymphocyte differentiation and cell proliferation, and cytokine-cytokine receptor interaction) and to regulate genes engaged in homeostasis, secretion, body fluid levels, response to hypoxia, cell division, and cell-to-cell communication and signalling. Results were confirmed and extended analysing the secretome, which showed significant reduction of the release of 14 cytokines and chemokines. These effects are predicted to be mediated by interaction with different transcription factors. Aminaphtone was able to modulate the expression of inflammatory molecules relevant to the pathogenesis of several conditions in which the endothelial dysfunction is the main player and early event, like scleroderma, lung fibrosis, or atherosclerosis.","container-title":"European Journal of Pharmacology","DOI":"10.1016/j.ejphar.2016.04.018","ISSN":"0014-2999","journalAbbreviation":"European Journal of Pharmacology","page":"59-69","source":"ScienceDirect","title":"Gene expression profiling reveals novel protective effects of Aminaphtone on ECV304 endothelial cells","volume":"782","author":[{"family":"Salazar","given":"Giulia"},{"family":"Bellocchi","given":"Chiara"},{"family":"Todoerti","given":"Katia"},{"family":"Saporiti","given":"Federica"},{"family":"Piacentini","given":"Luca"},{"family":"Scorza","given":"Raffaella"},{"family":"Colombo","given":"Gualtiero I."}],"issued":{"date-parts":[["2016",7,5]]}}}],"schema":"https://github.com/citation-style-language/schema/raw/master/csl-citation.json"} </w:instrText>
      </w:r>
      <w:r w:rsidRPr="00AE5020">
        <w:rPr>
          <w:lang w:val="en-US"/>
        </w:rPr>
        <w:fldChar w:fldCharType="separate"/>
      </w:r>
      <w:r w:rsidRPr="00AE5020">
        <w:rPr>
          <w:rFonts w:ascii="Calibri" w:cs="Calibri"/>
          <w:vertAlign w:val="superscript"/>
          <w:lang w:val="en-US"/>
        </w:rPr>
        <w:t>20</w:t>
      </w:r>
      <w:r w:rsidRPr="00AE5020">
        <w:rPr>
          <w:lang w:val="en-US"/>
        </w:rPr>
        <w:fldChar w:fldCharType="end"/>
      </w:r>
      <w:r w:rsidRPr="00AE5020">
        <w:rPr>
          <w:lang w:val="en-US"/>
        </w:rPr>
        <w:t>. Truncations in these genes—</w:t>
      </w:r>
      <w:r w:rsidRPr="00AE5020">
        <w:rPr>
          <w:lang w:val="en-US"/>
        </w:rPr>
        <w:lastRenderedPageBreak/>
        <w:t xml:space="preserve">particularly the allele frequency difference in </w:t>
      </w:r>
      <w:r w:rsidRPr="00AE5020">
        <w:rPr>
          <w:i/>
          <w:iCs/>
          <w:lang w:val="en-US"/>
        </w:rPr>
        <w:t>MOB3C</w:t>
      </w:r>
      <w:r w:rsidRPr="00AE5020">
        <w:rPr>
          <w:lang w:val="en-US"/>
        </w:rPr>
        <w:t xml:space="preserve"> between Cusco (AF=0.25) and Uros (AF=0.70)—could reflect adaptive shifts in cytokine signaling under varied highland vs. lake‐dwelling environments, despite both communities being geographically close to each other.</w:t>
      </w:r>
    </w:p>
    <w:p w14:paraId="3AA8A2C7" w14:textId="77777777" w:rsidR="00831720" w:rsidRPr="00AE5020" w:rsidRDefault="00831720" w:rsidP="00831720">
      <w:pPr>
        <w:jc w:val="both"/>
        <w:rPr>
          <w:lang w:val="en-US"/>
        </w:rPr>
      </w:pPr>
    </w:p>
    <w:p w14:paraId="72797BCA" w14:textId="77777777" w:rsidR="00831720" w:rsidRPr="00AE5020" w:rsidRDefault="00831720" w:rsidP="00831720">
      <w:pPr>
        <w:jc w:val="both"/>
        <w:rPr>
          <w:lang w:val="en-US"/>
        </w:rPr>
      </w:pPr>
      <w:r w:rsidRPr="00AE5020">
        <w:rPr>
          <w:lang w:val="en-US"/>
        </w:rPr>
        <w:t xml:space="preserve">A </w:t>
      </w:r>
      <w:r w:rsidRPr="00AE5020">
        <w:rPr>
          <w:bCs/>
          <w:lang w:val="en-US"/>
        </w:rPr>
        <w:t xml:space="preserve">stop‐lost mutation in </w:t>
      </w:r>
      <w:r w:rsidRPr="00AE5020">
        <w:rPr>
          <w:bCs/>
          <w:i/>
          <w:iCs/>
          <w:lang w:val="en-US"/>
        </w:rPr>
        <w:t>NLRP8</w:t>
      </w:r>
      <w:r w:rsidRPr="00AE5020">
        <w:rPr>
          <w:lang w:val="en-US"/>
        </w:rPr>
        <w:t xml:space="preserve"> (a member of the NOD‐like receptor inflammasome family) was identified across multiple groups (AF=0.75-0.84), suggesting partial conservation yet moderate differentiation among populations. Loss of the canonical stop codon could extend the </w:t>
      </w:r>
      <w:bookmarkStart w:id="4" w:name="OLE_LINK39"/>
      <w:bookmarkStart w:id="5" w:name="OLE_LINK40"/>
      <w:r w:rsidRPr="00AE5020">
        <w:rPr>
          <w:lang w:val="en-US"/>
        </w:rPr>
        <w:t>NLRP8 protein, influencing pathways that govern inflammasome assembly and immune activation against bacterial or viral infections</w:t>
      </w:r>
      <w:bookmarkEnd w:id="4"/>
      <w:bookmarkEnd w:id="5"/>
      <w:r w:rsidRPr="00AE5020">
        <w:rPr>
          <w:lang w:val="en-US"/>
        </w:rPr>
        <w:t xml:space="preserve"> </w:t>
      </w:r>
      <w:r w:rsidRPr="00AE5020">
        <w:rPr>
          <w:lang w:val="en-US"/>
        </w:rPr>
        <w:fldChar w:fldCharType="begin"/>
      </w:r>
      <w:r w:rsidRPr="00AE5020">
        <w:rPr>
          <w:lang w:val="en-US"/>
        </w:rPr>
        <w:instrText xml:space="preserve"> ADDIN ZOTERO_ITEM CSL_CITATION {"citationID":"UkvWjI1y","properties":{"formattedCitation":"\\super 21\\nosupersub{}","plainCitation":"21","noteIndex":0},"citationItems":[{"id":528,"uris":["http://zotero.org/users/16405780/items/9HHAMXNY"],"itemData":{"id":528,"type":"article-journal","abstract":"Review on the interplay between NLR proteins, and RNA and DNA viruses., NLR proteins are innate immune sensors that respond to microbial infection. Upon pathogen infection, some NLR proteins form large complexes, called inflammasomes, which activate caspase-1 and induce the production of active IL-1β and IL-18. Activation of inflammasomes can also lead to an inflammatory cell death program, named pyroptosis. In this review, we will discuss the role of various NLR proteins in sensing different viral infections, as well as the strategies used by several RNA and DNA viruses to counteract the antiviral effects of NLR-dependent inflammasomes.","container-title":"Journal of Leukocyte Biology","DOI":"10.1189/jlb.0312132","ISSN":"0741-5400","issue":"3","journalAbbreviation":"J Leukoc Biol","note":"PMID: 22581934\nPMCID: PMC4046246","page":"469-477","source":"PubMed Central","title":"NLRs, inflammasomes, and viral infection","volume":"92","author":[{"family":"Jacobs","given":"Sarah R."},{"family":"Damania","given":"Blossom"}],"issued":{"date-parts":[["2012",9]]}}}],"schema":"https://github.com/citation-style-language/schema/raw/master/csl-citation.json"} </w:instrText>
      </w:r>
      <w:r w:rsidRPr="00AE5020">
        <w:rPr>
          <w:lang w:val="en-US"/>
        </w:rPr>
        <w:fldChar w:fldCharType="separate"/>
      </w:r>
      <w:r w:rsidRPr="00AE5020">
        <w:rPr>
          <w:rFonts w:ascii="Calibri" w:cs="Calibri"/>
          <w:vertAlign w:val="superscript"/>
          <w:lang w:val="en-US"/>
        </w:rPr>
        <w:t>21</w:t>
      </w:r>
      <w:r w:rsidRPr="00AE5020">
        <w:rPr>
          <w:lang w:val="en-US"/>
        </w:rPr>
        <w:fldChar w:fldCharType="end"/>
      </w:r>
      <w:r w:rsidRPr="00AE5020">
        <w:rPr>
          <w:lang w:val="en-US"/>
        </w:rPr>
        <w:t xml:space="preserve">. Meanwhile, a </w:t>
      </w:r>
      <w:r w:rsidRPr="00AE5020">
        <w:rPr>
          <w:bCs/>
          <w:lang w:val="en-US"/>
        </w:rPr>
        <w:t xml:space="preserve">splice disruption in </w:t>
      </w:r>
      <w:bookmarkStart w:id="6" w:name="OLE_LINK41"/>
      <w:bookmarkStart w:id="7" w:name="OLE_LINK42"/>
      <w:r w:rsidRPr="00AE5020">
        <w:rPr>
          <w:bCs/>
          <w:i/>
          <w:iCs/>
          <w:lang w:val="en-US"/>
        </w:rPr>
        <w:t>ZNF419</w:t>
      </w:r>
      <w:r w:rsidRPr="00AE5020">
        <w:rPr>
          <w:lang w:val="en-US"/>
        </w:rPr>
        <w:t xml:space="preserve"> (AF=0.69-0.94) points to a zinc‐finger transcription factor potentially regulating immune gene expression</w:t>
      </w:r>
      <w:bookmarkEnd w:id="6"/>
      <w:bookmarkEnd w:id="7"/>
      <w:r w:rsidRPr="00AE5020">
        <w:rPr>
          <w:lang w:val="en-US"/>
        </w:rPr>
        <w:t xml:space="preserve"> </w:t>
      </w:r>
      <w:r w:rsidRPr="00AE5020">
        <w:rPr>
          <w:lang w:val="en-US"/>
        </w:rPr>
        <w:fldChar w:fldCharType="begin"/>
      </w:r>
      <w:r w:rsidRPr="00AE5020">
        <w:rPr>
          <w:lang w:val="en-US"/>
        </w:rPr>
        <w:instrText xml:space="preserve"> ADDIN ZOTERO_ITEM CSL_CITATION {"citationID":"Aur7IO8A","properties":{"formattedCitation":"\\super 22\\nosupersub{}","plainCitation":"22","noteIndex":0},"citationItems":[{"id":530,"uris":["http://zotero.org/users/16405780/items/3DAR6WV2"],"itemData":{"id":530,"type":"article-journal","abstract":"Background\nAs a ferroptosis-related gene, the polymorphism of zinc finger protein 419 (ZNF419) at the splice donor site may generate renal cell carcinoma-associated novel minor histocompatibility antigen ZAPHIR. However, the role of ZNF419 in prognosis and immunology in human tumors remains largely unknown. This study aimed to visualize the prognostic landscape of ZNF419 at pan-cancer level and explore the relationship between ZNF419 expression and the tumor immune microenvironment.\n\nMethod\nPan-cancer and mutation data were downloaded from TCGA databases and analyzed through R (version 3.6.4) and its suitable packages. Differential ZNF419 expression and prognosis were analyzed. Correlations with ferroptosis-related genes, pathway analysis, tumor stemness, heterogeneity, mutation landscape, and RNA modifications were also explored. The relationships between ZNF419 expression and tumor immunity were investigated through the TIMER and ESTIMATE methods.\n\nResult\nZNF419 was differentially expressed between tumor and normal samples and was associated with overall survival, disease-specific survival and progression-free interval for STES, KIRC, LIHC, LUSC, PRAD, and BLCA. We found the interaction between ZNF419 and FANCD2 might involve in ferroptosis in pan-cancer level. In addition, the mutation frequencies of STES, KIRC, LIHC, LUSC, PRAD, and BLCA were 1.5%, 0.3%, 0.3%, 1.9%, 0.2%, and 0.7%, respectively. We detected that the expression of ZNF419 was closely correlated with most immune checkpoint genes and immune regulatory genes. Furthermore, we found that the ZNF419 expression level was negatively related to the immune score in the six cancers mentioned above. The expression of ZNF419 was significantly associated with various infiltrating immune cells, such as CD4+ T cells, CD8+ T cells, and macrophages in patients with KIRC, PRAD, and LUSC but was only significantly related to macrophages in BLCA patients.\n\nConclusion\nZNF419 might serve as a potential prognostic and immunological pan-cancer biomarker, especially for KIRC, LIHC, LUSC, PRAD, and BLCA.","container-title":"Frontiers in Oncology","DOI":"10.3389/fonc.2022.1042118","ISSN":"2234-943X","journalAbbreviation":"Front Oncol","note":"PMID: 36578929\nPMCID: PMC9791222","page":"1042118","source":"PubMed Central","title":"A pan-cancer analysis of the oncogenic role of zinc finger protein 419 in human cancer","volume":"12","author":[{"family":"Zhu","given":"Weizhen"},{"family":"Feng","given":"Dechao"},{"family":"Shi","given":"Xu"},{"family":"Li","given":"Dengxiong"},{"family":"Wei","given":"Qiang"},{"family":"Yang","given":"Lu"}],"issued":{"date-parts":[["2022",12,12]]}}}],"schema":"https://github.com/citation-style-language/schema/raw/master/csl-citation.json"} </w:instrText>
      </w:r>
      <w:r w:rsidRPr="00AE5020">
        <w:rPr>
          <w:lang w:val="en-US"/>
        </w:rPr>
        <w:fldChar w:fldCharType="separate"/>
      </w:r>
      <w:r w:rsidRPr="00AE5020">
        <w:rPr>
          <w:rFonts w:ascii="Calibri" w:cs="Calibri"/>
          <w:vertAlign w:val="superscript"/>
          <w:lang w:val="en-US"/>
        </w:rPr>
        <w:t>22</w:t>
      </w:r>
      <w:r w:rsidRPr="00AE5020">
        <w:rPr>
          <w:lang w:val="en-US"/>
        </w:rPr>
        <w:fldChar w:fldCharType="end"/>
      </w:r>
      <w:r w:rsidRPr="00AE5020">
        <w:rPr>
          <w:lang w:val="en-US"/>
        </w:rPr>
        <w:t xml:space="preserve"> in a high pathogen‐load across all environments (coast, Andes, Amazon jungle). This distribution strengthens the hypothesis of </w:t>
      </w:r>
      <w:r w:rsidRPr="00AE5020">
        <w:rPr>
          <w:bCs/>
          <w:lang w:val="en-US"/>
        </w:rPr>
        <w:t>immune adaptations</w:t>
      </w:r>
      <w:r w:rsidRPr="00AE5020">
        <w:rPr>
          <w:lang w:val="en-US"/>
        </w:rPr>
        <w:t xml:space="preserve"> shaping variant patterns in these Peruvian subpopulations.</w:t>
      </w:r>
    </w:p>
    <w:p w14:paraId="398EE9DF" w14:textId="77777777" w:rsidR="00831720" w:rsidRPr="00AE5020" w:rsidRDefault="00831720" w:rsidP="00831720">
      <w:pPr>
        <w:jc w:val="both"/>
        <w:rPr>
          <w:lang w:val="en-US"/>
        </w:rPr>
      </w:pPr>
    </w:p>
    <w:p w14:paraId="349239C8" w14:textId="623A2E48" w:rsidR="00831720" w:rsidRPr="00AE5020" w:rsidRDefault="00831720" w:rsidP="00831720">
      <w:pPr>
        <w:jc w:val="both"/>
        <w:rPr>
          <w:lang w:val="en-US"/>
        </w:rPr>
      </w:pPr>
      <w:r w:rsidRPr="00AE5020">
        <w:rPr>
          <w:bCs/>
          <w:lang w:val="en-US"/>
        </w:rPr>
        <w:t>T</w:t>
      </w:r>
      <w:r w:rsidRPr="00AE5020">
        <w:rPr>
          <w:lang w:val="en-US"/>
        </w:rPr>
        <w:t xml:space="preserve">wo </w:t>
      </w:r>
      <w:r w:rsidRPr="00AE5020">
        <w:rPr>
          <w:bCs/>
          <w:lang w:val="en-US"/>
        </w:rPr>
        <w:t xml:space="preserve">stop‐gained variants in </w:t>
      </w:r>
      <w:r w:rsidRPr="00AE5020">
        <w:rPr>
          <w:bCs/>
          <w:i/>
          <w:iCs/>
          <w:lang w:val="en-US"/>
        </w:rPr>
        <w:t>OR2L8</w:t>
      </w:r>
      <w:r w:rsidRPr="00AE5020">
        <w:rPr>
          <w:bCs/>
          <w:lang w:val="en-US"/>
        </w:rPr>
        <w:t xml:space="preserve"> and </w:t>
      </w:r>
      <w:r w:rsidRPr="00AE5020">
        <w:rPr>
          <w:bCs/>
          <w:i/>
          <w:iCs/>
          <w:lang w:val="en-US"/>
        </w:rPr>
        <w:t>OR10X1</w:t>
      </w:r>
      <w:r w:rsidRPr="00AE5020">
        <w:rPr>
          <w:lang w:val="en-US"/>
        </w:rPr>
        <w:t xml:space="preserve">— all at high or moderately high allele frequencies and annotated as olfactory receptor genes—stand out. </w:t>
      </w:r>
      <w:bookmarkStart w:id="8" w:name="OLE_LINK43"/>
      <w:bookmarkStart w:id="9" w:name="OLE_LINK44"/>
      <w:r w:rsidRPr="00AE5020">
        <w:rPr>
          <w:lang w:val="en-US"/>
        </w:rPr>
        <w:t xml:space="preserve">Emerging evidence suggests certain </w:t>
      </w:r>
      <w:r w:rsidRPr="00AE5020">
        <w:rPr>
          <w:bCs/>
          <w:lang w:val="en-US"/>
        </w:rPr>
        <w:t>olfactory receptors are also expressed in immune cells</w:t>
      </w:r>
      <w:r w:rsidRPr="00AE5020">
        <w:rPr>
          <w:lang w:val="en-US"/>
        </w:rPr>
        <w:t>, supporting a possible immunomodulatory function rather than purely olfactory</w:t>
      </w:r>
      <w:bookmarkEnd w:id="8"/>
      <w:bookmarkEnd w:id="9"/>
      <w:r w:rsidRPr="00AE5020">
        <w:rPr>
          <w:lang w:val="en-US"/>
        </w:rPr>
        <w:t xml:space="preserve"> </w:t>
      </w:r>
      <w:r w:rsidRPr="00AE5020">
        <w:rPr>
          <w:lang w:val="en-US"/>
        </w:rPr>
        <w:fldChar w:fldCharType="begin"/>
      </w:r>
      <w:r w:rsidRPr="00AE5020">
        <w:rPr>
          <w:lang w:val="en-US"/>
        </w:rPr>
        <w:instrText xml:space="preserve"> ADDIN ZOTERO_ITEM CSL_CITATION {"citationID":"q5aiHILk","properties":{"formattedCitation":"\\super 23\\uc0\\u8211{}25\\nosupersub{}","plainCitation":"23–25","noteIndex":0},"citationItems":[{"id":533,"uris":["http://zotero.org/users/16405780/items/3QRTHHXA"],"itemData":{"id":533,"type":"article-journal","abstract":"Olfactory receptors (ORs) that bind odorous ligands are the largest family of G-protein-coupled receptors. In the olfactory epithelium, approximately 400 and 1,100 members are expressed in humans and mice, respectively. Growing evidence suggests the extranasal functions of ORs. Here, we review OR expression and function in macrophages, specialized innate immune cells involved in the detection, phagocytosis, and destruction of cellular debris and pathogens as well as the initiation of inflammatory responses. RNA sequencing data in mice suggest that up to 580 ORs may be expressed in macrophages. Macrophage OR expression is increased after treatment with the Toll-like receptor 4 ligand lipopolysaccharide, which also induces the transcription of inflammasome components. Triggering human OR6A2 or its mouse orthologue Olfr2 with their cognate ligand octanal induces inflammasome assembly and the secretion of IL-1β, which exacerbates atherosclerosis. Octanal is positively correlated with blood lipids like low-density lipoprotein –cholesterol in humans. Another OR, Olfr78, is activated by lactate, which promotes the generation of tumor-associated macrophages that dampen the immune response and promote tumor progression. Olfactory receptors in macrophages are a rich source of untapped opportunity for modulating inflammation. It is not known which of the many ORs expressed in macrophages promote or modulate inflammation. Progress in this area also requires deorphanizing more ORs and determining the sources of their ligands.","container-title":"Frontiers in Immunology","DOI":"10.3389/fimmu.2022.1029244","ISSN":"1664-3224","journalAbbreviation":"Front Immunol","note":"PMID: 36311776\nPMCID: PMC9606742","page":"1029244","source":"PubMed Central","title":"Olfactory receptors in macrophages and inflammation","volume":"13","author":[{"family":"Orecchioni","given":"Marco"},{"family":"Matsunami","given":"Hiroaki"},{"family":"Ley","given":"Klaus"}],"issued":{"date-parts":[["2022",10,13]]}}},{"id":536,"uris":["http://zotero.org/users/16405780/items/N6X9UCBG"],"itemData":{"id":536,"type":"article-journal","abstract":"Detection and discrimination of odorants by the olfactory system plays a pivotal role in animal survival. Olfactory-based behaviors must be adapted to an ever-changing environment. Part of these adaptations includes changes of odorant detection by olfactory sensory neurons localized in the olfactory epithelium. It is now well established that internal signals such as hormones, neurotransmitters, or paracrine signals directly affect the electric activity of olfactory neurons. Furthermore, recent data have shown that activity-dependent survival of olfactory neurons is important in the olfactory epithelium. Finally, as olfactory neurons are directly exposed to environmental toxicants and pathogens, the olfactory epithelium also interacts closely with the immune system leading to neuroimmune modulations. Here, we review how detection of odorants can be modulated in the vertebrate olfactory epithelium. We choose to focus on three cellular types of the olfactory epithelium (the olfactory sensory neuron, the sustentacular and microvillar cells) to present the diversity of modulation of the detection of odorant in the olfactory epithelium. We also present some of the growing literature on the importance of immune cells in the functioning of the olfactory epithelium, although their impact on odorant detection is only just beginning to be unravelled.","container-title":"Cell and Tissue Research","DOI":"10.1007/s00441-021-03467-y","ISSN":"0302-766X","issue":"3","journalAbbreviation":"Cell Tissue Res","note":"PMID: 33961125\nPMCID: PMC8102665","page":"589-605","source":"PubMed Central","title":"Modulation of olfactory signal detection in the olfactory epithelium: focus on the internal and external environment, and the emerging role of the immune system","title-short":"Modulation of olfactory signal detection in the olfactory epithelium","volume":"384","author":[{"family":"Bryche","given":"Bertrand"},{"family":"Baly","given":"Christine"},{"family":"Meunier","given":"Nicolas"}],"issued":{"date-parts":[["2021"]]}}},{"id":539,"uris":["http://zotero.org/users/16405780/items/LSZG2NBH"],"itemData":{"id":539,"type":"webpage","title":"Olfactory Receptors as an Emerging Chemical Sensing Scaffold | Biochemistry","URL":"https://pubs.acs.org/doi/10.1021/acs.biochem.2c00486","accessed":{"date-parts":[["2025",3,10]]}}}],"schema":"https://github.com/citation-style-language/schema/raw/master/csl-citation.json"} </w:instrText>
      </w:r>
      <w:r w:rsidRPr="00AE5020">
        <w:rPr>
          <w:lang w:val="en-US"/>
        </w:rPr>
        <w:fldChar w:fldCharType="separate"/>
      </w:r>
      <w:r w:rsidRPr="00AE5020">
        <w:rPr>
          <w:rFonts w:ascii="Calibri" w:cs="Calibri"/>
          <w:vertAlign w:val="superscript"/>
          <w:lang w:val="en-US"/>
        </w:rPr>
        <w:t>23–25</w:t>
      </w:r>
      <w:r w:rsidRPr="00AE5020">
        <w:rPr>
          <w:lang w:val="en-US"/>
        </w:rPr>
        <w:fldChar w:fldCharType="end"/>
      </w:r>
      <w:r w:rsidRPr="00AE5020">
        <w:rPr>
          <w:lang w:val="en-US"/>
        </w:rPr>
        <w:t xml:space="preserve">. The loss of functional protein in these receptor genes could reduce chemical detection at the cell membrane, potentially altering responses to dietary toxins or local pathogens in different ecological niches. Meanwhile, a </w:t>
      </w:r>
      <w:r w:rsidRPr="00AE5020">
        <w:rPr>
          <w:bCs/>
          <w:lang w:val="en-US"/>
        </w:rPr>
        <w:t xml:space="preserve">splice acceptor variant in </w:t>
      </w:r>
      <w:r w:rsidRPr="00AE5020">
        <w:rPr>
          <w:bCs/>
          <w:i/>
          <w:iCs/>
          <w:lang w:val="en-US"/>
        </w:rPr>
        <w:t>CACNB2</w:t>
      </w:r>
      <w:r w:rsidRPr="00AE5020">
        <w:rPr>
          <w:lang w:val="en-US"/>
        </w:rPr>
        <w:t xml:space="preserve"> was detected at low/moderate frequency in all populations (AF=0.04-0.15). </w:t>
      </w:r>
      <w:bookmarkStart w:id="10" w:name="OLE_LINK45"/>
      <w:bookmarkStart w:id="11" w:name="OLE_LINK46"/>
      <w:r w:rsidRPr="00AE5020">
        <w:rPr>
          <w:i/>
          <w:iCs/>
          <w:lang w:val="en-US"/>
        </w:rPr>
        <w:t>CACNB2</w:t>
      </w:r>
      <w:r w:rsidRPr="00AE5020">
        <w:rPr>
          <w:lang w:val="en-US"/>
        </w:rPr>
        <w:t xml:space="preserve"> encodes a subunit of voltage‐gated calcium channels central to </w:t>
      </w:r>
      <w:r w:rsidRPr="00AE5020">
        <w:rPr>
          <w:bCs/>
          <w:lang w:val="en-US"/>
        </w:rPr>
        <w:t>T‐ and B‐lymphocyte activation</w:t>
      </w:r>
      <w:bookmarkEnd w:id="10"/>
      <w:bookmarkEnd w:id="11"/>
      <w:r w:rsidRPr="00AE5020">
        <w:rPr>
          <w:lang w:val="en-US"/>
        </w:rPr>
        <w:t> </w:t>
      </w:r>
      <w:r w:rsidRPr="00AE5020">
        <w:rPr>
          <w:lang w:val="en-US"/>
        </w:rPr>
        <w:fldChar w:fldCharType="begin"/>
      </w:r>
      <w:r w:rsidRPr="00AE5020">
        <w:rPr>
          <w:lang w:val="en-US"/>
        </w:rPr>
        <w:instrText xml:space="preserve"> ADDIN ZOTERO_ITEM CSL_CITATION {"citationID":"VMlDMork","properties":{"formattedCitation":"\\super 26\\nosupersub{}","plainCitation":"26","noteIndex":0},"citationItems":[{"id":541,"uris":["http://zotero.org/users/16405780/items/RZKJGI8K"],"itemData":{"id":541,"type":"article-journal","abstract":"TCR stimulation triggers Ca2+ signals that are critical for T cell function and immunity. Several pore-forming α and auxiliary β subunits of voltage-gated Ca2+ channels (VGCC) were reported in T cells, but their mechanism of activation remains elusive and their contribution to Ca2+ signaling in T cells is controversial. We here identify CaVβ1, encoded by Cacnb1, as a regulator of T cell function. Cacnb1 deletion enhances apoptosis and impairs the clonal expansion of T cells after lymphocytic choriomeningitis virus (LCMV) infection. By contrast, Cacnb1 is dispensable for T cell proliferation, cytokine production and Ca2+ signaling. Using patch clamp electrophysiology and Ca2+ recordings, we are unable to detect voltage-gated Ca2+ currents or Ca2+ influx in human and mouse T cells upon depolarization with or without prior TCR stimulation. mRNAs of several VGCC α1 subunits are detectable in human (CaV3.3, CaV3.2) and mouse (CaV2.1) T cells, but they lack transcription of many 5’ exons, likely resulting in N-terminally truncated and non-functional proteins. Our findings demonstrate that although CaVβ1 regulates T cell function, these effects are independent of VGCC channel activity., The function of voltage-gated calcium channels in T cells is not well understood and controversial. Here the authors report that a regulatory beta subunit of voltage-gated calcium channels regulates T cell function despite no evidence that these channels were functional within T cells during activation.","container-title":"Nature Communications","DOI":"10.1038/s41467-022-29725-3","ISSN":"2041-1723","journalAbbreviation":"Nat Commun","note":"PMID: 35440113\nPMCID: PMC9018955","page":"2033","source":"PubMed Central","title":"Cavβ1 regulates T cell expansion and apoptosis independently of voltage-gated Ca2+ channel function","volume":"13","author":[{"family":"Erdogmus","given":"Serap"},{"family":"Concepcion","given":"Axel R."},{"family":"Yamashita","given":"Megumi"},{"family":"Sidhu","given":"Ikjot"},{"family":"Tao","given":"Anthony Y."},{"family":"Li","given":"Wenyi"},{"family":"Rocha","given":"Pedro P."},{"family":"Huang","given":"Bonnie"},{"family":"Garippa","given":"Ralph"},{"family":"Lee","given":"Boram"},{"family":"Lee","given":"Amy"},{"family":"Hell","given":"Johannes W."},{"family":"Lewis","given":"Richard S."},{"family":"Prakriya","given":"Murali"},{"family":"Feske","given":"Stefan"}],"issued":{"date-parts":[["2022",4,19]]}}}],"schema":"https://github.com/citation-style-language/schema/raw/master/csl-citation.json"} </w:instrText>
      </w:r>
      <w:r w:rsidRPr="00AE5020">
        <w:rPr>
          <w:lang w:val="en-US"/>
        </w:rPr>
        <w:fldChar w:fldCharType="separate"/>
      </w:r>
      <w:r w:rsidRPr="00AE5020">
        <w:rPr>
          <w:rFonts w:ascii="Calibri" w:cs="Calibri"/>
          <w:vertAlign w:val="superscript"/>
          <w:lang w:val="en-US"/>
        </w:rPr>
        <w:t>26</w:t>
      </w:r>
      <w:r w:rsidRPr="00AE5020">
        <w:rPr>
          <w:lang w:val="en-US"/>
        </w:rPr>
        <w:fldChar w:fldCharType="end"/>
      </w:r>
      <w:r w:rsidRPr="00AE5020">
        <w:rPr>
          <w:lang w:val="en-US"/>
        </w:rPr>
        <w:t xml:space="preserve">. Although the clinical significance remains ambiguous, the presence of this disruptive variant in multiple populations suggests a possible </w:t>
      </w:r>
      <w:r w:rsidRPr="00AE5020">
        <w:rPr>
          <w:bCs/>
          <w:lang w:val="en-US"/>
        </w:rPr>
        <w:t>subclinical effect on immune cell excitability</w:t>
      </w:r>
      <w:r w:rsidRPr="00AE5020">
        <w:rPr>
          <w:lang w:val="en-US"/>
        </w:rPr>
        <w:t xml:space="preserve"> and underscores immune processes in these Peruvian groups.</w:t>
      </w:r>
    </w:p>
    <w:p w14:paraId="67A625D5" w14:textId="77777777" w:rsidR="00A8274E" w:rsidRPr="00AE5020" w:rsidRDefault="00A8274E" w:rsidP="00A8274E">
      <w:pPr>
        <w:jc w:val="both"/>
        <w:rPr>
          <w:lang w:val="en-US"/>
        </w:rPr>
      </w:pPr>
    </w:p>
    <w:p w14:paraId="6C06456D" w14:textId="09BB9DB0" w:rsidR="00A8274E" w:rsidRPr="00AE5020" w:rsidRDefault="00A8274E" w:rsidP="00A8274E">
      <w:pPr>
        <w:jc w:val="both"/>
        <w:rPr>
          <w:lang w:val="en-US"/>
        </w:rPr>
      </w:pPr>
      <w:r w:rsidRPr="00AE5020">
        <w:rPr>
          <w:lang w:val="en-US"/>
        </w:rPr>
        <w:t xml:space="preserve">Many other genes affected by high-impact rare variants (e.g., </w:t>
      </w:r>
      <w:r w:rsidRPr="00AE5020">
        <w:rPr>
          <w:i/>
          <w:iCs/>
          <w:lang w:val="en-US"/>
        </w:rPr>
        <w:t>HLA‐DRB5</w:t>
      </w:r>
      <w:r w:rsidRPr="00AE5020">
        <w:rPr>
          <w:lang w:val="en-US"/>
        </w:rPr>
        <w:t xml:space="preserve">, </w:t>
      </w:r>
      <w:r w:rsidRPr="00AE5020">
        <w:rPr>
          <w:i/>
          <w:iCs/>
          <w:lang w:val="en-US"/>
        </w:rPr>
        <w:t>CACNB2</w:t>
      </w:r>
      <w:r w:rsidRPr="00AE5020">
        <w:rPr>
          <w:lang w:val="en-US"/>
        </w:rPr>
        <w:t xml:space="preserve">, </w:t>
      </w:r>
      <w:r w:rsidRPr="00AE5020">
        <w:rPr>
          <w:i/>
          <w:iCs/>
          <w:lang w:val="en-US"/>
        </w:rPr>
        <w:t>NPIPB5</w:t>
      </w:r>
      <w:r w:rsidRPr="00AE5020">
        <w:rPr>
          <w:lang w:val="en-US"/>
        </w:rPr>
        <w:t xml:space="preserve">) show moderate frequencies across multiple populations, though each population often has a unique distribution. On Peru’s northern coast, both </w:t>
      </w:r>
      <w:proofErr w:type="spellStart"/>
      <w:r w:rsidRPr="00AE5020">
        <w:rPr>
          <w:lang w:val="en-US"/>
        </w:rPr>
        <w:t>Moches</w:t>
      </w:r>
      <w:proofErr w:type="spellEnd"/>
      <w:r w:rsidRPr="00AE5020">
        <w:rPr>
          <w:lang w:val="en-US"/>
        </w:rPr>
        <w:t xml:space="preserve"> and Trujillo exhibit relatively low AF for a </w:t>
      </w:r>
      <w:r w:rsidRPr="00AE5020">
        <w:rPr>
          <w:bCs/>
          <w:i/>
          <w:iCs/>
          <w:lang w:val="en-US"/>
        </w:rPr>
        <w:t>UBE2NL</w:t>
      </w:r>
      <w:r w:rsidRPr="00AE5020">
        <w:rPr>
          <w:lang w:val="en-US"/>
        </w:rPr>
        <w:t xml:space="preserve"> stop‐gained mutation (AF=0.30-0.44), contrasting with higher frequencies elsewhere (AF=0.71-0.53). Because </w:t>
      </w:r>
      <w:bookmarkStart w:id="12" w:name="OLE_LINK35"/>
      <w:bookmarkStart w:id="13" w:name="OLE_LINK36"/>
      <w:r w:rsidRPr="00AE5020">
        <w:rPr>
          <w:i/>
          <w:iCs/>
          <w:lang w:val="en-US"/>
        </w:rPr>
        <w:t>UBE2NL</w:t>
      </w:r>
      <w:r w:rsidRPr="00AE5020">
        <w:rPr>
          <w:lang w:val="en-US"/>
        </w:rPr>
        <w:t xml:space="preserve"> encodes a ubiquitin‐conjugating enzyme that regulates protein turnover of immune factors </w:t>
      </w:r>
      <w:bookmarkEnd w:id="12"/>
      <w:bookmarkEnd w:id="13"/>
      <w:r w:rsidRPr="00AE5020">
        <w:rPr>
          <w:lang w:val="en-US"/>
        </w:rPr>
        <w:fldChar w:fldCharType="begin"/>
      </w:r>
      <w:r w:rsidR="00C01C95">
        <w:rPr>
          <w:lang w:val="en-US"/>
        </w:rPr>
        <w:instrText xml:space="preserve"> ADDIN ZOTERO_ITEM CSL_CITATION {"citationID":"mcLEmo8a","properties":{"formattedCitation":"\\super 27\\nosupersub{}","plainCitation":"27","noteIndex":0},"citationItems":[{"id":517,"uris":["http://zotero.org/users/16405780/items/6IH448HZ"],"itemData":{"id":517,"type":"article-journal","abstract":"UBE2N, a Lys63-ubiquitin conjugating enzyme, plays critical roles in embryogenesis and immune system development and function. However, its roles in adult epithelial tissue homeostasis and pathogenesis are unclear. We generated conditional mouse models that deleted Ube2n in skin cells in a temporally and spatially controlled manner. We found that Ube2n-knockout (KO) in the adult skin keratinocytes induced a range of inflammatory skin defects characteristic of psoriatic and actinic keratosis. These included eczematous inflammation, epidermal and dermal thickening, parakeratosis, and increased immune cell infiltration, as well as signs of edema and blistering. Single cell transcriptomic analyses and RT-qPCR showed that Ube2n KO keratinocytes expressed elevated myeloid cell chemo-attractants such as Cxcl1 and Cxcl2 and decreased the homeostatic T lymphocyte chemo-attractant, Ccl27a. Consistently, the infiltrating immune cells of Ube2n-KO skin were predominantly myeloid-derived cells including neutrophils and M1-like macrophages that were highly inflammatory, as indicated by expression of Il1β and Il24. Pharmacological blockade of the IL-1 receptor associated kinases (IRAK1/4) alleviated eczema, epidermal and dermal thickening, and immune infiltration of the Ube2n mutant skin. Together, these findings highlight a key role of keratinocyte-UBE2N in maintenance of epidermal homeostasis and skin immunity and identify IRAK1/4 as potential therapeutic target for inflammatory skin disorders.","container-title":"bioRxiv","DOI":"10.1101/2023.12.01.569631","journalAbbreviation":"bioRxiv","note":"PMID: 38105982\nPMCID: PMC10723344","page":"2023.12.01.569631","source":"PubMed Central","title":"UBE2N is essential for maintenance of skin homeostasis and suppression of inflammation","author":[{"family":"Lee","given":"Min Jin"},{"family":"Hammouda","given":"Manel Ben"},{"family":"Miao","given":"Wanying"},{"family":"Okafor","given":"Arinze"},{"family":"Jin","given":"Yingai"},{"family":"Sun","given":"Huiying"},{"family":"Jain","given":"Vaibhav"},{"family":"Markovtsov","given":"Vadim"},{"family":"Diao","given":"Yarui"},{"family":"Gregory","given":"Simon G."},{"family":"Zhang","given":"Jennifer Y."}],"issued":{"date-parts":[["2023",12,4]]}}}],"schema":"https://github.com/citation-style-language/schema/raw/master/csl-citation.json"} </w:instrText>
      </w:r>
      <w:r w:rsidRPr="00AE5020">
        <w:rPr>
          <w:lang w:val="en-US"/>
        </w:rPr>
        <w:fldChar w:fldCharType="separate"/>
      </w:r>
      <w:r w:rsidR="00C01C95" w:rsidRPr="00C01C95">
        <w:rPr>
          <w:rFonts w:ascii="Calibri" w:cs="Calibri"/>
          <w:vertAlign w:val="superscript"/>
        </w:rPr>
        <w:t>27</w:t>
      </w:r>
      <w:r w:rsidRPr="00AE5020">
        <w:rPr>
          <w:lang w:val="en-US"/>
        </w:rPr>
        <w:fldChar w:fldCharType="end"/>
      </w:r>
      <w:r w:rsidRPr="00AE5020">
        <w:rPr>
          <w:lang w:val="en-US"/>
        </w:rPr>
        <w:t xml:space="preserve">, this coastal pattern could reflect </w:t>
      </w:r>
      <w:r w:rsidRPr="00AE5020">
        <w:rPr>
          <w:bCs/>
          <w:lang w:val="en-US"/>
        </w:rPr>
        <w:t>distinct selective pressures</w:t>
      </w:r>
      <w:r w:rsidRPr="00AE5020">
        <w:rPr>
          <w:lang w:val="en-US"/>
        </w:rPr>
        <w:t xml:space="preserve"> near the ocean or a historical gene flow event that introduced or reduced this variant in the region. In addition, a stop‐gained mutation in </w:t>
      </w:r>
      <w:r w:rsidRPr="00AE5020">
        <w:rPr>
          <w:bCs/>
          <w:i/>
          <w:iCs/>
          <w:lang w:val="en-US"/>
        </w:rPr>
        <w:t>C5orf20</w:t>
      </w:r>
      <w:r w:rsidRPr="00AE5020">
        <w:rPr>
          <w:lang w:val="en-US"/>
        </w:rPr>
        <w:t xml:space="preserve"> stands out as most different in Matzes with 19 alleles (AF=0.79) in Matzes individuals—a moderately higher frequency compared to other populations (AF=0.32-0.62). This relatively high prevalence in a small, isolated Amazonian group may indicate that the allele </w:t>
      </w:r>
      <w:r w:rsidRPr="00AE5020">
        <w:rPr>
          <w:bCs/>
          <w:lang w:val="en-US"/>
        </w:rPr>
        <w:t>rose in frequency through drift</w:t>
      </w:r>
      <w:r w:rsidRPr="00AE5020">
        <w:rPr>
          <w:lang w:val="en-US"/>
        </w:rPr>
        <w:t>, reflecting the Matzes’ long‐term genetic isolation and smaller effective population size.</w:t>
      </w:r>
    </w:p>
    <w:p w14:paraId="47A259C3" w14:textId="77777777" w:rsidR="00A8274E" w:rsidRPr="00AE5020" w:rsidRDefault="00A8274E" w:rsidP="00A8274E">
      <w:pPr>
        <w:jc w:val="both"/>
        <w:rPr>
          <w:lang w:val="en-US"/>
        </w:rPr>
      </w:pPr>
    </w:p>
    <w:p w14:paraId="3A5A6EB9" w14:textId="26E11C24" w:rsidR="00A8274E" w:rsidRPr="00AE5020" w:rsidRDefault="00A8274E" w:rsidP="00A8274E">
      <w:pPr>
        <w:jc w:val="both"/>
        <w:rPr>
          <w:lang w:val="en-US"/>
        </w:rPr>
      </w:pPr>
      <w:r w:rsidRPr="00AE5020">
        <w:rPr>
          <w:lang w:val="en-US"/>
        </w:rPr>
        <w:t xml:space="preserve">Notably, Lake Titicaca dwellers Uros </w:t>
      </w:r>
      <w:proofErr w:type="gramStart"/>
      <w:r w:rsidRPr="00AE5020">
        <w:rPr>
          <w:lang w:val="en-US"/>
        </w:rPr>
        <w:t>show</w:t>
      </w:r>
      <w:proofErr w:type="gramEnd"/>
      <w:r w:rsidRPr="00AE5020">
        <w:rPr>
          <w:lang w:val="en-US"/>
        </w:rPr>
        <w:t xml:space="preserve"> presence (AF=0.45) of an </w:t>
      </w:r>
      <w:r w:rsidRPr="00AE5020">
        <w:rPr>
          <w:bCs/>
          <w:i/>
          <w:iCs/>
          <w:lang w:val="en-US"/>
        </w:rPr>
        <w:t>HLA‐DQB1</w:t>
      </w:r>
      <w:r w:rsidRPr="00AE5020">
        <w:rPr>
          <w:lang w:val="en-US"/>
        </w:rPr>
        <w:t xml:space="preserve"> stop‐gain variant that appears at lower levels (AF=0-0.32) in other populations, marking it as most different in Uros. </w:t>
      </w:r>
      <w:bookmarkStart w:id="14" w:name="OLE_LINK37"/>
      <w:bookmarkStart w:id="15" w:name="OLE_LINK38"/>
      <w:r w:rsidRPr="00AE5020">
        <w:rPr>
          <w:lang w:val="en-US"/>
        </w:rPr>
        <w:t xml:space="preserve">The Uros’ geographic and cultural isolation may have led them to </w:t>
      </w:r>
      <w:r w:rsidRPr="00AE5020">
        <w:rPr>
          <w:bCs/>
          <w:lang w:val="en-US"/>
        </w:rPr>
        <w:t>gain this damaging HLA allele</w:t>
      </w:r>
      <w:r w:rsidRPr="00AE5020">
        <w:rPr>
          <w:lang w:val="en-US"/>
        </w:rPr>
        <w:t xml:space="preserve"> through a bottleneck or acquire it via gene flow</w:t>
      </w:r>
      <w:bookmarkEnd w:id="14"/>
      <w:bookmarkEnd w:id="15"/>
      <w:r w:rsidRPr="00AE5020">
        <w:rPr>
          <w:lang w:val="en-US"/>
        </w:rPr>
        <w:t> </w:t>
      </w:r>
      <w:r w:rsidRPr="00AE5020">
        <w:rPr>
          <w:lang w:val="en-US"/>
        </w:rPr>
        <w:fldChar w:fldCharType="begin"/>
      </w:r>
      <w:r w:rsidR="00C01C95">
        <w:rPr>
          <w:lang w:val="en-US"/>
        </w:rPr>
        <w:instrText xml:space="preserve"> ADDIN ZOTERO_ITEM CSL_CITATION {"citationID":"SLmuFcHM","properties":{"formattedCitation":"\\super 28\\nosupersub{}","plainCitation":"28","noteIndex":0},"citationItems":[{"id":520,"uris":["http://zotero.org/users/16405780/items/UZ2H76PE"],"itemData":{"id":520,"type":"article-journal","abstract":"Uros population from the Titikaka Lake live in about 42 floating reed ('totora') islands in front of Puno City (Peru) at a 4000 m high altiplano. They present both an mtDNA and a human leucocyte antigen (HLA) profile different from the surrounding populations: mtDNA A2 haplogroup is common to Uros and Amazon forest lowland Amerindians. HLA genetic distances between populations have been calculated and neighbour-joining dendrograms and correspondence analyses were carried out. Approximately 15 006 HLA chromosomes from worldwide populations have been used for comparisons. Only eight HLA-A alleles have been found, three of them accounting for most of the frequencies. The same phenomenon is seen for HLA-B, HLA-DRB1 and HLA-DQB1 alleles: a few alleles (3, 4 and 3, respectively) are present in most individuals. The presence of HLA-B*4801 and HLA-DRB1*0901 alleles in a relatively high frequency (although not the most frequent alleles found) is a characteristic shared with Asians and some populations from the Andean altiplano. Three specific Uros haplotypes have been found among the most frequent ones: HLA-A*680102-B*3505-DRB1*0403-DQB1*0302; HLA-A*2402-B*1504-DRB1*1402-DQB1*0301; and HLA-A*2402-B*4801-DRB1*0403-DQB1*0302. The present study suggests that Uros may have been one of the first populations from the shores of the Titikaka Lake coming from the Amazonian forest, which might have given rise to other later differentiated ethnic group (i.e. Aymaras). Uros HLA profile is also useful to study genetic epidemiology of diseases linked to HLA and to construct a future transplant waiting list by adding up regional lists in order to get a bigger pool for transplanting with better HLA matching.","container-title":"International Journal of Immunogenetics","DOI":"10.1111/j.1744-313X.2009.00841.x","ISSN":"1744-313X","issue":"3","journalAbbreviation":"Int J Immunogenet","language":"eng","note":"PMID: 19490211","page":"159-167","source":"PubMed","title":"HLA genes in Uros from Titikaka Lake, Peru: origin and relationship with other Amerindians and worldwide populations","title-short":"HLA genes in Uros from Titikaka Lake, Peru","volume":"36","author":[{"family":"Arnaiz-Villena","given":"A."},{"family":"Gonzalez-Alcos","given":"V."},{"family":"Serrano-Vela","given":"J. I."},{"family":"Reguera","given":"R."},{"family":"Barbolla","given":"L."},{"family":"Parga-Lozano","given":"C."},{"family":"Gómez-Prieto","given":"P."},{"family":"Abd-El-Fatah-Khalil","given":"S."},{"family":"Moscoso","given":"J."}],"issued":{"date-parts":[["2009",6]]}}}],"schema":"https://github.com/citation-style-language/schema/raw/master/csl-citation.json"} </w:instrText>
      </w:r>
      <w:r w:rsidRPr="00AE5020">
        <w:rPr>
          <w:lang w:val="en-US"/>
        </w:rPr>
        <w:fldChar w:fldCharType="separate"/>
      </w:r>
      <w:r w:rsidR="00C01C95" w:rsidRPr="00C01C95">
        <w:rPr>
          <w:rFonts w:ascii="Calibri" w:cs="Calibri"/>
          <w:vertAlign w:val="superscript"/>
        </w:rPr>
        <w:t>28</w:t>
      </w:r>
      <w:r w:rsidRPr="00AE5020">
        <w:rPr>
          <w:lang w:val="en-US"/>
        </w:rPr>
        <w:fldChar w:fldCharType="end"/>
      </w:r>
      <w:r w:rsidRPr="00AE5020">
        <w:rPr>
          <w:lang w:val="en-US"/>
        </w:rPr>
        <w:t xml:space="preserve">. In the non-mestizo groups (Matzes, Uros, </w:t>
      </w:r>
      <w:proofErr w:type="spellStart"/>
      <w:r w:rsidRPr="00AE5020">
        <w:rPr>
          <w:lang w:val="en-US"/>
        </w:rPr>
        <w:t>Chopccas</w:t>
      </w:r>
      <w:proofErr w:type="spellEnd"/>
      <w:r w:rsidRPr="00AE5020">
        <w:rPr>
          <w:lang w:val="en-US"/>
        </w:rPr>
        <w:t xml:space="preserve"> and </w:t>
      </w:r>
      <w:proofErr w:type="spellStart"/>
      <w:r w:rsidRPr="00AE5020">
        <w:rPr>
          <w:lang w:val="en-US"/>
        </w:rPr>
        <w:t>Moches</w:t>
      </w:r>
      <w:proofErr w:type="spellEnd"/>
      <w:r w:rsidRPr="00AE5020">
        <w:rPr>
          <w:lang w:val="en-US"/>
        </w:rPr>
        <w:t xml:space="preserve">), a </w:t>
      </w:r>
      <w:r w:rsidRPr="00AE5020">
        <w:rPr>
          <w:bCs/>
          <w:lang w:val="en-US"/>
        </w:rPr>
        <w:t>start‐lost</w:t>
      </w:r>
      <w:r w:rsidRPr="00AE5020">
        <w:rPr>
          <w:lang w:val="en-US"/>
        </w:rPr>
        <w:t xml:space="preserve"> mutation in </w:t>
      </w:r>
      <w:r w:rsidRPr="00AE5020">
        <w:rPr>
          <w:bCs/>
          <w:i/>
          <w:iCs/>
          <w:lang w:val="en-US"/>
        </w:rPr>
        <w:t>SEL1L3</w:t>
      </w:r>
      <w:r w:rsidRPr="00AE5020">
        <w:rPr>
          <w:lang w:val="en-US"/>
        </w:rPr>
        <w:t xml:space="preserve"> is relatively more frequent (AF=0.10-0.23), whereas the admixed (Iquitos, Cusco, Trujillo) carry no alleles or hardly any (AF=0.00-0.03). Because </w:t>
      </w:r>
      <w:r w:rsidRPr="00AE5020">
        <w:rPr>
          <w:i/>
          <w:iCs/>
          <w:lang w:val="en-US"/>
        </w:rPr>
        <w:t>SEL1L3</w:t>
      </w:r>
      <w:r w:rsidRPr="00AE5020">
        <w:rPr>
          <w:lang w:val="en-US"/>
        </w:rPr>
        <w:t xml:space="preserve"> contributes to protein folding and endoplasmic </w:t>
      </w:r>
      <w:r w:rsidRPr="00AE5020">
        <w:rPr>
          <w:lang w:val="en-US"/>
        </w:rPr>
        <w:lastRenderedPageBreak/>
        <w:t xml:space="preserve">reticulum quality control </w:t>
      </w:r>
      <w:r w:rsidRPr="00AE5020">
        <w:rPr>
          <w:lang w:val="en-US"/>
        </w:rPr>
        <w:fldChar w:fldCharType="begin"/>
      </w:r>
      <w:r w:rsidR="00C01C95">
        <w:rPr>
          <w:lang w:val="en-US"/>
        </w:rPr>
        <w:instrText xml:space="preserve"> ADDIN ZOTERO_ITEM CSL_CITATION {"citationID":"atOrouWw","properties":{"formattedCitation":"\\super 29\\nosupersub{}","plainCitation":"29","noteIndex":0},"citationItems":[{"id":522,"uris":["http://zotero.org/users/16405780/items/6T4WYSMQ"],"itemData":{"id":522,"type":"article-journal","abstract":"The recognition of terminally misfolded proteins in the endoplasmic reticulum (ER) and the extraction of these proteins to the cytoplasm for proteasomal degradation are determined by a quality control mechanism in the ER. In yeast, Yos9p, an ER lectin containing a mannose 6-phosphate receptor homology (MRH) domain, enhances ER-associated degradation (ERAD) of glycoproteins. We show here that human XTP3-B (hXTP3-B), an ER lectin containing two MRH domains, has two transcriptional variants, and both isoforms retard ERAD of the human alpha(1)-antitrypsin variant null Hong Kong (NHK), a terminally misfolded glycoprotein. The hXTP3-B long isoform strongly inhibited ERAD of NHK-QQQ, which lacks all of the N-glycosylation sites of NHK, but the short transcriptional variant of hXTP3-B had almost no effect. Examination of complex formation by immunoprecipitation and by fractionation using sucrose density gradient centrifugation revealed that the hXTP3-B long isoform associates with the HRD1-SEL1L membrane-anchored ubiquitin ligase complex and BiP, forming a 27 S ER quality control scaffold complex. The hXTP3-B short isoform, however, is excluded from scaffold formation. Another MRH domain-containing ER lectin, hOS-9, is incorporated into this large complex, but gp78, another mammalian homolog of the yeast ubiquitin ligase Hrd1p, is not. Based on these results, we propose that this large ER quality control scaffold complex, containing ER lectins, a chaperone, and a ubiquitin ligase, provides a platform for the recognition and sorting of misfolded glycoproteins as well as nonglycosylated proteins prior to retrotranslocation into the cytoplasm for degradation.","container-title":"The Journal of Biological Chemistry","DOI":"10.1074/jbc.M709336200","ISSN":"0021-9258","issue":"30","journalAbbreviation":"J Biol Chem","language":"eng","note":"PMID: 18502753\nPMCID: PMC3258950","page":"20914-20924","source":"PubMed","title":"Human XTP3-B forms an endoplasmic reticulum quality control scaffold with the HRD1-SEL1L ubiquitin ligase complex and BiP","volume":"283","author":[{"family":"Hosokawa","given":"Nobuko"},{"family":"Wada","given":"Ikuo"},{"family":"Nagasawa","given":"Koji"},{"family":"Moriyama","given":"Tatsuya"},{"family":"Okawa","given":"Katsuya"},{"family":"Nagata","given":"Kazuhiro"}],"issued":{"date-parts":[["2008",7,25]]}}}],"schema":"https://github.com/citation-style-language/schema/raw/master/csl-citation.json"} </w:instrText>
      </w:r>
      <w:r w:rsidRPr="00AE5020">
        <w:rPr>
          <w:lang w:val="en-US"/>
        </w:rPr>
        <w:fldChar w:fldCharType="separate"/>
      </w:r>
      <w:r w:rsidR="00C01C95" w:rsidRPr="00C01C95">
        <w:rPr>
          <w:rFonts w:ascii="Calibri" w:cs="Calibri"/>
          <w:vertAlign w:val="superscript"/>
        </w:rPr>
        <w:t>29</w:t>
      </w:r>
      <w:r w:rsidRPr="00AE5020">
        <w:rPr>
          <w:lang w:val="en-US"/>
        </w:rPr>
        <w:fldChar w:fldCharType="end"/>
      </w:r>
      <w:r w:rsidRPr="00AE5020">
        <w:rPr>
          <w:lang w:val="en-US"/>
        </w:rPr>
        <w:t xml:space="preserve">, losing the start codon might </w:t>
      </w:r>
      <w:r w:rsidRPr="00AE5020">
        <w:rPr>
          <w:bCs/>
          <w:lang w:val="en-US"/>
        </w:rPr>
        <w:t xml:space="preserve">drastically reduce </w:t>
      </w:r>
      <w:r w:rsidRPr="00AE5020">
        <w:rPr>
          <w:bCs/>
          <w:i/>
          <w:lang w:val="en-US"/>
        </w:rPr>
        <w:t>SEL1L3</w:t>
      </w:r>
      <w:r w:rsidRPr="00AE5020">
        <w:rPr>
          <w:bCs/>
          <w:lang w:val="en-US"/>
        </w:rPr>
        <w:t xml:space="preserve"> levels</w:t>
      </w:r>
      <w:r w:rsidRPr="00AE5020">
        <w:rPr>
          <w:lang w:val="en-US"/>
        </w:rPr>
        <w:t xml:space="preserve">, potentially altering immune cell secretion or stability. </w:t>
      </w:r>
      <w:proofErr w:type="gramStart"/>
      <w:r w:rsidRPr="00AE5020">
        <w:rPr>
          <w:lang w:val="en-US"/>
        </w:rPr>
        <w:t>This variant underscores</w:t>
      </w:r>
      <w:proofErr w:type="gramEnd"/>
      <w:r w:rsidRPr="00AE5020">
        <w:rPr>
          <w:lang w:val="en-US"/>
        </w:rPr>
        <w:t xml:space="preserve"> how </w:t>
      </w:r>
      <w:r w:rsidRPr="00AE5020">
        <w:rPr>
          <w:bCs/>
          <w:lang w:val="en-US"/>
        </w:rPr>
        <w:t>isolated populations</w:t>
      </w:r>
      <w:r w:rsidRPr="00AE5020">
        <w:rPr>
          <w:lang w:val="en-US"/>
        </w:rPr>
        <w:t xml:space="preserve"> can fix unusual mutations that shape local immune phenotypes.</w:t>
      </w:r>
    </w:p>
    <w:p w14:paraId="3A5683BA" w14:textId="77777777" w:rsidR="00A8274E" w:rsidRPr="00AE5020" w:rsidRDefault="00A8274E" w:rsidP="00A8274E">
      <w:pPr>
        <w:jc w:val="both"/>
        <w:rPr>
          <w:lang w:val="en-US"/>
        </w:rPr>
      </w:pPr>
    </w:p>
    <w:p w14:paraId="24084C37" w14:textId="77777777" w:rsidR="00A8274E" w:rsidRPr="00AE5020" w:rsidRDefault="00A8274E" w:rsidP="00A8274E">
      <w:pPr>
        <w:jc w:val="both"/>
        <w:rPr>
          <w:lang w:val="en-US"/>
        </w:rPr>
        <w:sectPr w:rsidR="00A8274E" w:rsidRPr="00AE5020" w:rsidSect="00A8274E">
          <w:footerReference w:type="even" r:id="rId6"/>
          <w:footerReference w:type="default" r:id="rId7"/>
          <w:pgSz w:w="11900" w:h="16840"/>
          <w:pgMar w:top="1440" w:right="1440" w:bottom="1440" w:left="1440" w:header="708" w:footer="708" w:gutter="0"/>
          <w:cols w:space="708"/>
          <w:docGrid w:linePitch="360"/>
        </w:sectPr>
      </w:pPr>
    </w:p>
    <w:tbl>
      <w:tblPr>
        <w:tblpPr w:leftFromText="180" w:rightFromText="180" w:vertAnchor="text" w:horzAnchor="margin" w:tblpXSpec="center" w:tblpY="-76"/>
        <w:tblW w:w="13948" w:type="dxa"/>
        <w:tblLook w:val="04A0" w:firstRow="1" w:lastRow="0" w:firstColumn="1" w:lastColumn="0" w:noHBand="0" w:noVBand="1"/>
      </w:tblPr>
      <w:tblGrid>
        <w:gridCol w:w="2552"/>
        <w:gridCol w:w="1417"/>
        <w:gridCol w:w="1229"/>
        <w:gridCol w:w="2032"/>
        <w:gridCol w:w="850"/>
        <w:gridCol w:w="709"/>
        <w:gridCol w:w="1016"/>
        <w:gridCol w:w="868"/>
        <w:gridCol w:w="833"/>
        <w:gridCol w:w="726"/>
        <w:gridCol w:w="891"/>
        <w:gridCol w:w="825"/>
      </w:tblGrid>
      <w:tr w:rsidR="00A8274E" w:rsidRPr="00AE5020" w14:paraId="5C7EFD2C" w14:textId="77777777" w:rsidTr="001D10C8">
        <w:trPr>
          <w:trHeight w:val="240"/>
        </w:trPr>
        <w:tc>
          <w:tcPr>
            <w:tcW w:w="2552"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6D60A50E" w14:textId="77777777" w:rsidR="00A8274E" w:rsidRPr="00AE5020" w:rsidRDefault="00A8274E" w:rsidP="001D10C8">
            <w:pPr>
              <w:jc w:val="center"/>
              <w:rPr>
                <w:rFonts w:ascii="Calibri" w:eastAsia="Times New Roman" w:hAnsi="Calibri" w:cs="Calibri"/>
                <w:color w:val="000000"/>
                <w:sz w:val="18"/>
                <w:szCs w:val="18"/>
                <w:lang w:val="en-US"/>
              </w:rPr>
            </w:pPr>
            <w:r w:rsidRPr="00AE5020">
              <w:rPr>
                <w:rFonts w:ascii="Calibri" w:eastAsia="Times New Roman" w:hAnsi="Calibri" w:cs="Calibri"/>
                <w:color w:val="000000"/>
                <w:sz w:val="18"/>
                <w:szCs w:val="18"/>
                <w:lang w:val="en-US"/>
              </w:rPr>
              <w:lastRenderedPageBreak/>
              <w:t>BIALLELIC VARIANT LOCATION (hg19)</w:t>
            </w:r>
          </w:p>
        </w:tc>
        <w:tc>
          <w:tcPr>
            <w:tcW w:w="1417" w:type="dxa"/>
            <w:tcBorders>
              <w:top w:val="single" w:sz="4" w:space="0" w:color="auto"/>
              <w:left w:val="nil"/>
              <w:bottom w:val="single" w:sz="4" w:space="0" w:color="auto"/>
              <w:right w:val="single" w:sz="4" w:space="0" w:color="auto"/>
            </w:tcBorders>
            <w:shd w:val="clear" w:color="000000" w:fill="E7E6E6"/>
            <w:noWrap/>
            <w:vAlign w:val="bottom"/>
            <w:hideMark/>
          </w:tcPr>
          <w:p w14:paraId="2FA90A70" w14:textId="77777777" w:rsidR="00A8274E" w:rsidRPr="00AE5020" w:rsidRDefault="00A8274E" w:rsidP="001D10C8">
            <w:pPr>
              <w:jc w:val="center"/>
              <w:rPr>
                <w:rFonts w:ascii="Calibri" w:eastAsia="Times New Roman" w:hAnsi="Calibri" w:cs="Calibri"/>
                <w:color w:val="000000"/>
                <w:sz w:val="18"/>
                <w:szCs w:val="18"/>
                <w:lang w:val="en-US"/>
              </w:rPr>
            </w:pPr>
            <w:r w:rsidRPr="00AE5020">
              <w:rPr>
                <w:rFonts w:ascii="Calibri" w:eastAsia="Times New Roman" w:hAnsi="Calibri" w:cs="Calibri"/>
                <w:color w:val="000000"/>
                <w:sz w:val="18"/>
                <w:szCs w:val="18"/>
                <w:lang w:val="en-US"/>
              </w:rPr>
              <w:t>GENE SYMBOL</w:t>
            </w:r>
          </w:p>
        </w:tc>
        <w:tc>
          <w:tcPr>
            <w:tcW w:w="1229" w:type="dxa"/>
            <w:tcBorders>
              <w:top w:val="single" w:sz="4" w:space="0" w:color="auto"/>
              <w:left w:val="nil"/>
              <w:bottom w:val="single" w:sz="4" w:space="0" w:color="auto"/>
              <w:right w:val="single" w:sz="4" w:space="0" w:color="auto"/>
            </w:tcBorders>
            <w:shd w:val="clear" w:color="000000" w:fill="E7E6E6"/>
            <w:noWrap/>
            <w:vAlign w:val="bottom"/>
            <w:hideMark/>
          </w:tcPr>
          <w:p w14:paraId="03024A60" w14:textId="77777777" w:rsidR="00A8274E" w:rsidRPr="00AE5020" w:rsidRDefault="00A8274E" w:rsidP="001D10C8">
            <w:pPr>
              <w:jc w:val="center"/>
              <w:rPr>
                <w:rFonts w:ascii="Calibri" w:eastAsia="Times New Roman" w:hAnsi="Calibri" w:cs="Calibri"/>
                <w:color w:val="000000"/>
                <w:sz w:val="18"/>
                <w:szCs w:val="18"/>
                <w:lang w:val="en-US"/>
              </w:rPr>
            </w:pPr>
            <w:r w:rsidRPr="00AE5020">
              <w:rPr>
                <w:rFonts w:ascii="Calibri" w:eastAsia="Times New Roman" w:hAnsi="Calibri" w:cs="Calibri"/>
                <w:color w:val="000000"/>
                <w:sz w:val="18"/>
                <w:szCs w:val="18"/>
                <w:lang w:val="en-US"/>
              </w:rPr>
              <w:t>CADD_PHRED</w:t>
            </w:r>
          </w:p>
        </w:tc>
        <w:tc>
          <w:tcPr>
            <w:tcW w:w="2032" w:type="dxa"/>
            <w:tcBorders>
              <w:top w:val="single" w:sz="4" w:space="0" w:color="auto"/>
              <w:left w:val="nil"/>
              <w:bottom w:val="single" w:sz="4" w:space="0" w:color="auto"/>
              <w:right w:val="single" w:sz="4" w:space="0" w:color="auto"/>
            </w:tcBorders>
            <w:shd w:val="clear" w:color="000000" w:fill="E7E6E6"/>
            <w:noWrap/>
            <w:vAlign w:val="bottom"/>
            <w:hideMark/>
          </w:tcPr>
          <w:p w14:paraId="09EBF6A2" w14:textId="77777777" w:rsidR="00A8274E" w:rsidRPr="00AE5020" w:rsidRDefault="00A8274E" w:rsidP="001D10C8">
            <w:pPr>
              <w:jc w:val="center"/>
              <w:rPr>
                <w:rFonts w:ascii="Calibri" w:eastAsia="Times New Roman" w:hAnsi="Calibri" w:cs="Calibri"/>
                <w:color w:val="000000"/>
                <w:sz w:val="18"/>
                <w:szCs w:val="18"/>
                <w:lang w:val="en-US"/>
              </w:rPr>
            </w:pPr>
            <w:r w:rsidRPr="00AE5020">
              <w:rPr>
                <w:rFonts w:ascii="Calibri" w:eastAsia="Times New Roman" w:hAnsi="Calibri" w:cs="Calibri"/>
                <w:color w:val="000000"/>
                <w:sz w:val="18"/>
                <w:szCs w:val="18"/>
                <w:lang w:val="en-US"/>
              </w:rPr>
              <w:t>Consequence</w:t>
            </w:r>
          </w:p>
        </w:tc>
        <w:tc>
          <w:tcPr>
            <w:tcW w:w="850" w:type="dxa"/>
            <w:tcBorders>
              <w:top w:val="nil"/>
              <w:left w:val="nil"/>
              <w:bottom w:val="single" w:sz="4" w:space="0" w:color="auto"/>
              <w:right w:val="single" w:sz="4" w:space="0" w:color="auto"/>
            </w:tcBorders>
            <w:shd w:val="clear" w:color="000000" w:fill="E7E6E6"/>
            <w:noWrap/>
            <w:hideMark/>
          </w:tcPr>
          <w:p w14:paraId="3C614958" w14:textId="77777777" w:rsidR="00A8274E" w:rsidRPr="00AE5020" w:rsidRDefault="00A8274E" w:rsidP="001D10C8">
            <w:pPr>
              <w:jc w:val="center"/>
              <w:rPr>
                <w:rFonts w:ascii="Calibri" w:eastAsia="Times New Roman" w:hAnsi="Calibri" w:cs="Calibri"/>
                <w:color w:val="000000"/>
                <w:sz w:val="18"/>
                <w:szCs w:val="18"/>
                <w:lang w:val="en-US"/>
              </w:rPr>
            </w:pPr>
            <w:r w:rsidRPr="00AE5020">
              <w:rPr>
                <w:rFonts w:ascii="Calibri" w:eastAsia="Times New Roman" w:hAnsi="Calibri" w:cs="Calibri"/>
                <w:color w:val="000000"/>
                <w:sz w:val="18"/>
                <w:szCs w:val="18"/>
                <w:lang w:val="en-US"/>
              </w:rPr>
              <w:t>MATZES</w:t>
            </w:r>
          </w:p>
          <w:p w14:paraId="7B47910B" w14:textId="77777777" w:rsidR="00A8274E" w:rsidRPr="00AE5020" w:rsidRDefault="00A8274E" w:rsidP="001D10C8">
            <w:pPr>
              <w:jc w:val="center"/>
              <w:rPr>
                <w:rFonts w:ascii="Calibri" w:eastAsia="Times New Roman" w:hAnsi="Calibri" w:cs="Calibri"/>
                <w:color w:val="000000"/>
                <w:sz w:val="18"/>
                <w:szCs w:val="18"/>
                <w:lang w:val="en-US"/>
              </w:rPr>
            </w:pPr>
            <w:r w:rsidRPr="00AE5020">
              <w:rPr>
                <w:rFonts w:ascii="Calibri" w:eastAsia="Times New Roman" w:hAnsi="Calibri" w:cs="Calibri"/>
                <w:color w:val="000000"/>
                <w:sz w:val="18"/>
                <w:szCs w:val="18"/>
                <w:lang w:val="en-US"/>
              </w:rPr>
              <w:t>AF</w:t>
            </w:r>
          </w:p>
        </w:tc>
        <w:tc>
          <w:tcPr>
            <w:tcW w:w="709" w:type="dxa"/>
            <w:tcBorders>
              <w:top w:val="nil"/>
              <w:left w:val="nil"/>
              <w:bottom w:val="single" w:sz="4" w:space="0" w:color="auto"/>
              <w:right w:val="single" w:sz="4" w:space="0" w:color="auto"/>
            </w:tcBorders>
            <w:shd w:val="clear" w:color="000000" w:fill="E7E6E6"/>
            <w:noWrap/>
            <w:hideMark/>
          </w:tcPr>
          <w:p w14:paraId="03944CFC" w14:textId="77777777" w:rsidR="00A8274E" w:rsidRPr="00AE5020" w:rsidRDefault="00A8274E" w:rsidP="001D10C8">
            <w:pPr>
              <w:jc w:val="center"/>
              <w:rPr>
                <w:rFonts w:ascii="Calibri" w:eastAsia="Times New Roman" w:hAnsi="Calibri" w:cs="Calibri"/>
                <w:color w:val="000000"/>
                <w:sz w:val="18"/>
                <w:szCs w:val="18"/>
                <w:lang w:val="en-US"/>
              </w:rPr>
            </w:pPr>
            <w:r w:rsidRPr="00AE5020">
              <w:rPr>
                <w:rFonts w:ascii="Calibri" w:eastAsia="Times New Roman" w:hAnsi="Calibri" w:cs="Calibri"/>
                <w:color w:val="000000"/>
                <w:sz w:val="18"/>
                <w:szCs w:val="18"/>
                <w:lang w:val="en-US"/>
              </w:rPr>
              <w:t>UROS AF</w:t>
            </w:r>
          </w:p>
        </w:tc>
        <w:tc>
          <w:tcPr>
            <w:tcW w:w="1016" w:type="dxa"/>
            <w:tcBorders>
              <w:top w:val="nil"/>
              <w:left w:val="nil"/>
              <w:bottom w:val="single" w:sz="4" w:space="0" w:color="auto"/>
              <w:right w:val="single" w:sz="4" w:space="0" w:color="auto"/>
            </w:tcBorders>
            <w:shd w:val="clear" w:color="000000" w:fill="E7E6E6"/>
            <w:noWrap/>
            <w:hideMark/>
          </w:tcPr>
          <w:p w14:paraId="6B5A07EE" w14:textId="77777777" w:rsidR="00A8274E" w:rsidRPr="00AE5020" w:rsidRDefault="00A8274E" w:rsidP="001D10C8">
            <w:pPr>
              <w:jc w:val="center"/>
              <w:rPr>
                <w:rFonts w:ascii="Calibri" w:eastAsia="Times New Roman" w:hAnsi="Calibri" w:cs="Calibri"/>
                <w:color w:val="000000"/>
                <w:sz w:val="18"/>
                <w:szCs w:val="18"/>
                <w:lang w:val="en-US"/>
              </w:rPr>
            </w:pPr>
            <w:r w:rsidRPr="00AE5020">
              <w:rPr>
                <w:rFonts w:ascii="Calibri" w:eastAsia="Times New Roman" w:hAnsi="Calibri" w:cs="Calibri"/>
                <w:color w:val="000000"/>
                <w:sz w:val="18"/>
                <w:szCs w:val="18"/>
                <w:lang w:val="en-US"/>
              </w:rPr>
              <w:t>CHOPCCAS AF</w:t>
            </w:r>
          </w:p>
        </w:tc>
        <w:tc>
          <w:tcPr>
            <w:tcW w:w="868" w:type="dxa"/>
            <w:tcBorders>
              <w:top w:val="nil"/>
              <w:left w:val="nil"/>
              <w:bottom w:val="single" w:sz="4" w:space="0" w:color="auto"/>
              <w:right w:val="single" w:sz="4" w:space="0" w:color="auto"/>
            </w:tcBorders>
            <w:shd w:val="clear" w:color="000000" w:fill="E7E6E6"/>
            <w:noWrap/>
            <w:hideMark/>
          </w:tcPr>
          <w:p w14:paraId="77EF31FD" w14:textId="77777777" w:rsidR="00A8274E" w:rsidRPr="00AE5020" w:rsidRDefault="00A8274E" w:rsidP="001D10C8">
            <w:pPr>
              <w:jc w:val="center"/>
              <w:rPr>
                <w:rFonts w:ascii="Calibri" w:eastAsia="Times New Roman" w:hAnsi="Calibri" w:cs="Calibri"/>
                <w:color w:val="000000"/>
                <w:sz w:val="18"/>
                <w:szCs w:val="18"/>
                <w:lang w:val="en-US"/>
              </w:rPr>
            </w:pPr>
            <w:r w:rsidRPr="00AE5020">
              <w:rPr>
                <w:rFonts w:ascii="Calibri" w:eastAsia="Times New Roman" w:hAnsi="Calibri" w:cs="Calibri"/>
                <w:color w:val="000000"/>
                <w:sz w:val="18"/>
                <w:szCs w:val="18"/>
                <w:lang w:val="en-US"/>
              </w:rPr>
              <w:t>MOCHES AF</w:t>
            </w:r>
          </w:p>
        </w:tc>
        <w:tc>
          <w:tcPr>
            <w:tcW w:w="833" w:type="dxa"/>
            <w:tcBorders>
              <w:top w:val="nil"/>
              <w:left w:val="nil"/>
              <w:bottom w:val="single" w:sz="4" w:space="0" w:color="auto"/>
              <w:right w:val="single" w:sz="4" w:space="0" w:color="auto"/>
            </w:tcBorders>
            <w:shd w:val="clear" w:color="000000" w:fill="E7E6E6"/>
            <w:noWrap/>
            <w:hideMark/>
          </w:tcPr>
          <w:p w14:paraId="2E5DB2C5" w14:textId="77777777" w:rsidR="00A8274E" w:rsidRPr="00AE5020" w:rsidRDefault="00A8274E" w:rsidP="001D10C8">
            <w:pPr>
              <w:jc w:val="center"/>
              <w:rPr>
                <w:rFonts w:ascii="Calibri" w:eastAsia="Times New Roman" w:hAnsi="Calibri" w:cs="Calibri"/>
                <w:color w:val="000000"/>
                <w:sz w:val="18"/>
                <w:szCs w:val="18"/>
                <w:lang w:val="en-US"/>
              </w:rPr>
            </w:pPr>
            <w:r w:rsidRPr="00AE5020">
              <w:rPr>
                <w:rFonts w:ascii="Calibri" w:eastAsia="Times New Roman" w:hAnsi="Calibri" w:cs="Calibri"/>
                <w:color w:val="000000"/>
                <w:sz w:val="18"/>
                <w:szCs w:val="18"/>
                <w:lang w:val="en-US"/>
              </w:rPr>
              <w:t>IQUITOS AF</w:t>
            </w:r>
          </w:p>
        </w:tc>
        <w:tc>
          <w:tcPr>
            <w:tcW w:w="726" w:type="dxa"/>
            <w:tcBorders>
              <w:top w:val="nil"/>
              <w:left w:val="nil"/>
              <w:bottom w:val="single" w:sz="4" w:space="0" w:color="auto"/>
              <w:right w:val="single" w:sz="4" w:space="0" w:color="auto"/>
            </w:tcBorders>
            <w:shd w:val="clear" w:color="000000" w:fill="E7E6E6"/>
            <w:noWrap/>
            <w:hideMark/>
          </w:tcPr>
          <w:p w14:paraId="5B9FECC8" w14:textId="77777777" w:rsidR="00A8274E" w:rsidRPr="00AE5020" w:rsidRDefault="00A8274E" w:rsidP="001D10C8">
            <w:pPr>
              <w:jc w:val="center"/>
              <w:rPr>
                <w:rFonts w:ascii="Calibri" w:eastAsia="Times New Roman" w:hAnsi="Calibri" w:cs="Calibri"/>
                <w:color w:val="000000"/>
                <w:sz w:val="18"/>
                <w:szCs w:val="18"/>
                <w:lang w:val="en-US"/>
              </w:rPr>
            </w:pPr>
            <w:r w:rsidRPr="00AE5020">
              <w:rPr>
                <w:rFonts w:ascii="Calibri" w:eastAsia="Times New Roman" w:hAnsi="Calibri" w:cs="Calibri"/>
                <w:color w:val="000000"/>
                <w:sz w:val="18"/>
                <w:szCs w:val="18"/>
                <w:lang w:val="en-US"/>
              </w:rPr>
              <w:t>CUSCO AF</w:t>
            </w:r>
          </w:p>
        </w:tc>
        <w:tc>
          <w:tcPr>
            <w:tcW w:w="891" w:type="dxa"/>
            <w:tcBorders>
              <w:top w:val="nil"/>
              <w:left w:val="nil"/>
              <w:bottom w:val="single" w:sz="4" w:space="0" w:color="auto"/>
              <w:right w:val="single" w:sz="4" w:space="0" w:color="auto"/>
            </w:tcBorders>
            <w:shd w:val="clear" w:color="000000" w:fill="E7E6E6"/>
            <w:noWrap/>
            <w:hideMark/>
          </w:tcPr>
          <w:p w14:paraId="214B9DDC" w14:textId="77777777" w:rsidR="00A8274E" w:rsidRPr="00AE5020" w:rsidRDefault="00A8274E" w:rsidP="001D10C8">
            <w:pPr>
              <w:jc w:val="center"/>
              <w:rPr>
                <w:rFonts w:ascii="Calibri" w:eastAsia="Times New Roman" w:hAnsi="Calibri" w:cs="Calibri"/>
                <w:color w:val="000000"/>
                <w:sz w:val="18"/>
                <w:szCs w:val="18"/>
                <w:lang w:val="en-US"/>
              </w:rPr>
            </w:pPr>
            <w:r w:rsidRPr="00AE5020">
              <w:rPr>
                <w:rFonts w:ascii="Calibri" w:eastAsia="Times New Roman" w:hAnsi="Calibri" w:cs="Calibri"/>
                <w:color w:val="000000"/>
                <w:sz w:val="18"/>
                <w:szCs w:val="18"/>
                <w:lang w:val="en-US"/>
              </w:rPr>
              <w:t>TRUJILLO AF</w:t>
            </w:r>
          </w:p>
        </w:tc>
        <w:tc>
          <w:tcPr>
            <w:tcW w:w="825" w:type="dxa"/>
            <w:tcBorders>
              <w:top w:val="nil"/>
              <w:left w:val="nil"/>
              <w:bottom w:val="single" w:sz="4" w:space="0" w:color="auto"/>
              <w:right w:val="single" w:sz="4" w:space="0" w:color="auto"/>
            </w:tcBorders>
            <w:shd w:val="clear" w:color="000000" w:fill="E7E6E6"/>
            <w:noWrap/>
            <w:hideMark/>
          </w:tcPr>
          <w:p w14:paraId="6CF3B54B" w14:textId="77777777" w:rsidR="00A8274E" w:rsidRPr="00AE5020" w:rsidRDefault="00A8274E" w:rsidP="001D10C8">
            <w:pPr>
              <w:jc w:val="center"/>
              <w:rPr>
                <w:rFonts w:ascii="Calibri" w:eastAsia="Times New Roman" w:hAnsi="Calibri" w:cs="Calibri"/>
                <w:color w:val="000000"/>
                <w:sz w:val="18"/>
                <w:szCs w:val="18"/>
                <w:lang w:val="en-US"/>
              </w:rPr>
            </w:pPr>
            <w:r w:rsidRPr="00AE5020">
              <w:rPr>
                <w:rFonts w:ascii="Calibri" w:eastAsia="Times New Roman" w:hAnsi="Calibri" w:cs="Calibri"/>
                <w:color w:val="000000"/>
                <w:sz w:val="18"/>
                <w:szCs w:val="18"/>
                <w:lang w:val="en-US"/>
              </w:rPr>
              <w:t>TOTAL AF</w:t>
            </w:r>
          </w:p>
        </w:tc>
      </w:tr>
      <w:tr w:rsidR="00A8274E" w:rsidRPr="00AE5020" w14:paraId="74CAC509" w14:textId="77777777" w:rsidTr="001D10C8">
        <w:trPr>
          <w:trHeight w:val="24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0EC375A7" w14:textId="77777777" w:rsidR="00A8274E" w:rsidRPr="00AE5020" w:rsidRDefault="00A8274E" w:rsidP="001D10C8">
            <w:pPr>
              <w:rPr>
                <w:rFonts w:ascii="Calibri" w:eastAsia="Times New Roman" w:hAnsi="Calibri" w:cs="Calibri"/>
                <w:color w:val="000000"/>
                <w:sz w:val="18"/>
                <w:szCs w:val="18"/>
                <w:lang w:val="en-US"/>
              </w:rPr>
            </w:pPr>
            <w:bookmarkStart w:id="16" w:name="_Hlk193612123"/>
            <w:r w:rsidRPr="00AE5020">
              <w:rPr>
                <w:rFonts w:ascii="Calibri" w:eastAsia="Times New Roman" w:hAnsi="Calibri" w:cs="Calibri"/>
                <w:color w:val="000000"/>
                <w:sz w:val="18"/>
                <w:szCs w:val="18"/>
                <w:lang w:val="en-US"/>
              </w:rPr>
              <w:t>9:140139757-140139757</w:t>
            </w:r>
          </w:p>
        </w:tc>
        <w:tc>
          <w:tcPr>
            <w:tcW w:w="1417" w:type="dxa"/>
            <w:tcBorders>
              <w:top w:val="nil"/>
              <w:left w:val="nil"/>
              <w:bottom w:val="single" w:sz="4" w:space="0" w:color="auto"/>
              <w:right w:val="single" w:sz="4" w:space="0" w:color="auto"/>
            </w:tcBorders>
            <w:shd w:val="clear" w:color="auto" w:fill="auto"/>
            <w:noWrap/>
            <w:vAlign w:val="bottom"/>
            <w:hideMark/>
          </w:tcPr>
          <w:p w14:paraId="7B853406" w14:textId="77777777" w:rsidR="00A8274E" w:rsidRPr="00AE5020" w:rsidRDefault="00A8274E" w:rsidP="001D10C8">
            <w:pPr>
              <w:rPr>
                <w:rFonts w:ascii="Calibri" w:eastAsia="Times New Roman" w:hAnsi="Calibri" w:cs="Calibri"/>
                <w:b/>
                <w:i/>
                <w:sz w:val="18"/>
                <w:szCs w:val="18"/>
                <w:lang w:val="en-US"/>
              </w:rPr>
            </w:pPr>
            <w:r w:rsidRPr="00AE5020">
              <w:rPr>
                <w:rFonts w:ascii="Calibri" w:eastAsia="Times New Roman" w:hAnsi="Calibri" w:cs="Calibri"/>
                <w:b/>
                <w:i/>
                <w:sz w:val="18"/>
                <w:szCs w:val="18"/>
                <w:lang w:val="en-US"/>
              </w:rPr>
              <w:t>FAM166A</w:t>
            </w:r>
          </w:p>
        </w:tc>
        <w:tc>
          <w:tcPr>
            <w:tcW w:w="1229" w:type="dxa"/>
            <w:tcBorders>
              <w:top w:val="nil"/>
              <w:left w:val="nil"/>
              <w:bottom w:val="single" w:sz="4" w:space="0" w:color="auto"/>
              <w:right w:val="single" w:sz="4" w:space="0" w:color="auto"/>
            </w:tcBorders>
            <w:shd w:val="clear" w:color="auto" w:fill="auto"/>
            <w:noWrap/>
            <w:vAlign w:val="bottom"/>
            <w:hideMark/>
          </w:tcPr>
          <w:p w14:paraId="4029B866" w14:textId="77777777" w:rsidR="00A8274E" w:rsidRPr="00AE5020" w:rsidRDefault="00A8274E" w:rsidP="001D10C8">
            <w:pPr>
              <w:jc w:val="right"/>
              <w:rPr>
                <w:rFonts w:ascii="Calibri" w:eastAsia="Times New Roman" w:hAnsi="Calibri" w:cs="Calibri"/>
                <w:color w:val="000000"/>
                <w:sz w:val="18"/>
                <w:szCs w:val="18"/>
                <w:lang w:val="en-US"/>
              </w:rPr>
            </w:pPr>
            <w:r w:rsidRPr="00AE5020">
              <w:rPr>
                <w:rFonts w:ascii="Calibri" w:eastAsia="Times New Roman" w:hAnsi="Calibri" w:cs="Calibri"/>
                <w:color w:val="000000"/>
                <w:sz w:val="18"/>
                <w:szCs w:val="18"/>
                <w:lang w:val="en-US"/>
              </w:rPr>
              <w:t>16.6</w:t>
            </w:r>
          </w:p>
        </w:tc>
        <w:tc>
          <w:tcPr>
            <w:tcW w:w="2032" w:type="dxa"/>
            <w:tcBorders>
              <w:top w:val="nil"/>
              <w:left w:val="nil"/>
              <w:bottom w:val="single" w:sz="4" w:space="0" w:color="auto"/>
              <w:right w:val="single" w:sz="4" w:space="0" w:color="auto"/>
            </w:tcBorders>
            <w:shd w:val="clear" w:color="auto" w:fill="auto"/>
            <w:noWrap/>
            <w:vAlign w:val="bottom"/>
            <w:hideMark/>
          </w:tcPr>
          <w:p w14:paraId="1B940264" w14:textId="77777777" w:rsidR="00A8274E" w:rsidRPr="00AE5020" w:rsidRDefault="00A8274E" w:rsidP="001D10C8">
            <w:pPr>
              <w:rPr>
                <w:rFonts w:ascii="Calibri" w:eastAsia="Times New Roman" w:hAnsi="Calibri" w:cs="Calibri"/>
                <w:color w:val="000000"/>
                <w:sz w:val="18"/>
                <w:szCs w:val="18"/>
                <w:lang w:val="en-US"/>
              </w:rPr>
            </w:pPr>
            <w:proofErr w:type="spellStart"/>
            <w:r w:rsidRPr="00AE5020">
              <w:rPr>
                <w:rFonts w:ascii="Calibri" w:eastAsia="Times New Roman" w:hAnsi="Calibri" w:cs="Calibri"/>
                <w:color w:val="000000"/>
                <w:sz w:val="18"/>
                <w:szCs w:val="18"/>
                <w:lang w:val="en-US"/>
              </w:rPr>
              <w:t>splice_donor_variant</w:t>
            </w:r>
            <w:proofErr w:type="spellEnd"/>
          </w:p>
        </w:tc>
        <w:tc>
          <w:tcPr>
            <w:tcW w:w="850" w:type="dxa"/>
            <w:tcBorders>
              <w:top w:val="nil"/>
              <w:left w:val="nil"/>
              <w:bottom w:val="single" w:sz="4" w:space="0" w:color="auto"/>
              <w:right w:val="single" w:sz="4" w:space="0" w:color="auto"/>
            </w:tcBorders>
            <w:shd w:val="clear" w:color="auto" w:fill="auto"/>
            <w:noWrap/>
            <w:vAlign w:val="bottom"/>
            <w:hideMark/>
          </w:tcPr>
          <w:p w14:paraId="182C67EF"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1.00</w:t>
            </w:r>
          </w:p>
        </w:tc>
        <w:tc>
          <w:tcPr>
            <w:tcW w:w="709" w:type="dxa"/>
            <w:tcBorders>
              <w:top w:val="nil"/>
              <w:left w:val="nil"/>
              <w:bottom w:val="single" w:sz="4" w:space="0" w:color="auto"/>
              <w:right w:val="single" w:sz="4" w:space="0" w:color="auto"/>
            </w:tcBorders>
            <w:shd w:val="clear" w:color="auto" w:fill="auto"/>
            <w:noWrap/>
            <w:vAlign w:val="bottom"/>
            <w:hideMark/>
          </w:tcPr>
          <w:p w14:paraId="7A9BF8BD"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1.00</w:t>
            </w:r>
          </w:p>
        </w:tc>
        <w:tc>
          <w:tcPr>
            <w:tcW w:w="1016" w:type="dxa"/>
            <w:tcBorders>
              <w:top w:val="nil"/>
              <w:left w:val="nil"/>
              <w:bottom w:val="single" w:sz="4" w:space="0" w:color="auto"/>
              <w:right w:val="single" w:sz="4" w:space="0" w:color="auto"/>
            </w:tcBorders>
            <w:shd w:val="clear" w:color="auto" w:fill="auto"/>
            <w:noWrap/>
            <w:vAlign w:val="bottom"/>
            <w:hideMark/>
          </w:tcPr>
          <w:p w14:paraId="4CA25E59"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1.00</w:t>
            </w:r>
          </w:p>
        </w:tc>
        <w:tc>
          <w:tcPr>
            <w:tcW w:w="868" w:type="dxa"/>
            <w:tcBorders>
              <w:top w:val="nil"/>
              <w:left w:val="nil"/>
              <w:bottom w:val="single" w:sz="4" w:space="0" w:color="auto"/>
              <w:right w:val="single" w:sz="4" w:space="0" w:color="auto"/>
            </w:tcBorders>
            <w:shd w:val="clear" w:color="auto" w:fill="auto"/>
            <w:noWrap/>
            <w:vAlign w:val="bottom"/>
            <w:hideMark/>
          </w:tcPr>
          <w:p w14:paraId="0C0A678F"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1.00</w:t>
            </w:r>
          </w:p>
        </w:tc>
        <w:tc>
          <w:tcPr>
            <w:tcW w:w="833" w:type="dxa"/>
            <w:tcBorders>
              <w:top w:val="nil"/>
              <w:left w:val="nil"/>
              <w:bottom w:val="single" w:sz="4" w:space="0" w:color="auto"/>
              <w:right w:val="single" w:sz="4" w:space="0" w:color="auto"/>
            </w:tcBorders>
            <w:shd w:val="clear" w:color="auto" w:fill="auto"/>
            <w:noWrap/>
            <w:vAlign w:val="bottom"/>
            <w:hideMark/>
          </w:tcPr>
          <w:p w14:paraId="063389A8"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1.00</w:t>
            </w:r>
          </w:p>
        </w:tc>
        <w:tc>
          <w:tcPr>
            <w:tcW w:w="726" w:type="dxa"/>
            <w:tcBorders>
              <w:top w:val="nil"/>
              <w:left w:val="nil"/>
              <w:bottom w:val="single" w:sz="4" w:space="0" w:color="auto"/>
              <w:right w:val="single" w:sz="4" w:space="0" w:color="auto"/>
            </w:tcBorders>
            <w:shd w:val="clear" w:color="auto" w:fill="auto"/>
            <w:noWrap/>
            <w:vAlign w:val="bottom"/>
            <w:hideMark/>
          </w:tcPr>
          <w:p w14:paraId="0234A80F"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1.00</w:t>
            </w:r>
          </w:p>
        </w:tc>
        <w:tc>
          <w:tcPr>
            <w:tcW w:w="891" w:type="dxa"/>
            <w:tcBorders>
              <w:top w:val="nil"/>
              <w:left w:val="nil"/>
              <w:bottom w:val="single" w:sz="4" w:space="0" w:color="auto"/>
              <w:right w:val="single" w:sz="4" w:space="0" w:color="auto"/>
            </w:tcBorders>
            <w:shd w:val="clear" w:color="auto" w:fill="auto"/>
            <w:noWrap/>
            <w:vAlign w:val="bottom"/>
            <w:hideMark/>
          </w:tcPr>
          <w:p w14:paraId="391FF981"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1.00</w:t>
            </w:r>
          </w:p>
        </w:tc>
        <w:tc>
          <w:tcPr>
            <w:tcW w:w="825" w:type="dxa"/>
            <w:tcBorders>
              <w:top w:val="nil"/>
              <w:left w:val="nil"/>
              <w:bottom w:val="single" w:sz="4" w:space="0" w:color="auto"/>
              <w:right w:val="single" w:sz="4" w:space="0" w:color="auto"/>
            </w:tcBorders>
            <w:shd w:val="clear" w:color="auto" w:fill="auto"/>
            <w:noWrap/>
            <w:vAlign w:val="bottom"/>
            <w:hideMark/>
          </w:tcPr>
          <w:p w14:paraId="1AB38A3B"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1.00</w:t>
            </w:r>
          </w:p>
        </w:tc>
      </w:tr>
      <w:tr w:rsidR="00A8274E" w:rsidRPr="00AE5020" w14:paraId="5212B312" w14:textId="77777777" w:rsidTr="001D10C8">
        <w:trPr>
          <w:trHeight w:val="24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21F5CEAD" w14:textId="77777777" w:rsidR="00A8274E" w:rsidRPr="00AE5020" w:rsidRDefault="00A8274E" w:rsidP="001D10C8">
            <w:pPr>
              <w:rPr>
                <w:rFonts w:ascii="Calibri" w:eastAsia="Times New Roman" w:hAnsi="Calibri" w:cs="Calibri"/>
                <w:color w:val="000000"/>
                <w:sz w:val="18"/>
                <w:szCs w:val="18"/>
                <w:lang w:val="en-US"/>
              </w:rPr>
            </w:pPr>
            <w:r w:rsidRPr="00AE5020">
              <w:rPr>
                <w:rFonts w:ascii="Calibri" w:eastAsia="Times New Roman" w:hAnsi="Calibri" w:cs="Calibri"/>
                <w:color w:val="000000"/>
                <w:sz w:val="18"/>
                <w:szCs w:val="18"/>
                <w:lang w:val="en-US"/>
              </w:rPr>
              <w:t>19:36243813-36243813</w:t>
            </w:r>
          </w:p>
        </w:tc>
        <w:tc>
          <w:tcPr>
            <w:tcW w:w="1417" w:type="dxa"/>
            <w:tcBorders>
              <w:top w:val="nil"/>
              <w:left w:val="nil"/>
              <w:bottom w:val="single" w:sz="4" w:space="0" w:color="auto"/>
              <w:right w:val="single" w:sz="4" w:space="0" w:color="auto"/>
            </w:tcBorders>
            <w:shd w:val="clear" w:color="auto" w:fill="auto"/>
            <w:noWrap/>
            <w:vAlign w:val="bottom"/>
            <w:hideMark/>
          </w:tcPr>
          <w:p w14:paraId="6E06859B" w14:textId="77777777" w:rsidR="00A8274E" w:rsidRPr="00AE5020" w:rsidRDefault="00A8274E" w:rsidP="001D10C8">
            <w:pPr>
              <w:rPr>
                <w:rFonts w:ascii="Calibri" w:eastAsia="Times New Roman" w:hAnsi="Calibri" w:cs="Calibri"/>
                <w:b/>
                <w:i/>
                <w:sz w:val="18"/>
                <w:szCs w:val="18"/>
                <w:lang w:val="en-US"/>
              </w:rPr>
            </w:pPr>
            <w:r w:rsidRPr="00AE5020">
              <w:rPr>
                <w:rFonts w:ascii="Calibri" w:eastAsia="Times New Roman" w:hAnsi="Calibri" w:cs="Calibri"/>
                <w:b/>
                <w:i/>
                <w:sz w:val="18"/>
                <w:szCs w:val="18"/>
                <w:lang w:val="en-US"/>
              </w:rPr>
              <w:t>LIN37</w:t>
            </w:r>
          </w:p>
        </w:tc>
        <w:tc>
          <w:tcPr>
            <w:tcW w:w="1229" w:type="dxa"/>
            <w:tcBorders>
              <w:top w:val="nil"/>
              <w:left w:val="nil"/>
              <w:bottom w:val="single" w:sz="4" w:space="0" w:color="auto"/>
              <w:right w:val="single" w:sz="4" w:space="0" w:color="auto"/>
            </w:tcBorders>
            <w:shd w:val="clear" w:color="auto" w:fill="auto"/>
            <w:noWrap/>
            <w:vAlign w:val="bottom"/>
            <w:hideMark/>
          </w:tcPr>
          <w:p w14:paraId="0B408572" w14:textId="77777777" w:rsidR="00A8274E" w:rsidRPr="00AE5020" w:rsidRDefault="00A8274E" w:rsidP="001D10C8">
            <w:pPr>
              <w:jc w:val="right"/>
              <w:rPr>
                <w:rFonts w:ascii="Calibri" w:eastAsia="Times New Roman" w:hAnsi="Calibri" w:cs="Calibri"/>
                <w:color w:val="000000"/>
                <w:sz w:val="18"/>
                <w:szCs w:val="18"/>
                <w:lang w:val="en-US"/>
              </w:rPr>
            </w:pPr>
            <w:r w:rsidRPr="00AE5020">
              <w:rPr>
                <w:rFonts w:ascii="Calibri" w:eastAsia="Times New Roman" w:hAnsi="Calibri" w:cs="Calibri"/>
                <w:color w:val="000000"/>
                <w:sz w:val="18"/>
                <w:szCs w:val="18"/>
                <w:lang w:val="en-US"/>
              </w:rPr>
              <w:t>23.1</w:t>
            </w:r>
          </w:p>
        </w:tc>
        <w:tc>
          <w:tcPr>
            <w:tcW w:w="2032" w:type="dxa"/>
            <w:tcBorders>
              <w:top w:val="nil"/>
              <w:left w:val="nil"/>
              <w:bottom w:val="single" w:sz="4" w:space="0" w:color="auto"/>
              <w:right w:val="single" w:sz="4" w:space="0" w:color="auto"/>
            </w:tcBorders>
            <w:shd w:val="clear" w:color="auto" w:fill="auto"/>
            <w:noWrap/>
            <w:vAlign w:val="bottom"/>
            <w:hideMark/>
          </w:tcPr>
          <w:p w14:paraId="454C1CBD" w14:textId="77777777" w:rsidR="00A8274E" w:rsidRPr="00AE5020" w:rsidRDefault="00A8274E" w:rsidP="001D10C8">
            <w:pPr>
              <w:rPr>
                <w:rFonts w:ascii="Calibri" w:eastAsia="Times New Roman" w:hAnsi="Calibri" w:cs="Calibri"/>
                <w:color w:val="000000"/>
                <w:sz w:val="18"/>
                <w:szCs w:val="18"/>
                <w:lang w:val="en-US"/>
              </w:rPr>
            </w:pPr>
            <w:proofErr w:type="spellStart"/>
            <w:r w:rsidRPr="00AE5020">
              <w:rPr>
                <w:rFonts w:ascii="Calibri" w:eastAsia="Times New Roman" w:hAnsi="Calibri" w:cs="Calibri"/>
                <w:color w:val="000000"/>
                <w:sz w:val="18"/>
                <w:szCs w:val="18"/>
                <w:lang w:val="en-US"/>
              </w:rPr>
              <w:t>splice_acceptor_variant</w:t>
            </w:r>
            <w:proofErr w:type="spellEnd"/>
          </w:p>
        </w:tc>
        <w:tc>
          <w:tcPr>
            <w:tcW w:w="850" w:type="dxa"/>
            <w:tcBorders>
              <w:top w:val="nil"/>
              <w:left w:val="nil"/>
              <w:bottom w:val="single" w:sz="4" w:space="0" w:color="auto"/>
              <w:right w:val="single" w:sz="4" w:space="0" w:color="auto"/>
            </w:tcBorders>
            <w:shd w:val="clear" w:color="auto" w:fill="auto"/>
            <w:noWrap/>
            <w:vAlign w:val="bottom"/>
            <w:hideMark/>
          </w:tcPr>
          <w:p w14:paraId="13F74C97"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1.00</w:t>
            </w:r>
          </w:p>
        </w:tc>
        <w:tc>
          <w:tcPr>
            <w:tcW w:w="709" w:type="dxa"/>
            <w:tcBorders>
              <w:top w:val="nil"/>
              <w:left w:val="nil"/>
              <w:bottom w:val="single" w:sz="4" w:space="0" w:color="auto"/>
              <w:right w:val="single" w:sz="4" w:space="0" w:color="auto"/>
            </w:tcBorders>
            <w:shd w:val="clear" w:color="auto" w:fill="auto"/>
            <w:noWrap/>
            <w:vAlign w:val="bottom"/>
            <w:hideMark/>
          </w:tcPr>
          <w:p w14:paraId="1141ECBD"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1.00</w:t>
            </w:r>
          </w:p>
        </w:tc>
        <w:tc>
          <w:tcPr>
            <w:tcW w:w="1016" w:type="dxa"/>
            <w:tcBorders>
              <w:top w:val="nil"/>
              <w:left w:val="nil"/>
              <w:bottom w:val="single" w:sz="4" w:space="0" w:color="auto"/>
              <w:right w:val="single" w:sz="4" w:space="0" w:color="auto"/>
            </w:tcBorders>
            <w:shd w:val="clear" w:color="auto" w:fill="auto"/>
            <w:noWrap/>
            <w:vAlign w:val="bottom"/>
            <w:hideMark/>
          </w:tcPr>
          <w:p w14:paraId="2923C4C3"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1.00</w:t>
            </w:r>
          </w:p>
        </w:tc>
        <w:tc>
          <w:tcPr>
            <w:tcW w:w="868" w:type="dxa"/>
            <w:tcBorders>
              <w:top w:val="nil"/>
              <w:left w:val="nil"/>
              <w:bottom w:val="single" w:sz="4" w:space="0" w:color="auto"/>
              <w:right w:val="single" w:sz="4" w:space="0" w:color="auto"/>
            </w:tcBorders>
            <w:shd w:val="clear" w:color="auto" w:fill="auto"/>
            <w:noWrap/>
            <w:vAlign w:val="bottom"/>
            <w:hideMark/>
          </w:tcPr>
          <w:p w14:paraId="5C4025DC"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1.00</w:t>
            </w:r>
          </w:p>
        </w:tc>
        <w:tc>
          <w:tcPr>
            <w:tcW w:w="833" w:type="dxa"/>
            <w:tcBorders>
              <w:top w:val="nil"/>
              <w:left w:val="nil"/>
              <w:bottom w:val="single" w:sz="4" w:space="0" w:color="auto"/>
              <w:right w:val="single" w:sz="4" w:space="0" w:color="auto"/>
            </w:tcBorders>
            <w:shd w:val="clear" w:color="auto" w:fill="auto"/>
            <w:noWrap/>
            <w:vAlign w:val="bottom"/>
            <w:hideMark/>
          </w:tcPr>
          <w:p w14:paraId="23F94B88"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1.00</w:t>
            </w:r>
          </w:p>
        </w:tc>
        <w:tc>
          <w:tcPr>
            <w:tcW w:w="726" w:type="dxa"/>
            <w:tcBorders>
              <w:top w:val="nil"/>
              <w:left w:val="nil"/>
              <w:bottom w:val="single" w:sz="4" w:space="0" w:color="auto"/>
              <w:right w:val="single" w:sz="4" w:space="0" w:color="auto"/>
            </w:tcBorders>
            <w:shd w:val="clear" w:color="auto" w:fill="auto"/>
            <w:noWrap/>
            <w:vAlign w:val="bottom"/>
            <w:hideMark/>
          </w:tcPr>
          <w:p w14:paraId="2DD35562"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1.00</w:t>
            </w:r>
          </w:p>
        </w:tc>
        <w:tc>
          <w:tcPr>
            <w:tcW w:w="891" w:type="dxa"/>
            <w:tcBorders>
              <w:top w:val="nil"/>
              <w:left w:val="nil"/>
              <w:bottom w:val="single" w:sz="4" w:space="0" w:color="auto"/>
              <w:right w:val="single" w:sz="4" w:space="0" w:color="auto"/>
            </w:tcBorders>
            <w:shd w:val="clear" w:color="auto" w:fill="auto"/>
            <w:noWrap/>
            <w:vAlign w:val="bottom"/>
            <w:hideMark/>
          </w:tcPr>
          <w:p w14:paraId="1F7F5430"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1.00</w:t>
            </w:r>
          </w:p>
        </w:tc>
        <w:tc>
          <w:tcPr>
            <w:tcW w:w="825" w:type="dxa"/>
            <w:tcBorders>
              <w:top w:val="nil"/>
              <w:left w:val="nil"/>
              <w:bottom w:val="single" w:sz="4" w:space="0" w:color="auto"/>
              <w:right w:val="single" w:sz="4" w:space="0" w:color="auto"/>
            </w:tcBorders>
            <w:shd w:val="clear" w:color="auto" w:fill="auto"/>
            <w:noWrap/>
            <w:vAlign w:val="bottom"/>
            <w:hideMark/>
          </w:tcPr>
          <w:p w14:paraId="72CD8921"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1.00</w:t>
            </w:r>
          </w:p>
        </w:tc>
      </w:tr>
      <w:tr w:rsidR="00A8274E" w:rsidRPr="00AE5020" w14:paraId="04AD47D3" w14:textId="77777777" w:rsidTr="001D10C8">
        <w:trPr>
          <w:trHeight w:val="24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326C8B96" w14:textId="77777777" w:rsidR="00A8274E" w:rsidRPr="00AE5020" w:rsidRDefault="00A8274E" w:rsidP="001D10C8">
            <w:pPr>
              <w:rPr>
                <w:rFonts w:ascii="Calibri" w:eastAsia="Times New Roman" w:hAnsi="Calibri" w:cs="Calibri"/>
                <w:color w:val="000000"/>
                <w:sz w:val="18"/>
                <w:szCs w:val="18"/>
                <w:lang w:val="en-US"/>
              </w:rPr>
            </w:pPr>
            <w:r w:rsidRPr="00AE5020">
              <w:rPr>
                <w:rFonts w:ascii="Calibri" w:eastAsia="Times New Roman" w:hAnsi="Calibri" w:cs="Calibri"/>
                <w:color w:val="000000"/>
                <w:sz w:val="18"/>
                <w:szCs w:val="18"/>
                <w:lang w:val="en-US"/>
              </w:rPr>
              <w:t>1:109825360-109825360</w:t>
            </w:r>
          </w:p>
        </w:tc>
        <w:tc>
          <w:tcPr>
            <w:tcW w:w="1417" w:type="dxa"/>
            <w:tcBorders>
              <w:top w:val="nil"/>
              <w:left w:val="nil"/>
              <w:bottom w:val="single" w:sz="4" w:space="0" w:color="auto"/>
              <w:right w:val="single" w:sz="4" w:space="0" w:color="auto"/>
            </w:tcBorders>
            <w:shd w:val="clear" w:color="auto" w:fill="auto"/>
            <w:noWrap/>
            <w:vAlign w:val="bottom"/>
            <w:hideMark/>
          </w:tcPr>
          <w:p w14:paraId="0933CF5D" w14:textId="77777777" w:rsidR="00A8274E" w:rsidRPr="00AE5020" w:rsidRDefault="00A8274E" w:rsidP="001D10C8">
            <w:pPr>
              <w:rPr>
                <w:rFonts w:ascii="Calibri" w:eastAsia="Times New Roman" w:hAnsi="Calibri" w:cs="Calibri"/>
                <w:b/>
                <w:i/>
                <w:sz w:val="18"/>
                <w:szCs w:val="18"/>
                <w:lang w:val="en-US"/>
              </w:rPr>
            </w:pPr>
            <w:r w:rsidRPr="00AE5020">
              <w:rPr>
                <w:rFonts w:ascii="Calibri" w:eastAsia="Times New Roman" w:hAnsi="Calibri" w:cs="Calibri"/>
                <w:b/>
                <w:i/>
                <w:sz w:val="18"/>
                <w:szCs w:val="18"/>
                <w:lang w:val="en-US"/>
              </w:rPr>
              <w:t>PSRC1</w:t>
            </w:r>
          </w:p>
        </w:tc>
        <w:tc>
          <w:tcPr>
            <w:tcW w:w="1229" w:type="dxa"/>
            <w:tcBorders>
              <w:top w:val="nil"/>
              <w:left w:val="nil"/>
              <w:bottom w:val="single" w:sz="4" w:space="0" w:color="auto"/>
              <w:right w:val="single" w:sz="4" w:space="0" w:color="auto"/>
            </w:tcBorders>
            <w:shd w:val="clear" w:color="auto" w:fill="auto"/>
            <w:noWrap/>
            <w:vAlign w:val="bottom"/>
            <w:hideMark/>
          </w:tcPr>
          <w:p w14:paraId="23A6DC68" w14:textId="77777777" w:rsidR="00A8274E" w:rsidRPr="00AE5020" w:rsidRDefault="00A8274E" w:rsidP="001D10C8">
            <w:pPr>
              <w:jc w:val="right"/>
              <w:rPr>
                <w:rFonts w:ascii="Calibri" w:eastAsia="Times New Roman" w:hAnsi="Calibri" w:cs="Calibri"/>
                <w:color w:val="000000"/>
                <w:sz w:val="18"/>
                <w:szCs w:val="18"/>
                <w:lang w:val="en-US"/>
              </w:rPr>
            </w:pPr>
            <w:r w:rsidRPr="00AE5020">
              <w:rPr>
                <w:rFonts w:ascii="Calibri" w:eastAsia="Times New Roman" w:hAnsi="Calibri" w:cs="Calibri"/>
                <w:color w:val="000000"/>
                <w:sz w:val="18"/>
                <w:szCs w:val="18"/>
                <w:lang w:val="en-US"/>
              </w:rPr>
              <w:t>23.1</w:t>
            </w:r>
          </w:p>
        </w:tc>
        <w:tc>
          <w:tcPr>
            <w:tcW w:w="2032" w:type="dxa"/>
            <w:tcBorders>
              <w:top w:val="nil"/>
              <w:left w:val="nil"/>
              <w:bottom w:val="single" w:sz="4" w:space="0" w:color="auto"/>
              <w:right w:val="single" w:sz="4" w:space="0" w:color="auto"/>
            </w:tcBorders>
            <w:shd w:val="clear" w:color="auto" w:fill="auto"/>
            <w:noWrap/>
            <w:vAlign w:val="bottom"/>
            <w:hideMark/>
          </w:tcPr>
          <w:p w14:paraId="53624F68" w14:textId="77777777" w:rsidR="00A8274E" w:rsidRPr="00AE5020" w:rsidRDefault="00A8274E" w:rsidP="001D10C8">
            <w:pPr>
              <w:rPr>
                <w:rFonts w:ascii="Calibri" w:eastAsia="Times New Roman" w:hAnsi="Calibri" w:cs="Calibri"/>
                <w:color w:val="000000"/>
                <w:sz w:val="18"/>
                <w:szCs w:val="18"/>
                <w:lang w:val="en-US"/>
              </w:rPr>
            </w:pPr>
            <w:proofErr w:type="spellStart"/>
            <w:r w:rsidRPr="00AE5020">
              <w:rPr>
                <w:rFonts w:ascii="Calibri" w:eastAsia="Times New Roman" w:hAnsi="Calibri" w:cs="Calibri"/>
                <w:color w:val="000000"/>
                <w:sz w:val="18"/>
                <w:szCs w:val="18"/>
                <w:lang w:val="en-US"/>
              </w:rPr>
              <w:t>splice_acceptor_variant</w:t>
            </w:r>
            <w:proofErr w:type="spellEnd"/>
          </w:p>
        </w:tc>
        <w:tc>
          <w:tcPr>
            <w:tcW w:w="850" w:type="dxa"/>
            <w:tcBorders>
              <w:top w:val="nil"/>
              <w:left w:val="nil"/>
              <w:bottom w:val="single" w:sz="4" w:space="0" w:color="auto"/>
              <w:right w:val="single" w:sz="4" w:space="0" w:color="auto"/>
            </w:tcBorders>
            <w:shd w:val="clear" w:color="auto" w:fill="auto"/>
            <w:noWrap/>
            <w:vAlign w:val="bottom"/>
            <w:hideMark/>
          </w:tcPr>
          <w:p w14:paraId="7D8D2983"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1.00</w:t>
            </w:r>
          </w:p>
        </w:tc>
        <w:tc>
          <w:tcPr>
            <w:tcW w:w="709" w:type="dxa"/>
            <w:tcBorders>
              <w:top w:val="nil"/>
              <w:left w:val="nil"/>
              <w:bottom w:val="single" w:sz="4" w:space="0" w:color="auto"/>
              <w:right w:val="single" w:sz="4" w:space="0" w:color="auto"/>
            </w:tcBorders>
            <w:shd w:val="clear" w:color="auto" w:fill="auto"/>
            <w:noWrap/>
            <w:vAlign w:val="bottom"/>
            <w:hideMark/>
          </w:tcPr>
          <w:p w14:paraId="2B7E738A"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1.00</w:t>
            </w:r>
          </w:p>
        </w:tc>
        <w:tc>
          <w:tcPr>
            <w:tcW w:w="1016" w:type="dxa"/>
            <w:tcBorders>
              <w:top w:val="nil"/>
              <w:left w:val="nil"/>
              <w:bottom w:val="single" w:sz="4" w:space="0" w:color="auto"/>
              <w:right w:val="single" w:sz="4" w:space="0" w:color="auto"/>
            </w:tcBorders>
            <w:shd w:val="clear" w:color="auto" w:fill="auto"/>
            <w:noWrap/>
            <w:vAlign w:val="bottom"/>
            <w:hideMark/>
          </w:tcPr>
          <w:p w14:paraId="2D232CA8"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1.00</w:t>
            </w:r>
          </w:p>
        </w:tc>
        <w:tc>
          <w:tcPr>
            <w:tcW w:w="868" w:type="dxa"/>
            <w:tcBorders>
              <w:top w:val="nil"/>
              <w:left w:val="nil"/>
              <w:bottom w:val="single" w:sz="4" w:space="0" w:color="auto"/>
              <w:right w:val="single" w:sz="4" w:space="0" w:color="auto"/>
            </w:tcBorders>
            <w:shd w:val="clear" w:color="auto" w:fill="auto"/>
            <w:noWrap/>
            <w:vAlign w:val="bottom"/>
            <w:hideMark/>
          </w:tcPr>
          <w:p w14:paraId="3974F35C"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1.00</w:t>
            </w:r>
          </w:p>
        </w:tc>
        <w:tc>
          <w:tcPr>
            <w:tcW w:w="833" w:type="dxa"/>
            <w:tcBorders>
              <w:top w:val="nil"/>
              <w:left w:val="nil"/>
              <w:bottom w:val="single" w:sz="4" w:space="0" w:color="auto"/>
              <w:right w:val="single" w:sz="4" w:space="0" w:color="auto"/>
            </w:tcBorders>
            <w:shd w:val="clear" w:color="auto" w:fill="auto"/>
            <w:noWrap/>
            <w:vAlign w:val="bottom"/>
            <w:hideMark/>
          </w:tcPr>
          <w:p w14:paraId="56A8F174"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1.00</w:t>
            </w:r>
          </w:p>
        </w:tc>
        <w:tc>
          <w:tcPr>
            <w:tcW w:w="726" w:type="dxa"/>
            <w:tcBorders>
              <w:top w:val="nil"/>
              <w:left w:val="nil"/>
              <w:bottom w:val="single" w:sz="4" w:space="0" w:color="auto"/>
              <w:right w:val="single" w:sz="4" w:space="0" w:color="auto"/>
            </w:tcBorders>
            <w:shd w:val="clear" w:color="auto" w:fill="auto"/>
            <w:noWrap/>
            <w:vAlign w:val="bottom"/>
            <w:hideMark/>
          </w:tcPr>
          <w:p w14:paraId="2A43D199"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1.00</w:t>
            </w:r>
          </w:p>
        </w:tc>
        <w:tc>
          <w:tcPr>
            <w:tcW w:w="891" w:type="dxa"/>
            <w:tcBorders>
              <w:top w:val="nil"/>
              <w:left w:val="nil"/>
              <w:bottom w:val="single" w:sz="4" w:space="0" w:color="auto"/>
              <w:right w:val="single" w:sz="4" w:space="0" w:color="auto"/>
            </w:tcBorders>
            <w:shd w:val="clear" w:color="auto" w:fill="auto"/>
            <w:noWrap/>
            <w:vAlign w:val="bottom"/>
            <w:hideMark/>
          </w:tcPr>
          <w:p w14:paraId="06CCA7FD"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1.00</w:t>
            </w:r>
          </w:p>
        </w:tc>
        <w:tc>
          <w:tcPr>
            <w:tcW w:w="825" w:type="dxa"/>
            <w:tcBorders>
              <w:top w:val="nil"/>
              <w:left w:val="nil"/>
              <w:bottom w:val="single" w:sz="4" w:space="0" w:color="auto"/>
              <w:right w:val="single" w:sz="4" w:space="0" w:color="auto"/>
            </w:tcBorders>
            <w:shd w:val="clear" w:color="auto" w:fill="auto"/>
            <w:noWrap/>
            <w:vAlign w:val="bottom"/>
            <w:hideMark/>
          </w:tcPr>
          <w:p w14:paraId="74553A5F"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1.00</w:t>
            </w:r>
          </w:p>
        </w:tc>
      </w:tr>
      <w:tr w:rsidR="00A8274E" w:rsidRPr="00AE5020" w14:paraId="16FB961E" w14:textId="77777777" w:rsidTr="001D10C8">
        <w:trPr>
          <w:trHeight w:val="24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06A92021" w14:textId="77777777" w:rsidR="00A8274E" w:rsidRPr="00AE5020" w:rsidRDefault="00A8274E" w:rsidP="001D10C8">
            <w:pPr>
              <w:rPr>
                <w:rFonts w:ascii="Calibri" w:eastAsia="Times New Roman" w:hAnsi="Calibri" w:cs="Calibri"/>
                <w:color w:val="000000"/>
                <w:sz w:val="18"/>
                <w:szCs w:val="18"/>
                <w:lang w:val="en-US"/>
              </w:rPr>
            </w:pPr>
            <w:r w:rsidRPr="00AE5020">
              <w:rPr>
                <w:rFonts w:ascii="Calibri" w:eastAsia="Times New Roman" w:hAnsi="Calibri" w:cs="Calibri"/>
                <w:color w:val="000000"/>
                <w:sz w:val="18"/>
                <w:szCs w:val="18"/>
                <w:lang w:val="en-US"/>
              </w:rPr>
              <w:t>1:248113026-248113026</w:t>
            </w:r>
          </w:p>
        </w:tc>
        <w:tc>
          <w:tcPr>
            <w:tcW w:w="1417" w:type="dxa"/>
            <w:tcBorders>
              <w:top w:val="nil"/>
              <w:left w:val="nil"/>
              <w:bottom w:val="single" w:sz="4" w:space="0" w:color="auto"/>
              <w:right w:val="single" w:sz="4" w:space="0" w:color="auto"/>
            </w:tcBorders>
            <w:shd w:val="clear" w:color="auto" w:fill="auto"/>
            <w:noWrap/>
            <w:vAlign w:val="bottom"/>
            <w:hideMark/>
          </w:tcPr>
          <w:p w14:paraId="2142477D" w14:textId="77777777" w:rsidR="00A8274E" w:rsidRPr="00AE5020" w:rsidRDefault="00A8274E" w:rsidP="001D10C8">
            <w:pPr>
              <w:rPr>
                <w:rFonts w:ascii="Calibri" w:eastAsia="Times New Roman" w:hAnsi="Calibri" w:cs="Calibri"/>
                <w:b/>
                <w:bCs/>
                <w:i/>
                <w:sz w:val="18"/>
                <w:szCs w:val="18"/>
                <w:lang w:val="en-US"/>
              </w:rPr>
            </w:pPr>
            <w:r w:rsidRPr="00AE5020">
              <w:rPr>
                <w:rFonts w:ascii="Calibri" w:eastAsia="Times New Roman" w:hAnsi="Calibri" w:cs="Calibri"/>
                <w:b/>
                <w:bCs/>
                <w:i/>
                <w:sz w:val="18"/>
                <w:szCs w:val="18"/>
                <w:lang w:val="en-US"/>
              </w:rPr>
              <w:t>OR2L8</w:t>
            </w:r>
          </w:p>
        </w:tc>
        <w:tc>
          <w:tcPr>
            <w:tcW w:w="1229" w:type="dxa"/>
            <w:tcBorders>
              <w:top w:val="nil"/>
              <w:left w:val="nil"/>
              <w:bottom w:val="single" w:sz="4" w:space="0" w:color="auto"/>
              <w:right w:val="single" w:sz="4" w:space="0" w:color="auto"/>
            </w:tcBorders>
            <w:shd w:val="clear" w:color="auto" w:fill="auto"/>
            <w:noWrap/>
            <w:vAlign w:val="bottom"/>
            <w:hideMark/>
          </w:tcPr>
          <w:p w14:paraId="06BD546A" w14:textId="77777777" w:rsidR="00A8274E" w:rsidRPr="00AE5020" w:rsidRDefault="00A8274E" w:rsidP="001D10C8">
            <w:pPr>
              <w:jc w:val="right"/>
              <w:rPr>
                <w:rFonts w:ascii="Calibri" w:eastAsia="Times New Roman" w:hAnsi="Calibri" w:cs="Calibri"/>
                <w:color w:val="000000"/>
                <w:sz w:val="18"/>
                <w:szCs w:val="18"/>
                <w:lang w:val="en-US"/>
              </w:rPr>
            </w:pPr>
            <w:r w:rsidRPr="00AE5020">
              <w:rPr>
                <w:rFonts w:ascii="Calibri" w:eastAsia="Times New Roman" w:hAnsi="Calibri" w:cs="Calibri"/>
                <w:color w:val="000000"/>
                <w:sz w:val="18"/>
                <w:szCs w:val="18"/>
                <w:lang w:val="en-US"/>
              </w:rPr>
              <w:t>43</w:t>
            </w:r>
          </w:p>
        </w:tc>
        <w:tc>
          <w:tcPr>
            <w:tcW w:w="2032" w:type="dxa"/>
            <w:tcBorders>
              <w:top w:val="nil"/>
              <w:left w:val="nil"/>
              <w:bottom w:val="single" w:sz="4" w:space="0" w:color="auto"/>
              <w:right w:val="single" w:sz="4" w:space="0" w:color="auto"/>
            </w:tcBorders>
            <w:shd w:val="clear" w:color="auto" w:fill="auto"/>
            <w:noWrap/>
            <w:vAlign w:val="bottom"/>
            <w:hideMark/>
          </w:tcPr>
          <w:p w14:paraId="285C1D5B" w14:textId="77777777" w:rsidR="00A8274E" w:rsidRPr="00AE5020" w:rsidRDefault="00A8274E" w:rsidP="001D10C8">
            <w:pPr>
              <w:rPr>
                <w:rFonts w:ascii="Calibri" w:eastAsia="Times New Roman" w:hAnsi="Calibri" w:cs="Calibri"/>
                <w:color w:val="000000"/>
                <w:sz w:val="18"/>
                <w:szCs w:val="18"/>
                <w:lang w:val="en-US"/>
              </w:rPr>
            </w:pPr>
            <w:proofErr w:type="spellStart"/>
            <w:r w:rsidRPr="00AE5020">
              <w:rPr>
                <w:rFonts w:ascii="Calibri" w:eastAsia="Times New Roman" w:hAnsi="Calibri" w:cs="Calibri"/>
                <w:color w:val="000000"/>
                <w:sz w:val="18"/>
                <w:szCs w:val="18"/>
                <w:lang w:val="en-US"/>
              </w:rPr>
              <w:t>stop_gained</w:t>
            </w:r>
            <w:proofErr w:type="spellEnd"/>
          </w:p>
        </w:tc>
        <w:tc>
          <w:tcPr>
            <w:tcW w:w="850" w:type="dxa"/>
            <w:tcBorders>
              <w:top w:val="nil"/>
              <w:left w:val="nil"/>
              <w:bottom w:val="single" w:sz="4" w:space="0" w:color="auto"/>
              <w:right w:val="single" w:sz="4" w:space="0" w:color="auto"/>
            </w:tcBorders>
            <w:shd w:val="clear" w:color="auto" w:fill="auto"/>
            <w:noWrap/>
            <w:vAlign w:val="bottom"/>
            <w:hideMark/>
          </w:tcPr>
          <w:p w14:paraId="70DF0465"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1.00</w:t>
            </w:r>
          </w:p>
        </w:tc>
        <w:tc>
          <w:tcPr>
            <w:tcW w:w="709" w:type="dxa"/>
            <w:tcBorders>
              <w:top w:val="nil"/>
              <w:left w:val="nil"/>
              <w:bottom w:val="single" w:sz="4" w:space="0" w:color="auto"/>
              <w:right w:val="single" w:sz="4" w:space="0" w:color="auto"/>
            </w:tcBorders>
            <w:shd w:val="clear" w:color="auto" w:fill="auto"/>
            <w:noWrap/>
            <w:vAlign w:val="bottom"/>
            <w:hideMark/>
          </w:tcPr>
          <w:p w14:paraId="36B89CD0"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1.00</w:t>
            </w:r>
          </w:p>
        </w:tc>
        <w:tc>
          <w:tcPr>
            <w:tcW w:w="1016" w:type="dxa"/>
            <w:tcBorders>
              <w:top w:val="nil"/>
              <w:left w:val="nil"/>
              <w:bottom w:val="single" w:sz="4" w:space="0" w:color="auto"/>
              <w:right w:val="single" w:sz="4" w:space="0" w:color="auto"/>
            </w:tcBorders>
            <w:shd w:val="clear" w:color="auto" w:fill="auto"/>
            <w:noWrap/>
            <w:vAlign w:val="bottom"/>
            <w:hideMark/>
          </w:tcPr>
          <w:p w14:paraId="6364B6A5"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1.00</w:t>
            </w:r>
          </w:p>
        </w:tc>
        <w:tc>
          <w:tcPr>
            <w:tcW w:w="868" w:type="dxa"/>
            <w:tcBorders>
              <w:top w:val="nil"/>
              <w:left w:val="nil"/>
              <w:bottom w:val="single" w:sz="4" w:space="0" w:color="auto"/>
              <w:right w:val="single" w:sz="4" w:space="0" w:color="auto"/>
            </w:tcBorders>
            <w:shd w:val="clear" w:color="auto" w:fill="auto"/>
            <w:noWrap/>
            <w:vAlign w:val="bottom"/>
            <w:hideMark/>
          </w:tcPr>
          <w:p w14:paraId="29BFC50A"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0.98</w:t>
            </w:r>
          </w:p>
        </w:tc>
        <w:tc>
          <w:tcPr>
            <w:tcW w:w="833" w:type="dxa"/>
            <w:tcBorders>
              <w:top w:val="nil"/>
              <w:left w:val="nil"/>
              <w:bottom w:val="single" w:sz="4" w:space="0" w:color="auto"/>
              <w:right w:val="single" w:sz="4" w:space="0" w:color="auto"/>
            </w:tcBorders>
            <w:shd w:val="clear" w:color="auto" w:fill="auto"/>
            <w:noWrap/>
            <w:vAlign w:val="bottom"/>
            <w:hideMark/>
          </w:tcPr>
          <w:p w14:paraId="3CF6D618"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0.97</w:t>
            </w:r>
          </w:p>
        </w:tc>
        <w:tc>
          <w:tcPr>
            <w:tcW w:w="726" w:type="dxa"/>
            <w:tcBorders>
              <w:top w:val="nil"/>
              <w:left w:val="nil"/>
              <w:bottom w:val="single" w:sz="4" w:space="0" w:color="auto"/>
              <w:right w:val="single" w:sz="4" w:space="0" w:color="auto"/>
            </w:tcBorders>
            <w:shd w:val="clear" w:color="auto" w:fill="auto"/>
            <w:noWrap/>
            <w:vAlign w:val="bottom"/>
            <w:hideMark/>
          </w:tcPr>
          <w:p w14:paraId="648018CE"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1.00</w:t>
            </w:r>
          </w:p>
        </w:tc>
        <w:tc>
          <w:tcPr>
            <w:tcW w:w="891" w:type="dxa"/>
            <w:tcBorders>
              <w:top w:val="nil"/>
              <w:left w:val="nil"/>
              <w:bottom w:val="single" w:sz="4" w:space="0" w:color="auto"/>
              <w:right w:val="single" w:sz="4" w:space="0" w:color="auto"/>
            </w:tcBorders>
            <w:shd w:val="clear" w:color="auto" w:fill="auto"/>
            <w:noWrap/>
            <w:vAlign w:val="bottom"/>
            <w:hideMark/>
          </w:tcPr>
          <w:p w14:paraId="2144789F"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1.00</w:t>
            </w:r>
          </w:p>
        </w:tc>
        <w:tc>
          <w:tcPr>
            <w:tcW w:w="825" w:type="dxa"/>
            <w:tcBorders>
              <w:top w:val="nil"/>
              <w:left w:val="nil"/>
              <w:bottom w:val="single" w:sz="4" w:space="0" w:color="auto"/>
              <w:right w:val="single" w:sz="4" w:space="0" w:color="auto"/>
            </w:tcBorders>
            <w:shd w:val="clear" w:color="auto" w:fill="auto"/>
            <w:noWrap/>
            <w:vAlign w:val="bottom"/>
            <w:hideMark/>
          </w:tcPr>
          <w:p w14:paraId="5AD420CF"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0.99</w:t>
            </w:r>
          </w:p>
        </w:tc>
      </w:tr>
      <w:tr w:rsidR="00A8274E" w:rsidRPr="00AE5020" w14:paraId="2C0645F9" w14:textId="77777777" w:rsidTr="001D10C8">
        <w:trPr>
          <w:trHeight w:val="24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4CBACC79" w14:textId="77777777" w:rsidR="00A8274E" w:rsidRPr="00AE5020" w:rsidRDefault="00A8274E" w:rsidP="001D10C8">
            <w:pPr>
              <w:rPr>
                <w:rFonts w:ascii="Calibri" w:eastAsia="Times New Roman" w:hAnsi="Calibri" w:cs="Calibri"/>
                <w:color w:val="000000"/>
                <w:sz w:val="18"/>
                <w:szCs w:val="18"/>
                <w:lang w:val="en-US"/>
              </w:rPr>
            </w:pPr>
            <w:r w:rsidRPr="00AE5020">
              <w:rPr>
                <w:rFonts w:ascii="Calibri" w:eastAsia="Times New Roman" w:hAnsi="Calibri" w:cs="Calibri"/>
                <w:color w:val="000000"/>
                <w:sz w:val="18"/>
                <w:szCs w:val="18"/>
                <w:lang w:val="en-US"/>
              </w:rPr>
              <w:t>19:57642782-57642782</w:t>
            </w:r>
          </w:p>
        </w:tc>
        <w:tc>
          <w:tcPr>
            <w:tcW w:w="1417" w:type="dxa"/>
            <w:tcBorders>
              <w:top w:val="nil"/>
              <w:left w:val="nil"/>
              <w:bottom w:val="single" w:sz="4" w:space="0" w:color="auto"/>
              <w:right w:val="single" w:sz="4" w:space="0" w:color="auto"/>
            </w:tcBorders>
            <w:shd w:val="clear" w:color="auto" w:fill="auto"/>
            <w:noWrap/>
            <w:vAlign w:val="bottom"/>
            <w:hideMark/>
          </w:tcPr>
          <w:p w14:paraId="3543140D" w14:textId="77777777" w:rsidR="00A8274E" w:rsidRPr="00AE5020" w:rsidRDefault="00A8274E" w:rsidP="001D10C8">
            <w:pPr>
              <w:rPr>
                <w:rFonts w:ascii="Calibri" w:eastAsia="Times New Roman" w:hAnsi="Calibri" w:cs="Calibri"/>
                <w:b/>
                <w:bCs/>
                <w:i/>
                <w:sz w:val="18"/>
                <w:szCs w:val="18"/>
                <w:lang w:val="en-US"/>
              </w:rPr>
            </w:pPr>
            <w:r w:rsidRPr="00AE5020">
              <w:rPr>
                <w:rFonts w:ascii="Calibri" w:eastAsia="Times New Roman" w:hAnsi="Calibri" w:cs="Calibri"/>
                <w:b/>
                <w:bCs/>
                <w:i/>
                <w:sz w:val="18"/>
                <w:szCs w:val="18"/>
                <w:lang w:val="en-US"/>
              </w:rPr>
              <w:t>USP29</w:t>
            </w:r>
          </w:p>
        </w:tc>
        <w:tc>
          <w:tcPr>
            <w:tcW w:w="1229" w:type="dxa"/>
            <w:tcBorders>
              <w:top w:val="nil"/>
              <w:left w:val="nil"/>
              <w:bottom w:val="single" w:sz="4" w:space="0" w:color="auto"/>
              <w:right w:val="single" w:sz="4" w:space="0" w:color="auto"/>
            </w:tcBorders>
            <w:shd w:val="clear" w:color="auto" w:fill="auto"/>
            <w:noWrap/>
            <w:vAlign w:val="bottom"/>
            <w:hideMark/>
          </w:tcPr>
          <w:p w14:paraId="6965053F" w14:textId="77777777" w:rsidR="00A8274E" w:rsidRPr="00AE5020" w:rsidRDefault="00A8274E" w:rsidP="001D10C8">
            <w:pPr>
              <w:jc w:val="right"/>
              <w:rPr>
                <w:rFonts w:ascii="Calibri" w:eastAsia="Times New Roman" w:hAnsi="Calibri" w:cs="Calibri"/>
                <w:color w:val="000000"/>
                <w:sz w:val="18"/>
                <w:szCs w:val="18"/>
                <w:lang w:val="en-US"/>
              </w:rPr>
            </w:pPr>
            <w:r w:rsidRPr="00AE5020">
              <w:rPr>
                <w:rFonts w:ascii="Calibri" w:eastAsia="Times New Roman" w:hAnsi="Calibri" w:cs="Calibri"/>
                <w:color w:val="000000"/>
                <w:sz w:val="18"/>
                <w:szCs w:val="18"/>
                <w:lang w:val="en-US"/>
              </w:rPr>
              <w:t>34</w:t>
            </w:r>
          </w:p>
        </w:tc>
        <w:tc>
          <w:tcPr>
            <w:tcW w:w="2032" w:type="dxa"/>
            <w:tcBorders>
              <w:top w:val="nil"/>
              <w:left w:val="nil"/>
              <w:bottom w:val="single" w:sz="4" w:space="0" w:color="auto"/>
              <w:right w:val="single" w:sz="4" w:space="0" w:color="auto"/>
            </w:tcBorders>
            <w:shd w:val="clear" w:color="auto" w:fill="auto"/>
            <w:noWrap/>
            <w:vAlign w:val="bottom"/>
            <w:hideMark/>
          </w:tcPr>
          <w:p w14:paraId="63872983" w14:textId="77777777" w:rsidR="00A8274E" w:rsidRPr="00AE5020" w:rsidRDefault="00A8274E" w:rsidP="001D10C8">
            <w:pPr>
              <w:rPr>
                <w:rFonts w:ascii="Calibri" w:eastAsia="Times New Roman" w:hAnsi="Calibri" w:cs="Calibri"/>
                <w:color w:val="000000"/>
                <w:sz w:val="18"/>
                <w:szCs w:val="18"/>
                <w:lang w:val="en-US"/>
              </w:rPr>
            </w:pPr>
            <w:proofErr w:type="spellStart"/>
            <w:r w:rsidRPr="00AE5020">
              <w:rPr>
                <w:rFonts w:ascii="Calibri" w:eastAsia="Times New Roman" w:hAnsi="Calibri" w:cs="Calibri"/>
                <w:color w:val="000000"/>
                <w:sz w:val="18"/>
                <w:szCs w:val="18"/>
                <w:lang w:val="en-US"/>
              </w:rPr>
              <w:t>stop_gained</w:t>
            </w:r>
            <w:proofErr w:type="spellEnd"/>
          </w:p>
        </w:tc>
        <w:tc>
          <w:tcPr>
            <w:tcW w:w="850" w:type="dxa"/>
            <w:tcBorders>
              <w:top w:val="nil"/>
              <w:left w:val="nil"/>
              <w:bottom w:val="single" w:sz="4" w:space="0" w:color="auto"/>
              <w:right w:val="single" w:sz="4" w:space="0" w:color="auto"/>
            </w:tcBorders>
            <w:shd w:val="clear" w:color="auto" w:fill="auto"/>
            <w:noWrap/>
            <w:vAlign w:val="bottom"/>
            <w:hideMark/>
          </w:tcPr>
          <w:p w14:paraId="53506872"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1.00</w:t>
            </w:r>
          </w:p>
        </w:tc>
        <w:tc>
          <w:tcPr>
            <w:tcW w:w="709" w:type="dxa"/>
            <w:tcBorders>
              <w:top w:val="nil"/>
              <w:left w:val="nil"/>
              <w:bottom w:val="single" w:sz="4" w:space="0" w:color="auto"/>
              <w:right w:val="single" w:sz="4" w:space="0" w:color="auto"/>
            </w:tcBorders>
            <w:shd w:val="clear" w:color="auto" w:fill="auto"/>
            <w:noWrap/>
            <w:vAlign w:val="bottom"/>
            <w:hideMark/>
          </w:tcPr>
          <w:p w14:paraId="4EC3BFCB"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1.00</w:t>
            </w:r>
          </w:p>
        </w:tc>
        <w:tc>
          <w:tcPr>
            <w:tcW w:w="1016" w:type="dxa"/>
            <w:tcBorders>
              <w:top w:val="nil"/>
              <w:left w:val="nil"/>
              <w:bottom w:val="single" w:sz="4" w:space="0" w:color="auto"/>
              <w:right w:val="single" w:sz="4" w:space="0" w:color="auto"/>
            </w:tcBorders>
            <w:shd w:val="clear" w:color="auto" w:fill="auto"/>
            <w:noWrap/>
            <w:vAlign w:val="bottom"/>
            <w:hideMark/>
          </w:tcPr>
          <w:p w14:paraId="46A1BB8B"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1.00</w:t>
            </w:r>
          </w:p>
        </w:tc>
        <w:tc>
          <w:tcPr>
            <w:tcW w:w="868" w:type="dxa"/>
            <w:tcBorders>
              <w:top w:val="nil"/>
              <w:left w:val="nil"/>
              <w:bottom w:val="single" w:sz="4" w:space="0" w:color="auto"/>
              <w:right w:val="single" w:sz="4" w:space="0" w:color="auto"/>
            </w:tcBorders>
            <w:shd w:val="clear" w:color="auto" w:fill="auto"/>
            <w:noWrap/>
            <w:vAlign w:val="bottom"/>
            <w:hideMark/>
          </w:tcPr>
          <w:p w14:paraId="45A49372"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1.00</w:t>
            </w:r>
          </w:p>
        </w:tc>
        <w:tc>
          <w:tcPr>
            <w:tcW w:w="833" w:type="dxa"/>
            <w:tcBorders>
              <w:top w:val="nil"/>
              <w:left w:val="nil"/>
              <w:bottom w:val="single" w:sz="4" w:space="0" w:color="auto"/>
              <w:right w:val="single" w:sz="4" w:space="0" w:color="auto"/>
            </w:tcBorders>
            <w:shd w:val="clear" w:color="auto" w:fill="auto"/>
            <w:noWrap/>
            <w:vAlign w:val="bottom"/>
            <w:hideMark/>
          </w:tcPr>
          <w:p w14:paraId="55B94EFC"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0.94</w:t>
            </w:r>
          </w:p>
        </w:tc>
        <w:tc>
          <w:tcPr>
            <w:tcW w:w="726" w:type="dxa"/>
            <w:tcBorders>
              <w:top w:val="nil"/>
              <w:left w:val="nil"/>
              <w:bottom w:val="single" w:sz="4" w:space="0" w:color="auto"/>
              <w:right w:val="single" w:sz="4" w:space="0" w:color="auto"/>
            </w:tcBorders>
            <w:shd w:val="clear" w:color="auto" w:fill="auto"/>
            <w:noWrap/>
            <w:vAlign w:val="bottom"/>
            <w:hideMark/>
          </w:tcPr>
          <w:p w14:paraId="4117F9D4"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0.97</w:t>
            </w:r>
          </w:p>
        </w:tc>
        <w:tc>
          <w:tcPr>
            <w:tcW w:w="891" w:type="dxa"/>
            <w:tcBorders>
              <w:top w:val="nil"/>
              <w:left w:val="nil"/>
              <w:bottom w:val="single" w:sz="4" w:space="0" w:color="auto"/>
              <w:right w:val="single" w:sz="4" w:space="0" w:color="auto"/>
            </w:tcBorders>
            <w:shd w:val="clear" w:color="auto" w:fill="auto"/>
            <w:noWrap/>
            <w:vAlign w:val="bottom"/>
            <w:hideMark/>
          </w:tcPr>
          <w:p w14:paraId="4FD82384"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1.00</w:t>
            </w:r>
          </w:p>
        </w:tc>
        <w:tc>
          <w:tcPr>
            <w:tcW w:w="825" w:type="dxa"/>
            <w:tcBorders>
              <w:top w:val="nil"/>
              <w:left w:val="nil"/>
              <w:bottom w:val="single" w:sz="4" w:space="0" w:color="auto"/>
              <w:right w:val="single" w:sz="4" w:space="0" w:color="auto"/>
            </w:tcBorders>
            <w:shd w:val="clear" w:color="auto" w:fill="auto"/>
            <w:noWrap/>
            <w:vAlign w:val="bottom"/>
            <w:hideMark/>
          </w:tcPr>
          <w:p w14:paraId="31D74F34"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0.99</w:t>
            </w:r>
          </w:p>
        </w:tc>
      </w:tr>
      <w:tr w:rsidR="00A8274E" w:rsidRPr="00AE5020" w14:paraId="1D3EB1C6" w14:textId="77777777" w:rsidTr="001D10C8">
        <w:trPr>
          <w:trHeight w:val="24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07B73142" w14:textId="77777777" w:rsidR="00A8274E" w:rsidRPr="00AE5020" w:rsidRDefault="00A8274E" w:rsidP="001D10C8">
            <w:pPr>
              <w:rPr>
                <w:rFonts w:ascii="Calibri" w:eastAsia="Times New Roman" w:hAnsi="Calibri" w:cs="Calibri"/>
                <w:color w:val="000000"/>
                <w:sz w:val="18"/>
                <w:szCs w:val="18"/>
                <w:lang w:val="en-US"/>
              </w:rPr>
            </w:pPr>
            <w:r w:rsidRPr="00AE5020">
              <w:rPr>
                <w:rFonts w:ascii="Calibri" w:eastAsia="Times New Roman" w:hAnsi="Calibri" w:cs="Calibri"/>
                <w:color w:val="000000"/>
                <w:sz w:val="18"/>
                <w:szCs w:val="18"/>
                <w:lang w:val="en-US"/>
              </w:rPr>
              <w:t>1:11742074-11742074</w:t>
            </w:r>
          </w:p>
        </w:tc>
        <w:tc>
          <w:tcPr>
            <w:tcW w:w="1417" w:type="dxa"/>
            <w:tcBorders>
              <w:top w:val="nil"/>
              <w:left w:val="nil"/>
              <w:bottom w:val="single" w:sz="4" w:space="0" w:color="auto"/>
              <w:right w:val="single" w:sz="4" w:space="0" w:color="auto"/>
            </w:tcBorders>
            <w:shd w:val="clear" w:color="auto" w:fill="auto"/>
            <w:noWrap/>
            <w:vAlign w:val="bottom"/>
            <w:hideMark/>
          </w:tcPr>
          <w:p w14:paraId="19E9759D" w14:textId="77777777" w:rsidR="00A8274E" w:rsidRPr="00AE5020" w:rsidRDefault="00A8274E" w:rsidP="001D10C8">
            <w:pPr>
              <w:rPr>
                <w:rFonts w:ascii="Calibri" w:eastAsia="Times New Roman" w:hAnsi="Calibri" w:cs="Calibri"/>
                <w:b/>
                <w:i/>
                <w:sz w:val="18"/>
                <w:szCs w:val="18"/>
                <w:lang w:val="en-US"/>
              </w:rPr>
            </w:pPr>
            <w:r w:rsidRPr="00AE5020">
              <w:rPr>
                <w:rFonts w:ascii="Calibri" w:eastAsia="Times New Roman" w:hAnsi="Calibri" w:cs="Calibri"/>
                <w:b/>
                <w:i/>
                <w:sz w:val="18"/>
                <w:szCs w:val="18"/>
                <w:lang w:val="en-US"/>
              </w:rPr>
              <w:t>MAD2L2</w:t>
            </w:r>
          </w:p>
        </w:tc>
        <w:tc>
          <w:tcPr>
            <w:tcW w:w="1229" w:type="dxa"/>
            <w:tcBorders>
              <w:top w:val="nil"/>
              <w:left w:val="nil"/>
              <w:bottom w:val="single" w:sz="4" w:space="0" w:color="auto"/>
              <w:right w:val="single" w:sz="4" w:space="0" w:color="auto"/>
            </w:tcBorders>
            <w:shd w:val="clear" w:color="auto" w:fill="auto"/>
            <w:noWrap/>
            <w:vAlign w:val="bottom"/>
            <w:hideMark/>
          </w:tcPr>
          <w:p w14:paraId="2C51CA33" w14:textId="77777777" w:rsidR="00A8274E" w:rsidRPr="00AE5020" w:rsidRDefault="00A8274E" w:rsidP="001D10C8">
            <w:pPr>
              <w:jc w:val="right"/>
              <w:rPr>
                <w:rFonts w:ascii="Calibri" w:eastAsia="Times New Roman" w:hAnsi="Calibri" w:cs="Calibri"/>
                <w:color w:val="000000"/>
                <w:sz w:val="18"/>
                <w:szCs w:val="18"/>
                <w:lang w:val="en-US"/>
              </w:rPr>
            </w:pPr>
            <w:r w:rsidRPr="00AE5020">
              <w:rPr>
                <w:rFonts w:ascii="Calibri" w:eastAsia="Times New Roman" w:hAnsi="Calibri" w:cs="Calibri"/>
                <w:color w:val="000000"/>
                <w:sz w:val="18"/>
                <w:szCs w:val="18"/>
                <w:lang w:val="en-US"/>
              </w:rPr>
              <w:t>16.98</w:t>
            </w:r>
          </w:p>
        </w:tc>
        <w:tc>
          <w:tcPr>
            <w:tcW w:w="2032" w:type="dxa"/>
            <w:tcBorders>
              <w:top w:val="nil"/>
              <w:left w:val="nil"/>
              <w:bottom w:val="single" w:sz="4" w:space="0" w:color="auto"/>
              <w:right w:val="single" w:sz="4" w:space="0" w:color="auto"/>
            </w:tcBorders>
            <w:shd w:val="clear" w:color="auto" w:fill="auto"/>
            <w:noWrap/>
            <w:vAlign w:val="bottom"/>
            <w:hideMark/>
          </w:tcPr>
          <w:p w14:paraId="58C6C8EA" w14:textId="77777777" w:rsidR="00A8274E" w:rsidRPr="00AE5020" w:rsidRDefault="00A8274E" w:rsidP="001D10C8">
            <w:pPr>
              <w:rPr>
                <w:rFonts w:ascii="Calibri" w:eastAsia="Times New Roman" w:hAnsi="Calibri" w:cs="Calibri"/>
                <w:color w:val="000000"/>
                <w:sz w:val="18"/>
                <w:szCs w:val="18"/>
                <w:lang w:val="en-US"/>
              </w:rPr>
            </w:pPr>
            <w:proofErr w:type="spellStart"/>
            <w:r w:rsidRPr="00AE5020">
              <w:rPr>
                <w:rFonts w:ascii="Calibri" w:eastAsia="Times New Roman" w:hAnsi="Calibri" w:cs="Calibri"/>
                <w:color w:val="000000"/>
                <w:sz w:val="18"/>
                <w:szCs w:val="18"/>
                <w:lang w:val="en-US"/>
              </w:rPr>
              <w:t>splice_acceptor_variant</w:t>
            </w:r>
            <w:proofErr w:type="spellEnd"/>
          </w:p>
        </w:tc>
        <w:tc>
          <w:tcPr>
            <w:tcW w:w="850" w:type="dxa"/>
            <w:tcBorders>
              <w:top w:val="nil"/>
              <w:left w:val="nil"/>
              <w:bottom w:val="single" w:sz="4" w:space="0" w:color="auto"/>
              <w:right w:val="single" w:sz="4" w:space="0" w:color="auto"/>
            </w:tcBorders>
            <w:shd w:val="clear" w:color="auto" w:fill="auto"/>
            <w:noWrap/>
            <w:vAlign w:val="bottom"/>
            <w:hideMark/>
          </w:tcPr>
          <w:p w14:paraId="5D16904C"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1.00</w:t>
            </w:r>
          </w:p>
        </w:tc>
        <w:tc>
          <w:tcPr>
            <w:tcW w:w="709" w:type="dxa"/>
            <w:tcBorders>
              <w:top w:val="nil"/>
              <w:left w:val="nil"/>
              <w:bottom w:val="single" w:sz="4" w:space="0" w:color="auto"/>
              <w:right w:val="single" w:sz="4" w:space="0" w:color="auto"/>
            </w:tcBorders>
            <w:shd w:val="clear" w:color="auto" w:fill="auto"/>
            <w:noWrap/>
            <w:vAlign w:val="bottom"/>
            <w:hideMark/>
          </w:tcPr>
          <w:p w14:paraId="45AAA4E7"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1.00</w:t>
            </w:r>
          </w:p>
        </w:tc>
        <w:tc>
          <w:tcPr>
            <w:tcW w:w="1016" w:type="dxa"/>
            <w:tcBorders>
              <w:top w:val="nil"/>
              <w:left w:val="nil"/>
              <w:bottom w:val="single" w:sz="4" w:space="0" w:color="auto"/>
              <w:right w:val="single" w:sz="4" w:space="0" w:color="auto"/>
            </w:tcBorders>
            <w:shd w:val="clear" w:color="auto" w:fill="auto"/>
            <w:noWrap/>
            <w:vAlign w:val="bottom"/>
            <w:hideMark/>
          </w:tcPr>
          <w:p w14:paraId="3E84FDF8"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0.93</w:t>
            </w:r>
          </w:p>
        </w:tc>
        <w:tc>
          <w:tcPr>
            <w:tcW w:w="868" w:type="dxa"/>
            <w:tcBorders>
              <w:top w:val="nil"/>
              <w:left w:val="nil"/>
              <w:bottom w:val="single" w:sz="4" w:space="0" w:color="auto"/>
              <w:right w:val="single" w:sz="4" w:space="0" w:color="auto"/>
            </w:tcBorders>
            <w:shd w:val="clear" w:color="auto" w:fill="auto"/>
            <w:noWrap/>
            <w:vAlign w:val="bottom"/>
            <w:hideMark/>
          </w:tcPr>
          <w:p w14:paraId="0F0FFAF3"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0.97</w:t>
            </w:r>
          </w:p>
        </w:tc>
        <w:tc>
          <w:tcPr>
            <w:tcW w:w="833" w:type="dxa"/>
            <w:tcBorders>
              <w:top w:val="nil"/>
              <w:left w:val="nil"/>
              <w:bottom w:val="single" w:sz="4" w:space="0" w:color="auto"/>
              <w:right w:val="single" w:sz="4" w:space="0" w:color="auto"/>
            </w:tcBorders>
            <w:shd w:val="clear" w:color="auto" w:fill="auto"/>
            <w:noWrap/>
            <w:vAlign w:val="bottom"/>
            <w:hideMark/>
          </w:tcPr>
          <w:p w14:paraId="731AE64F"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0.97</w:t>
            </w:r>
          </w:p>
        </w:tc>
        <w:tc>
          <w:tcPr>
            <w:tcW w:w="726" w:type="dxa"/>
            <w:tcBorders>
              <w:top w:val="nil"/>
              <w:left w:val="nil"/>
              <w:bottom w:val="single" w:sz="4" w:space="0" w:color="auto"/>
              <w:right w:val="single" w:sz="4" w:space="0" w:color="auto"/>
            </w:tcBorders>
            <w:shd w:val="clear" w:color="auto" w:fill="auto"/>
            <w:noWrap/>
            <w:vAlign w:val="bottom"/>
            <w:hideMark/>
          </w:tcPr>
          <w:p w14:paraId="6A026114"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0.94</w:t>
            </w:r>
          </w:p>
        </w:tc>
        <w:tc>
          <w:tcPr>
            <w:tcW w:w="891" w:type="dxa"/>
            <w:tcBorders>
              <w:top w:val="nil"/>
              <w:left w:val="nil"/>
              <w:bottom w:val="single" w:sz="4" w:space="0" w:color="auto"/>
              <w:right w:val="single" w:sz="4" w:space="0" w:color="auto"/>
            </w:tcBorders>
            <w:shd w:val="clear" w:color="auto" w:fill="auto"/>
            <w:noWrap/>
            <w:vAlign w:val="bottom"/>
            <w:hideMark/>
          </w:tcPr>
          <w:p w14:paraId="78532A2F"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1.00</w:t>
            </w:r>
          </w:p>
        </w:tc>
        <w:tc>
          <w:tcPr>
            <w:tcW w:w="825" w:type="dxa"/>
            <w:tcBorders>
              <w:top w:val="nil"/>
              <w:left w:val="nil"/>
              <w:bottom w:val="single" w:sz="4" w:space="0" w:color="auto"/>
              <w:right w:val="single" w:sz="4" w:space="0" w:color="auto"/>
            </w:tcBorders>
            <w:shd w:val="clear" w:color="auto" w:fill="auto"/>
            <w:noWrap/>
            <w:vAlign w:val="bottom"/>
            <w:hideMark/>
          </w:tcPr>
          <w:p w14:paraId="298638D3"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0.97</w:t>
            </w:r>
          </w:p>
        </w:tc>
      </w:tr>
      <w:tr w:rsidR="00A8274E" w:rsidRPr="00AE5020" w14:paraId="706B2C44" w14:textId="77777777" w:rsidTr="001D10C8">
        <w:trPr>
          <w:trHeight w:val="24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0936B879" w14:textId="77777777" w:rsidR="00A8274E" w:rsidRPr="00AE5020" w:rsidRDefault="00A8274E" w:rsidP="001D10C8">
            <w:pPr>
              <w:rPr>
                <w:rFonts w:ascii="Calibri" w:eastAsia="Times New Roman" w:hAnsi="Calibri" w:cs="Calibri"/>
                <w:color w:val="000000"/>
                <w:sz w:val="18"/>
                <w:szCs w:val="18"/>
                <w:lang w:val="en-US"/>
              </w:rPr>
            </w:pPr>
            <w:r w:rsidRPr="00AE5020">
              <w:rPr>
                <w:rFonts w:ascii="Calibri" w:eastAsia="Times New Roman" w:hAnsi="Calibri" w:cs="Calibri"/>
                <w:color w:val="000000"/>
                <w:sz w:val="18"/>
                <w:szCs w:val="18"/>
                <w:lang w:val="en-US"/>
              </w:rPr>
              <w:t>4:69687987-69687987</w:t>
            </w:r>
          </w:p>
        </w:tc>
        <w:tc>
          <w:tcPr>
            <w:tcW w:w="1417" w:type="dxa"/>
            <w:tcBorders>
              <w:top w:val="nil"/>
              <w:left w:val="nil"/>
              <w:bottom w:val="single" w:sz="4" w:space="0" w:color="auto"/>
              <w:right w:val="single" w:sz="4" w:space="0" w:color="auto"/>
            </w:tcBorders>
            <w:shd w:val="clear" w:color="auto" w:fill="auto"/>
            <w:noWrap/>
            <w:vAlign w:val="bottom"/>
            <w:hideMark/>
          </w:tcPr>
          <w:p w14:paraId="134FAEA2" w14:textId="77777777" w:rsidR="00A8274E" w:rsidRPr="00AE5020" w:rsidRDefault="00A8274E" w:rsidP="001D10C8">
            <w:pPr>
              <w:rPr>
                <w:rFonts w:ascii="Calibri" w:eastAsia="Times New Roman" w:hAnsi="Calibri" w:cs="Calibri"/>
                <w:b/>
                <w:i/>
                <w:sz w:val="18"/>
                <w:szCs w:val="18"/>
                <w:lang w:val="en-US"/>
              </w:rPr>
            </w:pPr>
            <w:r w:rsidRPr="00AE5020">
              <w:rPr>
                <w:rFonts w:ascii="Calibri" w:eastAsia="Times New Roman" w:hAnsi="Calibri" w:cs="Calibri"/>
                <w:b/>
                <w:i/>
                <w:sz w:val="18"/>
                <w:szCs w:val="18"/>
                <w:lang w:val="en-US"/>
              </w:rPr>
              <w:t>UGT2B10</w:t>
            </w:r>
          </w:p>
        </w:tc>
        <w:tc>
          <w:tcPr>
            <w:tcW w:w="1229" w:type="dxa"/>
            <w:tcBorders>
              <w:top w:val="nil"/>
              <w:left w:val="nil"/>
              <w:bottom w:val="single" w:sz="4" w:space="0" w:color="auto"/>
              <w:right w:val="single" w:sz="4" w:space="0" w:color="auto"/>
            </w:tcBorders>
            <w:shd w:val="clear" w:color="auto" w:fill="auto"/>
            <w:noWrap/>
            <w:vAlign w:val="bottom"/>
            <w:hideMark/>
          </w:tcPr>
          <w:p w14:paraId="72EB4AED" w14:textId="77777777" w:rsidR="00A8274E" w:rsidRPr="00AE5020" w:rsidRDefault="00A8274E" w:rsidP="001D10C8">
            <w:pPr>
              <w:jc w:val="right"/>
              <w:rPr>
                <w:rFonts w:ascii="Calibri" w:eastAsia="Times New Roman" w:hAnsi="Calibri" w:cs="Calibri"/>
                <w:color w:val="000000"/>
                <w:sz w:val="18"/>
                <w:szCs w:val="18"/>
                <w:lang w:val="en-US"/>
              </w:rPr>
            </w:pPr>
            <w:r w:rsidRPr="00AE5020">
              <w:rPr>
                <w:rFonts w:ascii="Calibri" w:eastAsia="Times New Roman" w:hAnsi="Calibri" w:cs="Calibri"/>
                <w:color w:val="000000"/>
                <w:sz w:val="18"/>
                <w:szCs w:val="18"/>
                <w:lang w:val="en-US"/>
              </w:rPr>
              <w:t>14.69</w:t>
            </w:r>
          </w:p>
        </w:tc>
        <w:tc>
          <w:tcPr>
            <w:tcW w:w="2032" w:type="dxa"/>
            <w:tcBorders>
              <w:top w:val="nil"/>
              <w:left w:val="nil"/>
              <w:bottom w:val="single" w:sz="4" w:space="0" w:color="auto"/>
              <w:right w:val="single" w:sz="4" w:space="0" w:color="auto"/>
            </w:tcBorders>
            <w:shd w:val="clear" w:color="auto" w:fill="auto"/>
            <w:noWrap/>
            <w:vAlign w:val="bottom"/>
            <w:hideMark/>
          </w:tcPr>
          <w:p w14:paraId="47A64A47" w14:textId="77777777" w:rsidR="00A8274E" w:rsidRPr="00AE5020" w:rsidRDefault="00A8274E" w:rsidP="001D10C8">
            <w:pPr>
              <w:rPr>
                <w:rFonts w:ascii="Calibri" w:eastAsia="Times New Roman" w:hAnsi="Calibri" w:cs="Calibri"/>
                <w:color w:val="000000"/>
                <w:sz w:val="18"/>
                <w:szCs w:val="18"/>
                <w:lang w:val="en-US"/>
              </w:rPr>
            </w:pPr>
            <w:proofErr w:type="spellStart"/>
            <w:r w:rsidRPr="00AE5020">
              <w:rPr>
                <w:rFonts w:ascii="Calibri" w:eastAsia="Times New Roman" w:hAnsi="Calibri" w:cs="Calibri"/>
                <w:color w:val="000000"/>
                <w:sz w:val="18"/>
                <w:szCs w:val="18"/>
                <w:lang w:val="en-US"/>
              </w:rPr>
              <w:t>splice_acceptor_variant</w:t>
            </w:r>
            <w:proofErr w:type="spellEnd"/>
          </w:p>
        </w:tc>
        <w:tc>
          <w:tcPr>
            <w:tcW w:w="850" w:type="dxa"/>
            <w:tcBorders>
              <w:top w:val="nil"/>
              <w:left w:val="nil"/>
              <w:bottom w:val="single" w:sz="4" w:space="0" w:color="auto"/>
              <w:right w:val="single" w:sz="4" w:space="0" w:color="auto"/>
            </w:tcBorders>
            <w:shd w:val="clear" w:color="auto" w:fill="auto"/>
            <w:noWrap/>
            <w:vAlign w:val="bottom"/>
            <w:hideMark/>
          </w:tcPr>
          <w:p w14:paraId="517C5A16"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0.92</w:t>
            </w:r>
          </w:p>
        </w:tc>
        <w:tc>
          <w:tcPr>
            <w:tcW w:w="709" w:type="dxa"/>
            <w:tcBorders>
              <w:top w:val="nil"/>
              <w:left w:val="nil"/>
              <w:bottom w:val="single" w:sz="4" w:space="0" w:color="auto"/>
              <w:right w:val="single" w:sz="4" w:space="0" w:color="auto"/>
            </w:tcBorders>
            <w:shd w:val="clear" w:color="auto" w:fill="auto"/>
            <w:noWrap/>
            <w:vAlign w:val="bottom"/>
            <w:hideMark/>
          </w:tcPr>
          <w:p w14:paraId="2A98E518"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0.97</w:t>
            </w:r>
          </w:p>
        </w:tc>
        <w:tc>
          <w:tcPr>
            <w:tcW w:w="1016" w:type="dxa"/>
            <w:tcBorders>
              <w:top w:val="nil"/>
              <w:left w:val="nil"/>
              <w:bottom w:val="single" w:sz="4" w:space="0" w:color="auto"/>
              <w:right w:val="single" w:sz="4" w:space="0" w:color="auto"/>
            </w:tcBorders>
            <w:shd w:val="clear" w:color="auto" w:fill="auto"/>
            <w:noWrap/>
            <w:vAlign w:val="bottom"/>
            <w:hideMark/>
          </w:tcPr>
          <w:p w14:paraId="4699A129"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0.95</w:t>
            </w:r>
          </w:p>
        </w:tc>
        <w:tc>
          <w:tcPr>
            <w:tcW w:w="868" w:type="dxa"/>
            <w:tcBorders>
              <w:top w:val="nil"/>
              <w:left w:val="nil"/>
              <w:bottom w:val="single" w:sz="4" w:space="0" w:color="auto"/>
              <w:right w:val="single" w:sz="4" w:space="0" w:color="auto"/>
            </w:tcBorders>
            <w:shd w:val="clear" w:color="auto" w:fill="auto"/>
            <w:noWrap/>
            <w:vAlign w:val="bottom"/>
            <w:hideMark/>
          </w:tcPr>
          <w:p w14:paraId="0EC87AC3"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0.82</w:t>
            </w:r>
          </w:p>
        </w:tc>
        <w:tc>
          <w:tcPr>
            <w:tcW w:w="833" w:type="dxa"/>
            <w:tcBorders>
              <w:top w:val="nil"/>
              <w:left w:val="nil"/>
              <w:bottom w:val="single" w:sz="4" w:space="0" w:color="auto"/>
              <w:right w:val="single" w:sz="4" w:space="0" w:color="auto"/>
            </w:tcBorders>
            <w:shd w:val="clear" w:color="auto" w:fill="auto"/>
            <w:noWrap/>
            <w:vAlign w:val="bottom"/>
            <w:hideMark/>
          </w:tcPr>
          <w:p w14:paraId="3C1A4EA7"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0.84</w:t>
            </w:r>
          </w:p>
        </w:tc>
        <w:tc>
          <w:tcPr>
            <w:tcW w:w="726" w:type="dxa"/>
            <w:tcBorders>
              <w:top w:val="nil"/>
              <w:left w:val="nil"/>
              <w:bottom w:val="single" w:sz="4" w:space="0" w:color="auto"/>
              <w:right w:val="single" w:sz="4" w:space="0" w:color="auto"/>
            </w:tcBorders>
            <w:shd w:val="clear" w:color="auto" w:fill="auto"/>
            <w:noWrap/>
            <w:vAlign w:val="bottom"/>
            <w:hideMark/>
          </w:tcPr>
          <w:p w14:paraId="58481EE7"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0.94</w:t>
            </w:r>
          </w:p>
        </w:tc>
        <w:tc>
          <w:tcPr>
            <w:tcW w:w="891" w:type="dxa"/>
            <w:tcBorders>
              <w:top w:val="nil"/>
              <w:left w:val="nil"/>
              <w:bottom w:val="single" w:sz="4" w:space="0" w:color="auto"/>
              <w:right w:val="single" w:sz="4" w:space="0" w:color="auto"/>
            </w:tcBorders>
            <w:shd w:val="clear" w:color="auto" w:fill="auto"/>
            <w:noWrap/>
            <w:vAlign w:val="bottom"/>
            <w:hideMark/>
          </w:tcPr>
          <w:p w14:paraId="61D673A2"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0.97</w:t>
            </w:r>
          </w:p>
        </w:tc>
        <w:tc>
          <w:tcPr>
            <w:tcW w:w="825" w:type="dxa"/>
            <w:tcBorders>
              <w:top w:val="nil"/>
              <w:left w:val="nil"/>
              <w:bottom w:val="single" w:sz="4" w:space="0" w:color="auto"/>
              <w:right w:val="single" w:sz="4" w:space="0" w:color="auto"/>
            </w:tcBorders>
            <w:shd w:val="clear" w:color="auto" w:fill="auto"/>
            <w:noWrap/>
            <w:vAlign w:val="bottom"/>
            <w:hideMark/>
          </w:tcPr>
          <w:p w14:paraId="7B1F0762"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0.91</w:t>
            </w:r>
          </w:p>
        </w:tc>
      </w:tr>
      <w:tr w:rsidR="00A8274E" w:rsidRPr="00AE5020" w14:paraId="1B4C027E" w14:textId="77777777" w:rsidTr="001D10C8">
        <w:trPr>
          <w:trHeight w:val="24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5A8E1BAC" w14:textId="77777777" w:rsidR="00A8274E" w:rsidRPr="00AE5020" w:rsidRDefault="00A8274E" w:rsidP="001D10C8">
            <w:pPr>
              <w:rPr>
                <w:rFonts w:ascii="Calibri" w:eastAsia="Times New Roman" w:hAnsi="Calibri" w:cs="Calibri"/>
                <w:color w:val="000000"/>
                <w:sz w:val="18"/>
                <w:szCs w:val="18"/>
                <w:lang w:val="en-US"/>
              </w:rPr>
            </w:pPr>
            <w:r w:rsidRPr="00AE5020">
              <w:rPr>
                <w:rFonts w:ascii="Calibri" w:eastAsia="Times New Roman" w:hAnsi="Calibri" w:cs="Calibri"/>
                <w:color w:val="000000"/>
                <w:sz w:val="18"/>
                <w:szCs w:val="18"/>
                <w:lang w:val="en-US"/>
              </w:rPr>
              <w:t>19:58003580-58003580</w:t>
            </w:r>
          </w:p>
        </w:tc>
        <w:tc>
          <w:tcPr>
            <w:tcW w:w="1417" w:type="dxa"/>
            <w:tcBorders>
              <w:top w:val="nil"/>
              <w:left w:val="nil"/>
              <w:bottom w:val="single" w:sz="4" w:space="0" w:color="auto"/>
              <w:right w:val="single" w:sz="4" w:space="0" w:color="auto"/>
            </w:tcBorders>
            <w:shd w:val="clear" w:color="auto" w:fill="auto"/>
            <w:noWrap/>
            <w:vAlign w:val="bottom"/>
            <w:hideMark/>
          </w:tcPr>
          <w:p w14:paraId="18C86FC7" w14:textId="77777777" w:rsidR="00A8274E" w:rsidRPr="00AE5020" w:rsidRDefault="00A8274E" w:rsidP="001D10C8">
            <w:pPr>
              <w:rPr>
                <w:rFonts w:ascii="Calibri" w:eastAsia="Times New Roman" w:hAnsi="Calibri" w:cs="Calibri"/>
                <w:b/>
                <w:bCs/>
                <w:i/>
                <w:sz w:val="18"/>
                <w:szCs w:val="18"/>
                <w:lang w:val="en-US"/>
              </w:rPr>
            </w:pPr>
            <w:r w:rsidRPr="00AE5020">
              <w:rPr>
                <w:rFonts w:ascii="Calibri" w:eastAsia="Times New Roman" w:hAnsi="Calibri" w:cs="Calibri"/>
                <w:b/>
                <w:bCs/>
                <w:i/>
                <w:sz w:val="18"/>
                <w:szCs w:val="18"/>
                <w:lang w:val="en-US"/>
              </w:rPr>
              <w:t>ZNF419</w:t>
            </w:r>
          </w:p>
        </w:tc>
        <w:tc>
          <w:tcPr>
            <w:tcW w:w="1229" w:type="dxa"/>
            <w:tcBorders>
              <w:top w:val="nil"/>
              <w:left w:val="nil"/>
              <w:bottom w:val="single" w:sz="4" w:space="0" w:color="auto"/>
              <w:right w:val="single" w:sz="4" w:space="0" w:color="auto"/>
            </w:tcBorders>
            <w:shd w:val="clear" w:color="auto" w:fill="auto"/>
            <w:noWrap/>
            <w:vAlign w:val="bottom"/>
            <w:hideMark/>
          </w:tcPr>
          <w:p w14:paraId="5C74D40C" w14:textId="77777777" w:rsidR="00A8274E" w:rsidRPr="00AE5020" w:rsidRDefault="00A8274E" w:rsidP="001D10C8">
            <w:pPr>
              <w:jc w:val="right"/>
              <w:rPr>
                <w:rFonts w:ascii="Calibri" w:eastAsia="Times New Roman" w:hAnsi="Calibri" w:cs="Calibri"/>
                <w:color w:val="000000"/>
                <w:sz w:val="18"/>
                <w:szCs w:val="18"/>
                <w:lang w:val="en-US"/>
              </w:rPr>
            </w:pPr>
            <w:r w:rsidRPr="00AE5020">
              <w:rPr>
                <w:rFonts w:ascii="Calibri" w:eastAsia="Times New Roman" w:hAnsi="Calibri" w:cs="Calibri"/>
                <w:color w:val="000000"/>
                <w:sz w:val="18"/>
                <w:szCs w:val="18"/>
                <w:lang w:val="en-US"/>
              </w:rPr>
              <w:t>16.19</w:t>
            </w:r>
          </w:p>
        </w:tc>
        <w:tc>
          <w:tcPr>
            <w:tcW w:w="2032" w:type="dxa"/>
            <w:tcBorders>
              <w:top w:val="nil"/>
              <w:left w:val="nil"/>
              <w:bottom w:val="single" w:sz="4" w:space="0" w:color="auto"/>
              <w:right w:val="single" w:sz="4" w:space="0" w:color="auto"/>
            </w:tcBorders>
            <w:shd w:val="clear" w:color="auto" w:fill="auto"/>
            <w:noWrap/>
            <w:vAlign w:val="bottom"/>
            <w:hideMark/>
          </w:tcPr>
          <w:p w14:paraId="08F7B764" w14:textId="77777777" w:rsidR="00A8274E" w:rsidRPr="00AE5020" w:rsidRDefault="00A8274E" w:rsidP="001D10C8">
            <w:pPr>
              <w:rPr>
                <w:rFonts w:ascii="Calibri" w:eastAsia="Times New Roman" w:hAnsi="Calibri" w:cs="Calibri"/>
                <w:color w:val="000000"/>
                <w:sz w:val="18"/>
                <w:szCs w:val="18"/>
                <w:lang w:val="en-US"/>
              </w:rPr>
            </w:pPr>
            <w:proofErr w:type="spellStart"/>
            <w:r w:rsidRPr="00AE5020">
              <w:rPr>
                <w:rFonts w:ascii="Calibri" w:eastAsia="Times New Roman" w:hAnsi="Calibri" w:cs="Calibri"/>
                <w:color w:val="000000"/>
                <w:sz w:val="18"/>
                <w:szCs w:val="18"/>
                <w:lang w:val="en-US"/>
              </w:rPr>
              <w:t>splice_donor_variant</w:t>
            </w:r>
            <w:proofErr w:type="spellEnd"/>
          </w:p>
        </w:tc>
        <w:tc>
          <w:tcPr>
            <w:tcW w:w="850" w:type="dxa"/>
            <w:tcBorders>
              <w:top w:val="nil"/>
              <w:left w:val="nil"/>
              <w:bottom w:val="single" w:sz="4" w:space="0" w:color="auto"/>
              <w:right w:val="single" w:sz="4" w:space="0" w:color="auto"/>
            </w:tcBorders>
            <w:shd w:val="clear" w:color="auto" w:fill="auto"/>
            <w:noWrap/>
            <w:vAlign w:val="bottom"/>
            <w:hideMark/>
          </w:tcPr>
          <w:p w14:paraId="22432171"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0.92</w:t>
            </w:r>
          </w:p>
        </w:tc>
        <w:tc>
          <w:tcPr>
            <w:tcW w:w="709" w:type="dxa"/>
            <w:tcBorders>
              <w:top w:val="nil"/>
              <w:left w:val="nil"/>
              <w:bottom w:val="single" w:sz="4" w:space="0" w:color="auto"/>
              <w:right w:val="single" w:sz="4" w:space="0" w:color="auto"/>
            </w:tcBorders>
            <w:shd w:val="clear" w:color="auto" w:fill="auto"/>
            <w:noWrap/>
            <w:vAlign w:val="bottom"/>
            <w:hideMark/>
          </w:tcPr>
          <w:p w14:paraId="0466A2AD"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0.67</w:t>
            </w:r>
          </w:p>
        </w:tc>
        <w:tc>
          <w:tcPr>
            <w:tcW w:w="1016" w:type="dxa"/>
            <w:tcBorders>
              <w:top w:val="nil"/>
              <w:left w:val="nil"/>
              <w:bottom w:val="single" w:sz="4" w:space="0" w:color="auto"/>
              <w:right w:val="single" w:sz="4" w:space="0" w:color="auto"/>
            </w:tcBorders>
            <w:shd w:val="clear" w:color="auto" w:fill="auto"/>
            <w:noWrap/>
            <w:vAlign w:val="bottom"/>
            <w:hideMark/>
          </w:tcPr>
          <w:p w14:paraId="707B8A48"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0.90</w:t>
            </w:r>
          </w:p>
        </w:tc>
        <w:tc>
          <w:tcPr>
            <w:tcW w:w="868" w:type="dxa"/>
            <w:tcBorders>
              <w:top w:val="nil"/>
              <w:left w:val="nil"/>
              <w:bottom w:val="single" w:sz="4" w:space="0" w:color="auto"/>
              <w:right w:val="single" w:sz="4" w:space="0" w:color="auto"/>
            </w:tcBorders>
            <w:shd w:val="clear" w:color="auto" w:fill="auto"/>
            <w:noWrap/>
            <w:vAlign w:val="bottom"/>
            <w:hideMark/>
          </w:tcPr>
          <w:p w14:paraId="4E74D847"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0.93</w:t>
            </w:r>
          </w:p>
        </w:tc>
        <w:tc>
          <w:tcPr>
            <w:tcW w:w="833" w:type="dxa"/>
            <w:tcBorders>
              <w:top w:val="nil"/>
              <w:left w:val="nil"/>
              <w:bottom w:val="single" w:sz="4" w:space="0" w:color="auto"/>
              <w:right w:val="single" w:sz="4" w:space="0" w:color="auto"/>
            </w:tcBorders>
            <w:shd w:val="clear" w:color="auto" w:fill="auto"/>
            <w:noWrap/>
            <w:vAlign w:val="bottom"/>
            <w:hideMark/>
          </w:tcPr>
          <w:p w14:paraId="7399F9D3"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0.69</w:t>
            </w:r>
          </w:p>
        </w:tc>
        <w:tc>
          <w:tcPr>
            <w:tcW w:w="726" w:type="dxa"/>
            <w:tcBorders>
              <w:top w:val="nil"/>
              <w:left w:val="nil"/>
              <w:bottom w:val="single" w:sz="4" w:space="0" w:color="auto"/>
              <w:right w:val="single" w:sz="4" w:space="0" w:color="auto"/>
            </w:tcBorders>
            <w:shd w:val="clear" w:color="auto" w:fill="auto"/>
            <w:noWrap/>
            <w:vAlign w:val="bottom"/>
            <w:hideMark/>
          </w:tcPr>
          <w:p w14:paraId="75121247"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0.94</w:t>
            </w:r>
          </w:p>
        </w:tc>
        <w:tc>
          <w:tcPr>
            <w:tcW w:w="891" w:type="dxa"/>
            <w:tcBorders>
              <w:top w:val="nil"/>
              <w:left w:val="nil"/>
              <w:bottom w:val="single" w:sz="4" w:space="0" w:color="auto"/>
              <w:right w:val="single" w:sz="4" w:space="0" w:color="auto"/>
            </w:tcBorders>
            <w:shd w:val="clear" w:color="auto" w:fill="auto"/>
            <w:noWrap/>
            <w:vAlign w:val="bottom"/>
            <w:hideMark/>
          </w:tcPr>
          <w:p w14:paraId="51542CF2"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0.88</w:t>
            </w:r>
          </w:p>
        </w:tc>
        <w:tc>
          <w:tcPr>
            <w:tcW w:w="825" w:type="dxa"/>
            <w:tcBorders>
              <w:top w:val="nil"/>
              <w:left w:val="nil"/>
              <w:bottom w:val="single" w:sz="4" w:space="0" w:color="auto"/>
              <w:right w:val="single" w:sz="4" w:space="0" w:color="auto"/>
            </w:tcBorders>
            <w:shd w:val="clear" w:color="auto" w:fill="auto"/>
            <w:noWrap/>
            <w:vAlign w:val="bottom"/>
            <w:hideMark/>
          </w:tcPr>
          <w:p w14:paraId="254D2332"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0.84</w:t>
            </w:r>
          </w:p>
        </w:tc>
      </w:tr>
      <w:tr w:rsidR="00A8274E" w:rsidRPr="00AE5020" w14:paraId="771F4219" w14:textId="77777777" w:rsidTr="001D10C8">
        <w:trPr>
          <w:trHeight w:val="24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4E0860A2" w14:textId="77777777" w:rsidR="00A8274E" w:rsidRPr="00AE5020" w:rsidRDefault="00A8274E" w:rsidP="001D10C8">
            <w:pPr>
              <w:rPr>
                <w:rFonts w:ascii="Calibri" w:eastAsia="Times New Roman" w:hAnsi="Calibri" w:cs="Calibri"/>
                <w:color w:val="000000"/>
                <w:sz w:val="18"/>
                <w:szCs w:val="18"/>
                <w:lang w:val="en-US"/>
              </w:rPr>
            </w:pPr>
            <w:r w:rsidRPr="00AE5020">
              <w:rPr>
                <w:rFonts w:ascii="Calibri" w:eastAsia="Times New Roman" w:hAnsi="Calibri" w:cs="Calibri"/>
                <w:color w:val="000000"/>
                <w:sz w:val="18"/>
                <w:szCs w:val="18"/>
                <w:lang w:val="en-US"/>
              </w:rPr>
              <w:t>19:56499279-56499279</w:t>
            </w:r>
          </w:p>
        </w:tc>
        <w:tc>
          <w:tcPr>
            <w:tcW w:w="1417" w:type="dxa"/>
            <w:tcBorders>
              <w:top w:val="nil"/>
              <w:left w:val="nil"/>
              <w:bottom w:val="single" w:sz="4" w:space="0" w:color="auto"/>
              <w:right w:val="single" w:sz="4" w:space="0" w:color="auto"/>
            </w:tcBorders>
            <w:shd w:val="clear" w:color="auto" w:fill="auto"/>
            <w:noWrap/>
            <w:vAlign w:val="bottom"/>
            <w:hideMark/>
          </w:tcPr>
          <w:p w14:paraId="326FFDEB" w14:textId="77777777" w:rsidR="00A8274E" w:rsidRPr="00AE5020" w:rsidRDefault="00A8274E" w:rsidP="001D10C8">
            <w:pPr>
              <w:rPr>
                <w:rFonts w:ascii="Calibri" w:eastAsia="Times New Roman" w:hAnsi="Calibri" w:cs="Calibri"/>
                <w:b/>
                <w:i/>
                <w:sz w:val="18"/>
                <w:szCs w:val="18"/>
                <w:lang w:val="en-US"/>
              </w:rPr>
            </w:pPr>
            <w:r w:rsidRPr="00AE5020">
              <w:rPr>
                <w:rFonts w:ascii="Calibri" w:eastAsia="Times New Roman" w:hAnsi="Calibri" w:cs="Calibri"/>
                <w:b/>
                <w:i/>
                <w:sz w:val="18"/>
                <w:szCs w:val="18"/>
                <w:lang w:val="en-US"/>
              </w:rPr>
              <w:t>NLRP8</w:t>
            </w:r>
          </w:p>
        </w:tc>
        <w:tc>
          <w:tcPr>
            <w:tcW w:w="1229" w:type="dxa"/>
            <w:tcBorders>
              <w:top w:val="nil"/>
              <w:left w:val="nil"/>
              <w:bottom w:val="single" w:sz="4" w:space="0" w:color="auto"/>
              <w:right w:val="single" w:sz="4" w:space="0" w:color="auto"/>
            </w:tcBorders>
            <w:shd w:val="clear" w:color="auto" w:fill="auto"/>
            <w:noWrap/>
            <w:vAlign w:val="bottom"/>
            <w:hideMark/>
          </w:tcPr>
          <w:p w14:paraId="0D6CFCC3" w14:textId="77777777" w:rsidR="00A8274E" w:rsidRPr="00AE5020" w:rsidRDefault="00A8274E" w:rsidP="001D10C8">
            <w:pPr>
              <w:jc w:val="right"/>
              <w:rPr>
                <w:rFonts w:ascii="Calibri" w:eastAsia="Times New Roman" w:hAnsi="Calibri" w:cs="Calibri"/>
                <w:color w:val="000000"/>
                <w:sz w:val="18"/>
                <w:szCs w:val="18"/>
                <w:lang w:val="en-US"/>
              </w:rPr>
            </w:pPr>
            <w:r w:rsidRPr="00AE5020">
              <w:rPr>
                <w:rFonts w:ascii="Calibri" w:eastAsia="Times New Roman" w:hAnsi="Calibri" w:cs="Calibri"/>
                <w:color w:val="000000"/>
                <w:sz w:val="18"/>
                <w:szCs w:val="18"/>
                <w:lang w:val="en-US"/>
              </w:rPr>
              <w:t>-</w:t>
            </w:r>
          </w:p>
        </w:tc>
        <w:tc>
          <w:tcPr>
            <w:tcW w:w="2032" w:type="dxa"/>
            <w:tcBorders>
              <w:top w:val="nil"/>
              <w:left w:val="nil"/>
              <w:bottom w:val="single" w:sz="4" w:space="0" w:color="auto"/>
              <w:right w:val="single" w:sz="4" w:space="0" w:color="auto"/>
            </w:tcBorders>
            <w:shd w:val="clear" w:color="auto" w:fill="auto"/>
            <w:noWrap/>
            <w:vAlign w:val="bottom"/>
            <w:hideMark/>
          </w:tcPr>
          <w:p w14:paraId="292976E5" w14:textId="77777777" w:rsidR="00A8274E" w:rsidRPr="00AE5020" w:rsidRDefault="00A8274E" w:rsidP="001D10C8">
            <w:pPr>
              <w:rPr>
                <w:rFonts w:ascii="Calibri" w:eastAsia="Times New Roman" w:hAnsi="Calibri" w:cs="Calibri"/>
                <w:color w:val="000000"/>
                <w:sz w:val="18"/>
                <w:szCs w:val="18"/>
                <w:lang w:val="en-US"/>
              </w:rPr>
            </w:pPr>
            <w:proofErr w:type="spellStart"/>
            <w:r w:rsidRPr="00AE5020">
              <w:rPr>
                <w:rFonts w:ascii="Calibri" w:eastAsia="Times New Roman" w:hAnsi="Calibri" w:cs="Calibri"/>
                <w:color w:val="000000"/>
                <w:sz w:val="18"/>
                <w:szCs w:val="18"/>
                <w:lang w:val="en-US"/>
              </w:rPr>
              <w:t>stop_lost</w:t>
            </w:r>
            <w:proofErr w:type="spellEnd"/>
          </w:p>
        </w:tc>
        <w:tc>
          <w:tcPr>
            <w:tcW w:w="850" w:type="dxa"/>
            <w:tcBorders>
              <w:top w:val="nil"/>
              <w:left w:val="nil"/>
              <w:bottom w:val="single" w:sz="4" w:space="0" w:color="auto"/>
              <w:right w:val="single" w:sz="4" w:space="0" w:color="auto"/>
            </w:tcBorders>
            <w:shd w:val="clear" w:color="auto" w:fill="auto"/>
            <w:noWrap/>
            <w:vAlign w:val="bottom"/>
            <w:hideMark/>
          </w:tcPr>
          <w:p w14:paraId="36C2EF8E"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0.83</w:t>
            </w:r>
          </w:p>
        </w:tc>
        <w:tc>
          <w:tcPr>
            <w:tcW w:w="709" w:type="dxa"/>
            <w:tcBorders>
              <w:top w:val="nil"/>
              <w:left w:val="nil"/>
              <w:bottom w:val="single" w:sz="4" w:space="0" w:color="auto"/>
              <w:right w:val="single" w:sz="4" w:space="0" w:color="auto"/>
            </w:tcBorders>
            <w:shd w:val="clear" w:color="auto" w:fill="auto"/>
            <w:noWrap/>
            <w:vAlign w:val="bottom"/>
            <w:hideMark/>
          </w:tcPr>
          <w:p w14:paraId="6F6CF58C"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0.82</w:t>
            </w:r>
          </w:p>
        </w:tc>
        <w:tc>
          <w:tcPr>
            <w:tcW w:w="1016" w:type="dxa"/>
            <w:tcBorders>
              <w:top w:val="nil"/>
              <w:left w:val="nil"/>
              <w:bottom w:val="single" w:sz="4" w:space="0" w:color="auto"/>
              <w:right w:val="single" w:sz="4" w:space="0" w:color="auto"/>
            </w:tcBorders>
            <w:shd w:val="clear" w:color="auto" w:fill="auto"/>
            <w:noWrap/>
            <w:vAlign w:val="bottom"/>
            <w:hideMark/>
          </w:tcPr>
          <w:p w14:paraId="4214E954"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0.82</w:t>
            </w:r>
          </w:p>
        </w:tc>
        <w:tc>
          <w:tcPr>
            <w:tcW w:w="868" w:type="dxa"/>
            <w:tcBorders>
              <w:top w:val="nil"/>
              <w:left w:val="nil"/>
              <w:bottom w:val="single" w:sz="4" w:space="0" w:color="auto"/>
              <w:right w:val="single" w:sz="4" w:space="0" w:color="auto"/>
            </w:tcBorders>
            <w:shd w:val="clear" w:color="auto" w:fill="auto"/>
            <w:noWrap/>
            <w:vAlign w:val="bottom"/>
            <w:hideMark/>
          </w:tcPr>
          <w:p w14:paraId="374823E4"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0.75</w:t>
            </w:r>
          </w:p>
        </w:tc>
        <w:tc>
          <w:tcPr>
            <w:tcW w:w="833" w:type="dxa"/>
            <w:tcBorders>
              <w:top w:val="nil"/>
              <w:left w:val="nil"/>
              <w:bottom w:val="single" w:sz="4" w:space="0" w:color="auto"/>
              <w:right w:val="single" w:sz="4" w:space="0" w:color="auto"/>
            </w:tcBorders>
            <w:shd w:val="clear" w:color="auto" w:fill="auto"/>
            <w:noWrap/>
            <w:vAlign w:val="bottom"/>
            <w:hideMark/>
          </w:tcPr>
          <w:p w14:paraId="6595BCA4"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0.84</w:t>
            </w:r>
          </w:p>
        </w:tc>
        <w:tc>
          <w:tcPr>
            <w:tcW w:w="726" w:type="dxa"/>
            <w:tcBorders>
              <w:top w:val="nil"/>
              <w:left w:val="nil"/>
              <w:bottom w:val="single" w:sz="4" w:space="0" w:color="auto"/>
              <w:right w:val="single" w:sz="4" w:space="0" w:color="auto"/>
            </w:tcBorders>
            <w:shd w:val="clear" w:color="auto" w:fill="auto"/>
            <w:noWrap/>
            <w:vAlign w:val="bottom"/>
            <w:hideMark/>
          </w:tcPr>
          <w:p w14:paraId="3C72BF1D"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0.75</w:t>
            </w:r>
          </w:p>
        </w:tc>
        <w:tc>
          <w:tcPr>
            <w:tcW w:w="891" w:type="dxa"/>
            <w:tcBorders>
              <w:top w:val="nil"/>
              <w:left w:val="nil"/>
              <w:bottom w:val="single" w:sz="4" w:space="0" w:color="auto"/>
              <w:right w:val="single" w:sz="4" w:space="0" w:color="auto"/>
            </w:tcBorders>
            <w:shd w:val="clear" w:color="auto" w:fill="auto"/>
            <w:noWrap/>
            <w:vAlign w:val="bottom"/>
            <w:hideMark/>
          </w:tcPr>
          <w:p w14:paraId="191A85B8"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0.75</w:t>
            </w:r>
          </w:p>
        </w:tc>
        <w:tc>
          <w:tcPr>
            <w:tcW w:w="825" w:type="dxa"/>
            <w:tcBorders>
              <w:top w:val="nil"/>
              <w:left w:val="nil"/>
              <w:bottom w:val="single" w:sz="4" w:space="0" w:color="auto"/>
              <w:right w:val="single" w:sz="4" w:space="0" w:color="auto"/>
            </w:tcBorders>
            <w:shd w:val="clear" w:color="auto" w:fill="auto"/>
            <w:noWrap/>
            <w:vAlign w:val="bottom"/>
            <w:hideMark/>
          </w:tcPr>
          <w:p w14:paraId="29889094"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0.79</w:t>
            </w:r>
          </w:p>
        </w:tc>
      </w:tr>
      <w:tr w:rsidR="00A8274E" w:rsidRPr="00AE5020" w14:paraId="0FEB4A13" w14:textId="77777777" w:rsidTr="001D10C8">
        <w:trPr>
          <w:trHeight w:val="24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0537AC1A" w14:textId="77777777" w:rsidR="00A8274E" w:rsidRPr="00AE5020" w:rsidRDefault="00A8274E" w:rsidP="001D10C8">
            <w:pPr>
              <w:rPr>
                <w:rFonts w:ascii="Calibri" w:eastAsia="Times New Roman" w:hAnsi="Calibri" w:cs="Calibri"/>
                <w:color w:val="000000"/>
                <w:sz w:val="18"/>
                <w:szCs w:val="18"/>
                <w:lang w:val="en-US"/>
              </w:rPr>
            </w:pPr>
            <w:r w:rsidRPr="00AE5020">
              <w:rPr>
                <w:rFonts w:ascii="Calibri" w:eastAsia="Times New Roman" w:hAnsi="Calibri" w:cs="Calibri"/>
                <w:color w:val="000000"/>
                <w:sz w:val="18"/>
                <w:szCs w:val="18"/>
                <w:lang w:val="en-US"/>
              </w:rPr>
              <w:t>19:46145025-46145025</w:t>
            </w:r>
          </w:p>
        </w:tc>
        <w:tc>
          <w:tcPr>
            <w:tcW w:w="1417" w:type="dxa"/>
            <w:tcBorders>
              <w:top w:val="nil"/>
              <w:left w:val="nil"/>
              <w:bottom w:val="single" w:sz="4" w:space="0" w:color="auto"/>
              <w:right w:val="single" w:sz="4" w:space="0" w:color="auto"/>
            </w:tcBorders>
            <w:shd w:val="clear" w:color="auto" w:fill="auto"/>
            <w:noWrap/>
            <w:vAlign w:val="bottom"/>
            <w:hideMark/>
          </w:tcPr>
          <w:p w14:paraId="43D20E07" w14:textId="77777777" w:rsidR="00A8274E" w:rsidRPr="00AE5020" w:rsidRDefault="00A8274E" w:rsidP="001D10C8">
            <w:pPr>
              <w:rPr>
                <w:rFonts w:ascii="Calibri" w:eastAsia="Times New Roman" w:hAnsi="Calibri" w:cs="Calibri"/>
                <w:b/>
                <w:i/>
                <w:sz w:val="18"/>
                <w:szCs w:val="18"/>
                <w:lang w:val="en-US"/>
              </w:rPr>
            </w:pPr>
            <w:r w:rsidRPr="00AE5020">
              <w:rPr>
                <w:rFonts w:ascii="Calibri" w:eastAsia="Times New Roman" w:hAnsi="Calibri" w:cs="Calibri"/>
                <w:b/>
                <w:i/>
                <w:sz w:val="18"/>
                <w:szCs w:val="18"/>
                <w:lang w:val="en-US"/>
              </w:rPr>
              <w:t>C19orf83</w:t>
            </w:r>
          </w:p>
        </w:tc>
        <w:tc>
          <w:tcPr>
            <w:tcW w:w="1229" w:type="dxa"/>
            <w:tcBorders>
              <w:top w:val="nil"/>
              <w:left w:val="nil"/>
              <w:bottom w:val="single" w:sz="4" w:space="0" w:color="auto"/>
              <w:right w:val="single" w:sz="4" w:space="0" w:color="auto"/>
            </w:tcBorders>
            <w:shd w:val="clear" w:color="auto" w:fill="auto"/>
            <w:noWrap/>
            <w:vAlign w:val="bottom"/>
            <w:hideMark/>
          </w:tcPr>
          <w:p w14:paraId="6C70FF4D" w14:textId="77777777" w:rsidR="00A8274E" w:rsidRPr="00AE5020" w:rsidRDefault="00A8274E" w:rsidP="001D10C8">
            <w:pPr>
              <w:jc w:val="right"/>
              <w:rPr>
                <w:rFonts w:ascii="Calibri" w:eastAsia="Times New Roman" w:hAnsi="Calibri" w:cs="Calibri"/>
                <w:color w:val="000000"/>
                <w:sz w:val="18"/>
                <w:szCs w:val="18"/>
                <w:lang w:val="en-US"/>
              </w:rPr>
            </w:pPr>
            <w:r w:rsidRPr="00AE5020">
              <w:rPr>
                <w:rFonts w:ascii="Calibri" w:eastAsia="Times New Roman" w:hAnsi="Calibri" w:cs="Calibri"/>
                <w:color w:val="000000"/>
                <w:sz w:val="18"/>
                <w:szCs w:val="18"/>
                <w:lang w:val="en-US"/>
              </w:rPr>
              <w:t>21.8</w:t>
            </w:r>
          </w:p>
        </w:tc>
        <w:tc>
          <w:tcPr>
            <w:tcW w:w="2032" w:type="dxa"/>
            <w:tcBorders>
              <w:top w:val="nil"/>
              <w:left w:val="nil"/>
              <w:bottom w:val="single" w:sz="4" w:space="0" w:color="auto"/>
              <w:right w:val="single" w:sz="4" w:space="0" w:color="auto"/>
            </w:tcBorders>
            <w:shd w:val="clear" w:color="auto" w:fill="auto"/>
            <w:noWrap/>
            <w:vAlign w:val="bottom"/>
            <w:hideMark/>
          </w:tcPr>
          <w:p w14:paraId="45FF283B" w14:textId="77777777" w:rsidR="00A8274E" w:rsidRPr="00AE5020" w:rsidRDefault="00A8274E" w:rsidP="001D10C8">
            <w:pPr>
              <w:rPr>
                <w:rFonts w:ascii="Calibri" w:eastAsia="Times New Roman" w:hAnsi="Calibri" w:cs="Calibri"/>
                <w:color w:val="000000"/>
                <w:sz w:val="18"/>
                <w:szCs w:val="18"/>
                <w:lang w:val="en-US"/>
              </w:rPr>
            </w:pPr>
            <w:proofErr w:type="spellStart"/>
            <w:r w:rsidRPr="00AE5020">
              <w:rPr>
                <w:rFonts w:ascii="Calibri" w:eastAsia="Times New Roman" w:hAnsi="Calibri" w:cs="Calibri"/>
                <w:color w:val="000000"/>
                <w:sz w:val="18"/>
                <w:szCs w:val="18"/>
                <w:lang w:val="en-US"/>
              </w:rPr>
              <w:t>splice_donor_variant</w:t>
            </w:r>
            <w:proofErr w:type="spellEnd"/>
          </w:p>
        </w:tc>
        <w:tc>
          <w:tcPr>
            <w:tcW w:w="850" w:type="dxa"/>
            <w:tcBorders>
              <w:top w:val="nil"/>
              <w:left w:val="nil"/>
              <w:bottom w:val="single" w:sz="4" w:space="0" w:color="auto"/>
              <w:right w:val="single" w:sz="4" w:space="0" w:color="auto"/>
            </w:tcBorders>
            <w:shd w:val="clear" w:color="auto" w:fill="auto"/>
            <w:noWrap/>
            <w:vAlign w:val="bottom"/>
            <w:hideMark/>
          </w:tcPr>
          <w:p w14:paraId="68B731A1"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0.71</w:t>
            </w:r>
          </w:p>
        </w:tc>
        <w:tc>
          <w:tcPr>
            <w:tcW w:w="709" w:type="dxa"/>
            <w:tcBorders>
              <w:top w:val="nil"/>
              <w:left w:val="nil"/>
              <w:bottom w:val="single" w:sz="4" w:space="0" w:color="auto"/>
              <w:right w:val="single" w:sz="4" w:space="0" w:color="auto"/>
            </w:tcBorders>
            <w:shd w:val="clear" w:color="auto" w:fill="auto"/>
            <w:noWrap/>
            <w:vAlign w:val="bottom"/>
            <w:hideMark/>
          </w:tcPr>
          <w:p w14:paraId="56F7D14B"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0.77</w:t>
            </w:r>
          </w:p>
        </w:tc>
        <w:tc>
          <w:tcPr>
            <w:tcW w:w="1016" w:type="dxa"/>
            <w:tcBorders>
              <w:top w:val="nil"/>
              <w:left w:val="nil"/>
              <w:bottom w:val="single" w:sz="4" w:space="0" w:color="auto"/>
              <w:right w:val="single" w:sz="4" w:space="0" w:color="auto"/>
            </w:tcBorders>
            <w:shd w:val="clear" w:color="auto" w:fill="auto"/>
            <w:noWrap/>
            <w:vAlign w:val="bottom"/>
            <w:hideMark/>
          </w:tcPr>
          <w:p w14:paraId="7C2501FC"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0.73</w:t>
            </w:r>
          </w:p>
        </w:tc>
        <w:tc>
          <w:tcPr>
            <w:tcW w:w="868" w:type="dxa"/>
            <w:tcBorders>
              <w:top w:val="nil"/>
              <w:left w:val="nil"/>
              <w:bottom w:val="single" w:sz="4" w:space="0" w:color="auto"/>
              <w:right w:val="single" w:sz="4" w:space="0" w:color="auto"/>
            </w:tcBorders>
            <w:shd w:val="clear" w:color="auto" w:fill="auto"/>
            <w:noWrap/>
            <w:vAlign w:val="bottom"/>
            <w:hideMark/>
          </w:tcPr>
          <w:p w14:paraId="32CA1549"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0.88</w:t>
            </w:r>
          </w:p>
        </w:tc>
        <w:tc>
          <w:tcPr>
            <w:tcW w:w="833" w:type="dxa"/>
            <w:tcBorders>
              <w:top w:val="nil"/>
              <w:left w:val="nil"/>
              <w:bottom w:val="single" w:sz="4" w:space="0" w:color="auto"/>
              <w:right w:val="single" w:sz="4" w:space="0" w:color="auto"/>
            </w:tcBorders>
            <w:shd w:val="clear" w:color="auto" w:fill="auto"/>
            <w:noWrap/>
            <w:vAlign w:val="bottom"/>
            <w:hideMark/>
          </w:tcPr>
          <w:p w14:paraId="0D9F6B36"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0.66</w:t>
            </w:r>
          </w:p>
        </w:tc>
        <w:tc>
          <w:tcPr>
            <w:tcW w:w="726" w:type="dxa"/>
            <w:tcBorders>
              <w:top w:val="nil"/>
              <w:left w:val="nil"/>
              <w:bottom w:val="single" w:sz="4" w:space="0" w:color="auto"/>
              <w:right w:val="single" w:sz="4" w:space="0" w:color="auto"/>
            </w:tcBorders>
            <w:shd w:val="clear" w:color="auto" w:fill="auto"/>
            <w:noWrap/>
            <w:vAlign w:val="bottom"/>
            <w:hideMark/>
          </w:tcPr>
          <w:p w14:paraId="37E0BA5A"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0.88</w:t>
            </w:r>
          </w:p>
        </w:tc>
        <w:tc>
          <w:tcPr>
            <w:tcW w:w="891" w:type="dxa"/>
            <w:tcBorders>
              <w:top w:val="nil"/>
              <w:left w:val="nil"/>
              <w:bottom w:val="single" w:sz="4" w:space="0" w:color="auto"/>
              <w:right w:val="single" w:sz="4" w:space="0" w:color="auto"/>
            </w:tcBorders>
            <w:shd w:val="clear" w:color="auto" w:fill="auto"/>
            <w:noWrap/>
            <w:vAlign w:val="bottom"/>
            <w:hideMark/>
          </w:tcPr>
          <w:p w14:paraId="4359F054"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0.88</w:t>
            </w:r>
          </w:p>
        </w:tc>
        <w:tc>
          <w:tcPr>
            <w:tcW w:w="825" w:type="dxa"/>
            <w:tcBorders>
              <w:top w:val="nil"/>
              <w:left w:val="nil"/>
              <w:bottom w:val="single" w:sz="4" w:space="0" w:color="auto"/>
              <w:right w:val="single" w:sz="4" w:space="0" w:color="auto"/>
            </w:tcBorders>
            <w:shd w:val="clear" w:color="auto" w:fill="auto"/>
            <w:noWrap/>
            <w:vAlign w:val="bottom"/>
            <w:hideMark/>
          </w:tcPr>
          <w:p w14:paraId="6C6593FD"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0.79</w:t>
            </w:r>
          </w:p>
        </w:tc>
      </w:tr>
      <w:tr w:rsidR="00A8274E" w:rsidRPr="00AE5020" w14:paraId="5BA25D54" w14:textId="77777777" w:rsidTr="001D10C8">
        <w:trPr>
          <w:trHeight w:val="24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50856370" w14:textId="77777777" w:rsidR="00A8274E" w:rsidRPr="00AE5020" w:rsidRDefault="00A8274E" w:rsidP="001D10C8">
            <w:pPr>
              <w:rPr>
                <w:rFonts w:ascii="Calibri" w:eastAsia="Times New Roman" w:hAnsi="Calibri" w:cs="Calibri"/>
                <w:color w:val="000000"/>
                <w:sz w:val="18"/>
                <w:szCs w:val="18"/>
                <w:lang w:val="en-US"/>
              </w:rPr>
            </w:pPr>
            <w:r w:rsidRPr="00AE5020">
              <w:rPr>
                <w:rFonts w:ascii="Calibri" w:eastAsia="Times New Roman" w:hAnsi="Calibri" w:cs="Calibri"/>
                <w:color w:val="000000"/>
                <w:sz w:val="18"/>
                <w:szCs w:val="18"/>
                <w:lang w:val="en-US"/>
              </w:rPr>
              <w:t>14:57948380-57948380</w:t>
            </w:r>
          </w:p>
        </w:tc>
        <w:tc>
          <w:tcPr>
            <w:tcW w:w="1417" w:type="dxa"/>
            <w:tcBorders>
              <w:top w:val="nil"/>
              <w:left w:val="nil"/>
              <w:bottom w:val="single" w:sz="4" w:space="0" w:color="auto"/>
              <w:right w:val="single" w:sz="4" w:space="0" w:color="auto"/>
            </w:tcBorders>
            <w:shd w:val="clear" w:color="auto" w:fill="auto"/>
            <w:noWrap/>
            <w:vAlign w:val="bottom"/>
            <w:hideMark/>
          </w:tcPr>
          <w:p w14:paraId="2844A3CB" w14:textId="77777777" w:rsidR="00A8274E" w:rsidRPr="00AE5020" w:rsidRDefault="00A8274E" w:rsidP="001D10C8">
            <w:pPr>
              <w:rPr>
                <w:rFonts w:ascii="Calibri" w:eastAsia="Times New Roman" w:hAnsi="Calibri" w:cs="Calibri"/>
                <w:b/>
                <w:i/>
                <w:sz w:val="18"/>
                <w:szCs w:val="18"/>
                <w:lang w:val="en-US"/>
              </w:rPr>
            </w:pPr>
            <w:r w:rsidRPr="00AE5020">
              <w:rPr>
                <w:rFonts w:ascii="Calibri" w:eastAsia="Times New Roman" w:hAnsi="Calibri" w:cs="Calibri"/>
                <w:b/>
                <w:i/>
                <w:sz w:val="18"/>
                <w:szCs w:val="18"/>
                <w:lang w:val="en-US"/>
              </w:rPr>
              <w:t>C14orf105</w:t>
            </w:r>
          </w:p>
        </w:tc>
        <w:tc>
          <w:tcPr>
            <w:tcW w:w="1229" w:type="dxa"/>
            <w:tcBorders>
              <w:top w:val="nil"/>
              <w:left w:val="nil"/>
              <w:bottom w:val="single" w:sz="4" w:space="0" w:color="auto"/>
              <w:right w:val="single" w:sz="4" w:space="0" w:color="auto"/>
            </w:tcBorders>
            <w:shd w:val="clear" w:color="auto" w:fill="auto"/>
            <w:noWrap/>
            <w:vAlign w:val="bottom"/>
            <w:hideMark/>
          </w:tcPr>
          <w:p w14:paraId="6C4C6FFF" w14:textId="77777777" w:rsidR="00A8274E" w:rsidRPr="00AE5020" w:rsidRDefault="00A8274E" w:rsidP="001D10C8">
            <w:pPr>
              <w:jc w:val="right"/>
              <w:rPr>
                <w:rFonts w:ascii="Calibri" w:eastAsia="Times New Roman" w:hAnsi="Calibri" w:cs="Calibri"/>
                <w:color w:val="000000"/>
                <w:sz w:val="18"/>
                <w:szCs w:val="18"/>
                <w:lang w:val="en-US"/>
              </w:rPr>
            </w:pPr>
            <w:r w:rsidRPr="00AE5020">
              <w:rPr>
                <w:rFonts w:ascii="Calibri" w:eastAsia="Times New Roman" w:hAnsi="Calibri" w:cs="Calibri"/>
                <w:color w:val="000000"/>
                <w:sz w:val="18"/>
                <w:szCs w:val="18"/>
                <w:lang w:val="en-US"/>
              </w:rPr>
              <w:t>26.9</w:t>
            </w:r>
          </w:p>
        </w:tc>
        <w:tc>
          <w:tcPr>
            <w:tcW w:w="2032" w:type="dxa"/>
            <w:tcBorders>
              <w:top w:val="nil"/>
              <w:left w:val="nil"/>
              <w:bottom w:val="single" w:sz="4" w:space="0" w:color="auto"/>
              <w:right w:val="single" w:sz="4" w:space="0" w:color="auto"/>
            </w:tcBorders>
            <w:shd w:val="clear" w:color="auto" w:fill="auto"/>
            <w:noWrap/>
            <w:vAlign w:val="bottom"/>
            <w:hideMark/>
          </w:tcPr>
          <w:p w14:paraId="4B716DE4" w14:textId="77777777" w:rsidR="00A8274E" w:rsidRPr="00AE5020" w:rsidRDefault="00A8274E" w:rsidP="001D10C8">
            <w:pPr>
              <w:rPr>
                <w:rFonts w:ascii="Calibri" w:eastAsia="Times New Roman" w:hAnsi="Calibri" w:cs="Calibri"/>
                <w:color w:val="000000"/>
                <w:sz w:val="18"/>
                <w:szCs w:val="18"/>
                <w:lang w:val="en-US"/>
              </w:rPr>
            </w:pPr>
            <w:proofErr w:type="spellStart"/>
            <w:r w:rsidRPr="00AE5020">
              <w:rPr>
                <w:rFonts w:ascii="Calibri" w:eastAsia="Times New Roman" w:hAnsi="Calibri" w:cs="Calibri"/>
                <w:color w:val="000000"/>
                <w:sz w:val="18"/>
                <w:szCs w:val="18"/>
                <w:lang w:val="en-US"/>
              </w:rPr>
              <w:t>splice_acceptor_variant</w:t>
            </w:r>
            <w:proofErr w:type="spellEnd"/>
          </w:p>
        </w:tc>
        <w:tc>
          <w:tcPr>
            <w:tcW w:w="850" w:type="dxa"/>
            <w:tcBorders>
              <w:top w:val="nil"/>
              <w:left w:val="nil"/>
              <w:bottom w:val="single" w:sz="4" w:space="0" w:color="auto"/>
              <w:right w:val="single" w:sz="4" w:space="0" w:color="auto"/>
            </w:tcBorders>
            <w:shd w:val="clear" w:color="auto" w:fill="auto"/>
            <w:noWrap/>
            <w:vAlign w:val="bottom"/>
            <w:hideMark/>
          </w:tcPr>
          <w:p w14:paraId="59919F04"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0.71</w:t>
            </w:r>
          </w:p>
        </w:tc>
        <w:tc>
          <w:tcPr>
            <w:tcW w:w="709" w:type="dxa"/>
            <w:tcBorders>
              <w:top w:val="nil"/>
              <w:left w:val="nil"/>
              <w:bottom w:val="single" w:sz="4" w:space="0" w:color="auto"/>
              <w:right w:val="single" w:sz="4" w:space="0" w:color="auto"/>
            </w:tcBorders>
            <w:shd w:val="clear" w:color="auto" w:fill="auto"/>
            <w:noWrap/>
            <w:vAlign w:val="bottom"/>
            <w:hideMark/>
          </w:tcPr>
          <w:p w14:paraId="428E3877"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0.75</w:t>
            </w:r>
          </w:p>
        </w:tc>
        <w:tc>
          <w:tcPr>
            <w:tcW w:w="1016" w:type="dxa"/>
            <w:tcBorders>
              <w:top w:val="nil"/>
              <w:left w:val="nil"/>
              <w:bottom w:val="single" w:sz="4" w:space="0" w:color="auto"/>
              <w:right w:val="single" w:sz="4" w:space="0" w:color="auto"/>
            </w:tcBorders>
            <w:shd w:val="clear" w:color="auto" w:fill="auto"/>
            <w:noWrap/>
            <w:vAlign w:val="bottom"/>
            <w:hideMark/>
          </w:tcPr>
          <w:p w14:paraId="6519092A"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0.78</w:t>
            </w:r>
          </w:p>
        </w:tc>
        <w:tc>
          <w:tcPr>
            <w:tcW w:w="868" w:type="dxa"/>
            <w:tcBorders>
              <w:top w:val="nil"/>
              <w:left w:val="nil"/>
              <w:bottom w:val="single" w:sz="4" w:space="0" w:color="auto"/>
              <w:right w:val="single" w:sz="4" w:space="0" w:color="auto"/>
            </w:tcBorders>
            <w:shd w:val="clear" w:color="auto" w:fill="auto"/>
            <w:noWrap/>
            <w:vAlign w:val="bottom"/>
            <w:hideMark/>
          </w:tcPr>
          <w:p w14:paraId="0C818B98"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0.78</w:t>
            </w:r>
          </w:p>
        </w:tc>
        <w:tc>
          <w:tcPr>
            <w:tcW w:w="833" w:type="dxa"/>
            <w:tcBorders>
              <w:top w:val="nil"/>
              <w:left w:val="nil"/>
              <w:bottom w:val="single" w:sz="4" w:space="0" w:color="auto"/>
              <w:right w:val="single" w:sz="4" w:space="0" w:color="auto"/>
            </w:tcBorders>
            <w:shd w:val="clear" w:color="auto" w:fill="auto"/>
            <w:noWrap/>
            <w:vAlign w:val="bottom"/>
            <w:hideMark/>
          </w:tcPr>
          <w:p w14:paraId="60D4F8F2"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0.66</w:t>
            </w:r>
          </w:p>
        </w:tc>
        <w:tc>
          <w:tcPr>
            <w:tcW w:w="726" w:type="dxa"/>
            <w:tcBorders>
              <w:top w:val="nil"/>
              <w:left w:val="nil"/>
              <w:bottom w:val="single" w:sz="4" w:space="0" w:color="auto"/>
              <w:right w:val="single" w:sz="4" w:space="0" w:color="auto"/>
            </w:tcBorders>
            <w:shd w:val="clear" w:color="auto" w:fill="auto"/>
            <w:noWrap/>
            <w:vAlign w:val="bottom"/>
            <w:hideMark/>
          </w:tcPr>
          <w:p w14:paraId="655F34A1"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0.94</w:t>
            </w:r>
          </w:p>
        </w:tc>
        <w:tc>
          <w:tcPr>
            <w:tcW w:w="891" w:type="dxa"/>
            <w:tcBorders>
              <w:top w:val="nil"/>
              <w:left w:val="nil"/>
              <w:bottom w:val="single" w:sz="4" w:space="0" w:color="auto"/>
              <w:right w:val="single" w:sz="4" w:space="0" w:color="auto"/>
            </w:tcBorders>
            <w:shd w:val="clear" w:color="auto" w:fill="auto"/>
            <w:noWrap/>
            <w:vAlign w:val="bottom"/>
            <w:hideMark/>
          </w:tcPr>
          <w:p w14:paraId="1072E0BA"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0.72</w:t>
            </w:r>
          </w:p>
        </w:tc>
        <w:tc>
          <w:tcPr>
            <w:tcW w:w="825" w:type="dxa"/>
            <w:tcBorders>
              <w:top w:val="nil"/>
              <w:left w:val="nil"/>
              <w:bottom w:val="single" w:sz="4" w:space="0" w:color="auto"/>
              <w:right w:val="single" w:sz="4" w:space="0" w:color="auto"/>
            </w:tcBorders>
            <w:shd w:val="clear" w:color="auto" w:fill="auto"/>
            <w:noWrap/>
            <w:vAlign w:val="bottom"/>
            <w:hideMark/>
          </w:tcPr>
          <w:p w14:paraId="22240A0D"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0.77</w:t>
            </w:r>
          </w:p>
        </w:tc>
      </w:tr>
      <w:tr w:rsidR="00A8274E" w:rsidRPr="00AE5020" w14:paraId="5883D0AD" w14:textId="77777777" w:rsidTr="001D10C8">
        <w:trPr>
          <w:trHeight w:val="24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7EE339BA" w14:textId="77777777" w:rsidR="00A8274E" w:rsidRPr="00AE5020" w:rsidRDefault="00A8274E" w:rsidP="001D10C8">
            <w:pPr>
              <w:rPr>
                <w:rFonts w:ascii="Calibri" w:eastAsia="Times New Roman" w:hAnsi="Calibri" w:cs="Calibri"/>
                <w:color w:val="000000"/>
                <w:sz w:val="18"/>
                <w:szCs w:val="18"/>
                <w:lang w:val="en-US"/>
              </w:rPr>
            </w:pPr>
            <w:r w:rsidRPr="00AE5020">
              <w:rPr>
                <w:rFonts w:ascii="Calibri" w:eastAsia="Times New Roman" w:hAnsi="Calibri" w:cs="Calibri"/>
                <w:color w:val="000000"/>
                <w:sz w:val="18"/>
                <w:szCs w:val="18"/>
                <w:lang w:val="en-US"/>
              </w:rPr>
              <w:t>18:3262784-3262784</w:t>
            </w:r>
          </w:p>
        </w:tc>
        <w:tc>
          <w:tcPr>
            <w:tcW w:w="1417" w:type="dxa"/>
            <w:tcBorders>
              <w:top w:val="nil"/>
              <w:left w:val="nil"/>
              <w:bottom w:val="single" w:sz="4" w:space="0" w:color="auto"/>
              <w:right w:val="single" w:sz="4" w:space="0" w:color="auto"/>
            </w:tcBorders>
            <w:shd w:val="clear" w:color="auto" w:fill="auto"/>
            <w:noWrap/>
            <w:vAlign w:val="bottom"/>
            <w:hideMark/>
          </w:tcPr>
          <w:p w14:paraId="6E2A8915" w14:textId="77777777" w:rsidR="00A8274E" w:rsidRPr="00AE5020" w:rsidRDefault="00A8274E" w:rsidP="001D10C8">
            <w:pPr>
              <w:rPr>
                <w:rFonts w:ascii="Calibri" w:eastAsia="Times New Roman" w:hAnsi="Calibri" w:cs="Calibri"/>
                <w:b/>
                <w:bCs/>
                <w:i/>
                <w:sz w:val="18"/>
                <w:szCs w:val="18"/>
                <w:lang w:val="en-US"/>
              </w:rPr>
            </w:pPr>
            <w:r w:rsidRPr="00AE5020">
              <w:rPr>
                <w:rFonts w:ascii="Calibri" w:eastAsia="Times New Roman" w:hAnsi="Calibri" w:cs="Calibri"/>
                <w:b/>
                <w:bCs/>
                <w:i/>
                <w:sz w:val="18"/>
                <w:szCs w:val="18"/>
                <w:lang w:val="en-US"/>
              </w:rPr>
              <w:t>MYL12B</w:t>
            </w:r>
          </w:p>
        </w:tc>
        <w:tc>
          <w:tcPr>
            <w:tcW w:w="1229" w:type="dxa"/>
            <w:tcBorders>
              <w:top w:val="nil"/>
              <w:left w:val="nil"/>
              <w:bottom w:val="single" w:sz="4" w:space="0" w:color="auto"/>
              <w:right w:val="single" w:sz="4" w:space="0" w:color="auto"/>
            </w:tcBorders>
            <w:shd w:val="clear" w:color="auto" w:fill="auto"/>
            <w:noWrap/>
            <w:vAlign w:val="bottom"/>
            <w:hideMark/>
          </w:tcPr>
          <w:p w14:paraId="70D9D5D9" w14:textId="77777777" w:rsidR="00A8274E" w:rsidRPr="00AE5020" w:rsidRDefault="00A8274E" w:rsidP="001D10C8">
            <w:pPr>
              <w:jc w:val="right"/>
              <w:rPr>
                <w:rFonts w:ascii="Calibri" w:eastAsia="Times New Roman" w:hAnsi="Calibri" w:cs="Calibri"/>
                <w:color w:val="000000"/>
                <w:sz w:val="18"/>
                <w:szCs w:val="18"/>
                <w:lang w:val="en-US"/>
              </w:rPr>
            </w:pPr>
            <w:r w:rsidRPr="00AE5020">
              <w:rPr>
                <w:rFonts w:ascii="Calibri" w:eastAsia="Times New Roman" w:hAnsi="Calibri" w:cs="Calibri"/>
                <w:color w:val="000000"/>
                <w:sz w:val="18"/>
                <w:szCs w:val="18"/>
                <w:lang w:val="en-US"/>
              </w:rPr>
              <w:t>14.43</w:t>
            </w:r>
          </w:p>
        </w:tc>
        <w:tc>
          <w:tcPr>
            <w:tcW w:w="2032" w:type="dxa"/>
            <w:tcBorders>
              <w:top w:val="nil"/>
              <w:left w:val="nil"/>
              <w:bottom w:val="single" w:sz="4" w:space="0" w:color="auto"/>
              <w:right w:val="single" w:sz="4" w:space="0" w:color="auto"/>
            </w:tcBorders>
            <w:shd w:val="clear" w:color="auto" w:fill="auto"/>
            <w:noWrap/>
            <w:vAlign w:val="bottom"/>
            <w:hideMark/>
          </w:tcPr>
          <w:p w14:paraId="6FEDE356" w14:textId="77777777" w:rsidR="00A8274E" w:rsidRPr="00AE5020" w:rsidRDefault="00A8274E" w:rsidP="001D10C8">
            <w:pPr>
              <w:rPr>
                <w:rFonts w:ascii="Calibri" w:eastAsia="Times New Roman" w:hAnsi="Calibri" w:cs="Calibri"/>
                <w:color w:val="000000"/>
                <w:sz w:val="18"/>
                <w:szCs w:val="18"/>
                <w:lang w:val="en-US"/>
              </w:rPr>
            </w:pPr>
            <w:proofErr w:type="spellStart"/>
            <w:r w:rsidRPr="00AE5020">
              <w:rPr>
                <w:rFonts w:ascii="Calibri" w:eastAsia="Times New Roman" w:hAnsi="Calibri" w:cs="Calibri"/>
                <w:color w:val="000000"/>
                <w:sz w:val="18"/>
                <w:szCs w:val="18"/>
                <w:lang w:val="en-US"/>
              </w:rPr>
              <w:t>splice_donor_variant</w:t>
            </w:r>
            <w:proofErr w:type="spellEnd"/>
          </w:p>
        </w:tc>
        <w:tc>
          <w:tcPr>
            <w:tcW w:w="850" w:type="dxa"/>
            <w:tcBorders>
              <w:top w:val="nil"/>
              <w:left w:val="nil"/>
              <w:bottom w:val="single" w:sz="4" w:space="0" w:color="auto"/>
              <w:right w:val="single" w:sz="4" w:space="0" w:color="auto"/>
            </w:tcBorders>
            <w:shd w:val="clear" w:color="auto" w:fill="auto"/>
            <w:noWrap/>
            <w:vAlign w:val="bottom"/>
            <w:hideMark/>
          </w:tcPr>
          <w:p w14:paraId="14373DAD"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0.92</w:t>
            </w:r>
          </w:p>
        </w:tc>
        <w:tc>
          <w:tcPr>
            <w:tcW w:w="709" w:type="dxa"/>
            <w:tcBorders>
              <w:top w:val="nil"/>
              <w:left w:val="nil"/>
              <w:bottom w:val="single" w:sz="4" w:space="0" w:color="auto"/>
              <w:right w:val="single" w:sz="4" w:space="0" w:color="auto"/>
            </w:tcBorders>
            <w:shd w:val="clear" w:color="auto" w:fill="auto"/>
            <w:noWrap/>
            <w:vAlign w:val="bottom"/>
            <w:hideMark/>
          </w:tcPr>
          <w:p w14:paraId="2645CAD3"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0.52</w:t>
            </w:r>
          </w:p>
        </w:tc>
        <w:tc>
          <w:tcPr>
            <w:tcW w:w="1016" w:type="dxa"/>
            <w:tcBorders>
              <w:top w:val="nil"/>
              <w:left w:val="nil"/>
              <w:bottom w:val="single" w:sz="4" w:space="0" w:color="auto"/>
              <w:right w:val="single" w:sz="4" w:space="0" w:color="auto"/>
            </w:tcBorders>
            <w:shd w:val="clear" w:color="auto" w:fill="auto"/>
            <w:noWrap/>
            <w:vAlign w:val="bottom"/>
            <w:hideMark/>
          </w:tcPr>
          <w:p w14:paraId="5E82C43C"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0.63</w:t>
            </w:r>
          </w:p>
        </w:tc>
        <w:tc>
          <w:tcPr>
            <w:tcW w:w="868" w:type="dxa"/>
            <w:tcBorders>
              <w:top w:val="nil"/>
              <w:left w:val="nil"/>
              <w:bottom w:val="single" w:sz="4" w:space="0" w:color="auto"/>
              <w:right w:val="single" w:sz="4" w:space="0" w:color="auto"/>
            </w:tcBorders>
            <w:shd w:val="clear" w:color="auto" w:fill="auto"/>
            <w:noWrap/>
            <w:vAlign w:val="bottom"/>
            <w:hideMark/>
          </w:tcPr>
          <w:p w14:paraId="59AF2BDB"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0.70</w:t>
            </w:r>
          </w:p>
        </w:tc>
        <w:tc>
          <w:tcPr>
            <w:tcW w:w="833" w:type="dxa"/>
            <w:tcBorders>
              <w:top w:val="nil"/>
              <w:left w:val="nil"/>
              <w:bottom w:val="single" w:sz="4" w:space="0" w:color="auto"/>
              <w:right w:val="single" w:sz="4" w:space="0" w:color="auto"/>
            </w:tcBorders>
            <w:shd w:val="clear" w:color="auto" w:fill="auto"/>
            <w:noWrap/>
            <w:vAlign w:val="bottom"/>
            <w:hideMark/>
          </w:tcPr>
          <w:p w14:paraId="30324647"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0.84</w:t>
            </w:r>
          </w:p>
        </w:tc>
        <w:tc>
          <w:tcPr>
            <w:tcW w:w="726" w:type="dxa"/>
            <w:tcBorders>
              <w:top w:val="nil"/>
              <w:left w:val="nil"/>
              <w:bottom w:val="single" w:sz="4" w:space="0" w:color="auto"/>
              <w:right w:val="single" w:sz="4" w:space="0" w:color="auto"/>
            </w:tcBorders>
            <w:shd w:val="clear" w:color="auto" w:fill="auto"/>
            <w:noWrap/>
            <w:vAlign w:val="bottom"/>
            <w:hideMark/>
          </w:tcPr>
          <w:p w14:paraId="13BEE3D8"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0.75</w:t>
            </w:r>
          </w:p>
        </w:tc>
        <w:tc>
          <w:tcPr>
            <w:tcW w:w="891" w:type="dxa"/>
            <w:tcBorders>
              <w:top w:val="nil"/>
              <w:left w:val="nil"/>
              <w:bottom w:val="single" w:sz="4" w:space="0" w:color="auto"/>
              <w:right w:val="single" w:sz="4" w:space="0" w:color="auto"/>
            </w:tcBorders>
            <w:shd w:val="clear" w:color="auto" w:fill="auto"/>
            <w:noWrap/>
            <w:vAlign w:val="bottom"/>
            <w:hideMark/>
          </w:tcPr>
          <w:p w14:paraId="1D3784FA"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0.66</w:t>
            </w:r>
          </w:p>
        </w:tc>
        <w:tc>
          <w:tcPr>
            <w:tcW w:w="825" w:type="dxa"/>
            <w:tcBorders>
              <w:top w:val="nil"/>
              <w:left w:val="nil"/>
              <w:bottom w:val="single" w:sz="4" w:space="0" w:color="auto"/>
              <w:right w:val="single" w:sz="4" w:space="0" w:color="auto"/>
            </w:tcBorders>
            <w:shd w:val="clear" w:color="auto" w:fill="auto"/>
            <w:noWrap/>
            <w:vAlign w:val="bottom"/>
            <w:hideMark/>
          </w:tcPr>
          <w:p w14:paraId="75F52470"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0.68</w:t>
            </w:r>
          </w:p>
        </w:tc>
      </w:tr>
      <w:tr w:rsidR="00A8274E" w:rsidRPr="00AE5020" w14:paraId="71F7A1A8" w14:textId="77777777" w:rsidTr="001D10C8">
        <w:trPr>
          <w:trHeight w:val="24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53E95D94" w14:textId="77777777" w:rsidR="00A8274E" w:rsidRPr="00AE5020" w:rsidRDefault="00A8274E" w:rsidP="001D10C8">
            <w:pPr>
              <w:rPr>
                <w:rFonts w:ascii="Calibri" w:eastAsia="Times New Roman" w:hAnsi="Calibri" w:cs="Calibri"/>
                <w:color w:val="000000"/>
                <w:sz w:val="18"/>
                <w:szCs w:val="18"/>
                <w:lang w:val="en-US"/>
              </w:rPr>
            </w:pPr>
            <w:r w:rsidRPr="00AE5020">
              <w:rPr>
                <w:rFonts w:ascii="Calibri" w:eastAsia="Times New Roman" w:hAnsi="Calibri" w:cs="Calibri"/>
                <w:color w:val="000000"/>
                <w:sz w:val="18"/>
                <w:szCs w:val="18"/>
                <w:lang w:val="en-US"/>
              </w:rPr>
              <w:t>X:142967468-142967468</w:t>
            </w:r>
          </w:p>
        </w:tc>
        <w:tc>
          <w:tcPr>
            <w:tcW w:w="1417" w:type="dxa"/>
            <w:tcBorders>
              <w:top w:val="nil"/>
              <w:left w:val="nil"/>
              <w:bottom w:val="single" w:sz="4" w:space="0" w:color="auto"/>
              <w:right w:val="single" w:sz="4" w:space="0" w:color="auto"/>
            </w:tcBorders>
            <w:shd w:val="clear" w:color="auto" w:fill="auto"/>
            <w:noWrap/>
            <w:vAlign w:val="bottom"/>
            <w:hideMark/>
          </w:tcPr>
          <w:p w14:paraId="3AB7E3B6" w14:textId="77777777" w:rsidR="00A8274E" w:rsidRPr="00AE5020" w:rsidRDefault="00A8274E" w:rsidP="001D10C8">
            <w:pPr>
              <w:rPr>
                <w:rFonts w:ascii="Calibri" w:eastAsia="Times New Roman" w:hAnsi="Calibri" w:cs="Calibri"/>
                <w:b/>
                <w:bCs/>
                <w:i/>
                <w:sz w:val="18"/>
                <w:szCs w:val="18"/>
                <w:lang w:val="en-US"/>
              </w:rPr>
            </w:pPr>
            <w:r w:rsidRPr="00AE5020">
              <w:rPr>
                <w:rFonts w:ascii="Calibri" w:eastAsia="Times New Roman" w:hAnsi="Calibri" w:cs="Calibri"/>
                <w:b/>
                <w:bCs/>
                <w:i/>
                <w:sz w:val="18"/>
                <w:szCs w:val="18"/>
                <w:lang w:val="en-US"/>
              </w:rPr>
              <w:t>UBE2NL</w:t>
            </w:r>
          </w:p>
        </w:tc>
        <w:tc>
          <w:tcPr>
            <w:tcW w:w="1229" w:type="dxa"/>
            <w:tcBorders>
              <w:top w:val="nil"/>
              <w:left w:val="nil"/>
              <w:bottom w:val="single" w:sz="4" w:space="0" w:color="auto"/>
              <w:right w:val="single" w:sz="4" w:space="0" w:color="auto"/>
            </w:tcBorders>
            <w:shd w:val="clear" w:color="auto" w:fill="auto"/>
            <w:noWrap/>
            <w:vAlign w:val="bottom"/>
            <w:hideMark/>
          </w:tcPr>
          <w:p w14:paraId="3BA79B01" w14:textId="77777777" w:rsidR="00A8274E" w:rsidRPr="00AE5020" w:rsidRDefault="00A8274E" w:rsidP="001D10C8">
            <w:pPr>
              <w:jc w:val="right"/>
              <w:rPr>
                <w:rFonts w:ascii="Calibri" w:eastAsia="Times New Roman" w:hAnsi="Calibri" w:cs="Calibri"/>
                <w:color w:val="000000"/>
                <w:sz w:val="18"/>
                <w:szCs w:val="18"/>
                <w:lang w:val="en-US"/>
              </w:rPr>
            </w:pPr>
            <w:r w:rsidRPr="00AE5020">
              <w:rPr>
                <w:rFonts w:ascii="Calibri" w:eastAsia="Times New Roman" w:hAnsi="Calibri" w:cs="Calibri"/>
                <w:color w:val="000000"/>
                <w:sz w:val="18"/>
                <w:szCs w:val="18"/>
                <w:lang w:val="en-US"/>
              </w:rPr>
              <w:t>34</w:t>
            </w:r>
          </w:p>
        </w:tc>
        <w:tc>
          <w:tcPr>
            <w:tcW w:w="2032" w:type="dxa"/>
            <w:tcBorders>
              <w:top w:val="nil"/>
              <w:left w:val="nil"/>
              <w:bottom w:val="single" w:sz="4" w:space="0" w:color="auto"/>
              <w:right w:val="single" w:sz="4" w:space="0" w:color="auto"/>
            </w:tcBorders>
            <w:shd w:val="clear" w:color="auto" w:fill="auto"/>
            <w:noWrap/>
            <w:vAlign w:val="bottom"/>
            <w:hideMark/>
          </w:tcPr>
          <w:p w14:paraId="27F23FB2" w14:textId="77777777" w:rsidR="00A8274E" w:rsidRPr="00AE5020" w:rsidRDefault="00A8274E" w:rsidP="001D10C8">
            <w:pPr>
              <w:rPr>
                <w:rFonts w:ascii="Calibri" w:eastAsia="Times New Roman" w:hAnsi="Calibri" w:cs="Calibri"/>
                <w:color w:val="000000"/>
                <w:sz w:val="18"/>
                <w:szCs w:val="18"/>
                <w:lang w:val="en-US"/>
              </w:rPr>
            </w:pPr>
            <w:proofErr w:type="spellStart"/>
            <w:r w:rsidRPr="00AE5020">
              <w:rPr>
                <w:rFonts w:ascii="Calibri" w:eastAsia="Times New Roman" w:hAnsi="Calibri" w:cs="Calibri"/>
                <w:color w:val="000000"/>
                <w:sz w:val="18"/>
                <w:szCs w:val="18"/>
                <w:lang w:val="en-US"/>
              </w:rPr>
              <w:t>stop_gained</w:t>
            </w:r>
            <w:proofErr w:type="spellEnd"/>
          </w:p>
        </w:tc>
        <w:tc>
          <w:tcPr>
            <w:tcW w:w="850" w:type="dxa"/>
            <w:tcBorders>
              <w:top w:val="nil"/>
              <w:left w:val="nil"/>
              <w:bottom w:val="single" w:sz="4" w:space="0" w:color="auto"/>
              <w:right w:val="single" w:sz="4" w:space="0" w:color="auto"/>
            </w:tcBorders>
            <w:shd w:val="clear" w:color="auto" w:fill="auto"/>
            <w:noWrap/>
            <w:vAlign w:val="bottom"/>
            <w:hideMark/>
          </w:tcPr>
          <w:p w14:paraId="13824A56"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0.71</w:t>
            </w:r>
          </w:p>
        </w:tc>
        <w:tc>
          <w:tcPr>
            <w:tcW w:w="709" w:type="dxa"/>
            <w:tcBorders>
              <w:top w:val="nil"/>
              <w:left w:val="nil"/>
              <w:bottom w:val="single" w:sz="4" w:space="0" w:color="auto"/>
              <w:right w:val="single" w:sz="4" w:space="0" w:color="auto"/>
            </w:tcBorders>
            <w:shd w:val="clear" w:color="auto" w:fill="auto"/>
            <w:noWrap/>
            <w:vAlign w:val="bottom"/>
            <w:hideMark/>
          </w:tcPr>
          <w:p w14:paraId="086A8157"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0.63</w:t>
            </w:r>
          </w:p>
        </w:tc>
        <w:tc>
          <w:tcPr>
            <w:tcW w:w="1016" w:type="dxa"/>
            <w:tcBorders>
              <w:top w:val="nil"/>
              <w:left w:val="nil"/>
              <w:bottom w:val="single" w:sz="4" w:space="0" w:color="auto"/>
              <w:right w:val="single" w:sz="4" w:space="0" w:color="auto"/>
            </w:tcBorders>
            <w:shd w:val="clear" w:color="auto" w:fill="auto"/>
            <w:noWrap/>
            <w:vAlign w:val="bottom"/>
            <w:hideMark/>
          </w:tcPr>
          <w:p w14:paraId="78F08DA4"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0.68</w:t>
            </w:r>
          </w:p>
        </w:tc>
        <w:tc>
          <w:tcPr>
            <w:tcW w:w="868" w:type="dxa"/>
            <w:tcBorders>
              <w:top w:val="nil"/>
              <w:left w:val="nil"/>
              <w:bottom w:val="single" w:sz="4" w:space="0" w:color="auto"/>
              <w:right w:val="single" w:sz="4" w:space="0" w:color="auto"/>
            </w:tcBorders>
            <w:shd w:val="clear" w:color="auto" w:fill="auto"/>
            <w:noWrap/>
            <w:vAlign w:val="bottom"/>
            <w:hideMark/>
          </w:tcPr>
          <w:p w14:paraId="3F76BEC5"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0.30</w:t>
            </w:r>
          </w:p>
        </w:tc>
        <w:tc>
          <w:tcPr>
            <w:tcW w:w="833" w:type="dxa"/>
            <w:tcBorders>
              <w:top w:val="nil"/>
              <w:left w:val="nil"/>
              <w:bottom w:val="single" w:sz="4" w:space="0" w:color="auto"/>
              <w:right w:val="single" w:sz="4" w:space="0" w:color="auto"/>
            </w:tcBorders>
            <w:shd w:val="clear" w:color="auto" w:fill="auto"/>
            <w:noWrap/>
            <w:vAlign w:val="bottom"/>
            <w:hideMark/>
          </w:tcPr>
          <w:p w14:paraId="49815E83"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0.53</w:t>
            </w:r>
          </w:p>
        </w:tc>
        <w:tc>
          <w:tcPr>
            <w:tcW w:w="726" w:type="dxa"/>
            <w:tcBorders>
              <w:top w:val="nil"/>
              <w:left w:val="nil"/>
              <w:bottom w:val="single" w:sz="4" w:space="0" w:color="auto"/>
              <w:right w:val="single" w:sz="4" w:space="0" w:color="auto"/>
            </w:tcBorders>
            <w:shd w:val="clear" w:color="auto" w:fill="auto"/>
            <w:noWrap/>
            <w:vAlign w:val="bottom"/>
            <w:hideMark/>
          </w:tcPr>
          <w:p w14:paraId="0313A45B"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0.69</w:t>
            </w:r>
          </w:p>
        </w:tc>
        <w:tc>
          <w:tcPr>
            <w:tcW w:w="891" w:type="dxa"/>
            <w:tcBorders>
              <w:top w:val="nil"/>
              <w:left w:val="nil"/>
              <w:bottom w:val="single" w:sz="4" w:space="0" w:color="auto"/>
              <w:right w:val="single" w:sz="4" w:space="0" w:color="auto"/>
            </w:tcBorders>
            <w:shd w:val="clear" w:color="auto" w:fill="auto"/>
            <w:noWrap/>
            <w:vAlign w:val="bottom"/>
            <w:hideMark/>
          </w:tcPr>
          <w:p w14:paraId="2394E597"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0.44</w:t>
            </w:r>
          </w:p>
        </w:tc>
        <w:tc>
          <w:tcPr>
            <w:tcW w:w="825" w:type="dxa"/>
            <w:tcBorders>
              <w:top w:val="nil"/>
              <w:left w:val="nil"/>
              <w:bottom w:val="single" w:sz="4" w:space="0" w:color="auto"/>
              <w:right w:val="single" w:sz="4" w:space="0" w:color="auto"/>
            </w:tcBorders>
            <w:shd w:val="clear" w:color="auto" w:fill="auto"/>
            <w:noWrap/>
            <w:vAlign w:val="bottom"/>
            <w:hideMark/>
          </w:tcPr>
          <w:p w14:paraId="2238A3FB"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0.56</w:t>
            </w:r>
          </w:p>
        </w:tc>
      </w:tr>
      <w:tr w:rsidR="00A8274E" w:rsidRPr="00AE5020" w14:paraId="7784300A" w14:textId="77777777" w:rsidTr="001D10C8">
        <w:trPr>
          <w:trHeight w:val="24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4401A331" w14:textId="77777777" w:rsidR="00A8274E" w:rsidRPr="00AE5020" w:rsidRDefault="00A8274E" w:rsidP="001D10C8">
            <w:pPr>
              <w:rPr>
                <w:rFonts w:ascii="Calibri" w:eastAsia="Times New Roman" w:hAnsi="Calibri" w:cs="Calibri"/>
                <w:color w:val="000000"/>
                <w:sz w:val="18"/>
                <w:szCs w:val="18"/>
                <w:lang w:val="en-US"/>
              </w:rPr>
            </w:pPr>
            <w:r w:rsidRPr="00AE5020">
              <w:rPr>
                <w:rFonts w:ascii="Calibri" w:eastAsia="Times New Roman" w:hAnsi="Calibri" w:cs="Calibri"/>
                <w:color w:val="000000"/>
                <w:sz w:val="18"/>
                <w:szCs w:val="18"/>
                <w:lang w:val="en-US"/>
              </w:rPr>
              <w:t>5:134782450-134782450</w:t>
            </w:r>
          </w:p>
        </w:tc>
        <w:tc>
          <w:tcPr>
            <w:tcW w:w="1417" w:type="dxa"/>
            <w:tcBorders>
              <w:top w:val="nil"/>
              <w:left w:val="nil"/>
              <w:bottom w:val="single" w:sz="4" w:space="0" w:color="auto"/>
              <w:right w:val="single" w:sz="4" w:space="0" w:color="auto"/>
            </w:tcBorders>
            <w:shd w:val="clear" w:color="auto" w:fill="auto"/>
            <w:noWrap/>
            <w:vAlign w:val="bottom"/>
            <w:hideMark/>
          </w:tcPr>
          <w:p w14:paraId="0DDE5DB4" w14:textId="77777777" w:rsidR="00A8274E" w:rsidRPr="00AE5020" w:rsidRDefault="00A8274E" w:rsidP="001D10C8">
            <w:pPr>
              <w:rPr>
                <w:rFonts w:ascii="Calibri" w:eastAsia="Times New Roman" w:hAnsi="Calibri" w:cs="Calibri"/>
                <w:b/>
                <w:bCs/>
                <w:i/>
                <w:sz w:val="18"/>
                <w:szCs w:val="18"/>
                <w:lang w:val="en-US"/>
              </w:rPr>
            </w:pPr>
            <w:r w:rsidRPr="00AE5020">
              <w:rPr>
                <w:rFonts w:ascii="Calibri" w:eastAsia="Times New Roman" w:hAnsi="Calibri" w:cs="Calibri"/>
                <w:b/>
                <w:bCs/>
                <w:i/>
                <w:sz w:val="18"/>
                <w:szCs w:val="18"/>
                <w:lang w:val="en-US"/>
              </w:rPr>
              <w:t>C5orf20</w:t>
            </w:r>
          </w:p>
        </w:tc>
        <w:tc>
          <w:tcPr>
            <w:tcW w:w="1229" w:type="dxa"/>
            <w:tcBorders>
              <w:top w:val="nil"/>
              <w:left w:val="nil"/>
              <w:bottom w:val="single" w:sz="4" w:space="0" w:color="auto"/>
              <w:right w:val="single" w:sz="4" w:space="0" w:color="auto"/>
            </w:tcBorders>
            <w:shd w:val="clear" w:color="auto" w:fill="auto"/>
            <w:noWrap/>
            <w:vAlign w:val="bottom"/>
            <w:hideMark/>
          </w:tcPr>
          <w:p w14:paraId="26BD8022" w14:textId="77777777" w:rsidR="00A8274E" w:rsidRPr="00AE5020" w:rsidRDefault="00A8274E" w:rsidP="001D10C8">
            <w:pPr>
              <w:jc w:val="right"/>
              <w:rPr>
                <w:rFonts w:ascii="Calibri" w:eastAsia="Times New Roman" w:hAnsi="Calibri" w:cs="Calibri"/>
                <w:color w:val="000000"/>
                <w:sz w:val="18"/>
                <w:szCs w:val="18"/>
                <w:lang w:val="en-US"/>
              </w:rPr>
            </w:pPr>
            <w:r w:rsidRPr="00AE5020">
              <w:rPr>
                <w:rFonts w:ascii="Calibri" w:eastAsia="Times New Roman" w:hAnsi="Calibri" w:cs="Calibri"/>
                <w:color w:val="000000"/>
                <w:sz w:val="18"/>
                <w:szCs w:val="18"/>
                <w:lang w:val="en-US"/>
              </w:rPr>
              <w:t>-</w:t>
            </w:r>
          </w:p>
        </w:tc>
        <w:tc>
          <w:tcPr>
            <w:tcW w:w="2032" w:type="dxa"/>
            <w:tcBorders>
              <w:top w:val="nil"/>
              <w:left w:val="nil"/>
              <w:bottom w:val="single" w:sz="4" w:space="0" w:color="auto"/>
              <w:right w:val="single" w:sz="4" w:space="0" w:color="auto"/>
            </w:tcBorders>
            <w:shd w:val="clear" w:color="auto" w:fill="auto"/>
            <w:noWrap/>
            <w:vAlign w:val="bottom"/>
            <w:hideMark/>
          </w:tcPr>
          <w:p w14:paraId="4EE9659A" w14:textId="77777777" w:rsidR="00A8274E" w:rsidRPr="00AE5020" w:rsidRDefault="00A8274E" w:rsidP="001D10C8">
            <w:pPr>
              <w:rPr>
                <w:rFonts w:ascii="Calibri" w:eastAsia="Times New Roman" w:hAnsi="Calibri" w:cs="Calibri"/>
                <w:color w:val="000000"/>
                <w:sz w:val="18"/>
                <w:szCs w:val="18"/>
                <w:lang w:val="en-US"/>
              </w:rPr>
            </w:pPr>
            <w:proofErr w:type="spellStart"/>
            <w:r w:rsidRPr="00AE5020">
              <w:rPr>
                <w:rFonts w:ascii="Calibri" w:eastAsia="Times New Roman" w:hAnsi="Calibri" w:cs="Calibri"/>
                <w:color w:val="000000"/>
                <w:sz w:val="18"/>
                <w:szCs w:val="18"/>
                <w:lang w:val="en-US"/>
              </w:rPr>
              <w:t>stop_gained</w:t>
            </w:r>
            <w:proofErr w:type="spellEnd"/>
          </w:p>
        </w:tc>
        <w:tc>
          <w:tcPr>
            <w:tcW w:w="850" w:type="dxa"/>
            <w:tcBorders>
              <w:top w:val="nil"/>
              <w:left w:val="nil"/>
              <w:bottom w:val="single" w:sz="4" w:space="0" w:color="auto"/>
              <w:right w:val="single" w:sz="4" w:space="0" w:color="auto"/>
            </w:tcBorders>
            <w:shd w:val="clear" w:color="auto" w:fill="auto"/>
            <w:noWrap/>
            <w:vAlign w:val="bottom"/>
            <w:hideMark/>
          </w:tcPr>
          <w:p w14:paraId="6AEBA932"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0.79</w:t>
            </w:r>
          </w:p>
        </w:tc>
        <w:tc>
          <w:tcPr>
            <w:tcW w:w="709" w:type="dxa"/>
            <w:tcBorders>
              <w:top w:val="nil"/>
              <w:left w:val="nil"/>
              <w:bottom w:val="single" w:sz="4" w:space="0" w:color="auto"/>
              <w:right w:val="single" w:sz="4" w:space="0" w:color="auto"/>
            </w:tcBorders>
            <w:shd w:val="clear" w:color="auto" w:fill="auto"/>
            <w:noWrap/>
            <w:vAlign w:val="bottom"/>
            <w:hideMark/>
          </w:tcPr>
          <w:p w14:paraId="6DC6E4B6"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0.32</w:t>
            </w:r>
          </w:p>
        </w:tc>
        <w:tc>
          <w:tcPr>
            <w:tcW w:w="1016" w:type="dxa"/>
            <w:tcBorders>
              <w:top w:val="nil"/>
              <w:left w:val="nil"/>
              <w:bottom w:val="single" w:sz="4" w:space="0" w:color="auto"/>
              <w:right w:val="single" w:sz="4" w:space="0" w:color="auto"/>
            </w:tcBorders>
            <w:shd w:val="clear" w:color="auto" w:fill="auto"/>
            <w:noWrap/>
            <w:vAlign w:val="bottom"/>
            <w:hideMark/>
          </w:tcPr>
          <w:p w14:paraId="02411C92"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0.50</w:t>
            </w:r>
          </w:p>
        </w:tc>
        <w:tc>
          <w:tcPr>
            <w:tcW w:w="868" w:type="dxa"/>
            <w:tcBorders>
              <w:top w:val="nil"/>
              <w:left w:val="nil"/>
              <w:bottom w:val="single" w:sz="4" w:space="0" w:color="auto"/>
              <w:right w:val="single" w:sz="4" w:space="0" w:color="auto"/>
            </w:tcBorders>
            <w:shd w:val="clear" w:color="auto" w:fill="auto"/>
            <w:noWrap/>
            <w:vAlign w:val="bottom"/>
            <w:hideMark/>
          </w:tcPr>
          <w:p w14:paraId="16F1C9A9"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0.53</w:t>
            </w:r>
          </w:p>
        </w:tc>
        <w:tc>
          <w:tcPr>
            <w:tcW w:w="833" w:type="dxa"/>
            <w:tcBorders>
              <w:top w:val="nil"/>
              <w:left w:val="nil"/>
              <w:bottom w:val="single" w:sz="4" w:space="0" w:color="auto"/>
              <w:right w:val="single" w:sz="4" w:space="0" w:color="auto"/>
            </w:tcBorders>
            <w:shd w:val="clear" w:color="auto" w:fill="auto"/>
            <w:noWrap/>
            <w:vAlign w:val="bottom"/>
            <w:hideMark/>
          </w:tcPr>
          <w:p w14:paraId="54D209D9"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0.56</w:t>
            </w:r>
          </w:p>
        </w:tc>
        <w:tc>
          <w:tcPr>
            <w:tcW w:w="726" w:type="dxa"/>
            <w:tcBorders>
              <w:top w:val="nil"/>
              <w:left w:val="nil"/>
              <w:bottom w:val="single" w:sz="4" w:space="0" w:color="auto"/>
              <w:right w:val="single" w:sz="4" w:space="0" w:color="auto"/>
            </w:tcBorders>
            <w:shd w:val="clear" w:color="auto" w:fill="auto"/>
            <w:noWrap/>
            <w:vAlign w:val="bottom"/>
            <w:hideMark/>
          </w:tcPr>
          <w:p w14:paraId="18D0B62E"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0.53</w:t>
            </w:r>
          </w:p>
        </w:tc>
        <w:tc>
          <w:tcPr>
            <w:tcW w:w="891" w:type="dxa"/>
            <w:tcBorders>
              <w:top w:val="nil"/>
              <w:left w:val="nil"/>
              <w:bottom w:val="single" w:sz="4" w:space="0" w:color="auto"/>
              <w:right w:val="single" w:sz="4" w:space="0" w:color="auto"/>
            </w:tcBorders>
            <w:shd w:val="clear" w:color="auto" w:fill="auto"/>
            <w:noWrap/>
            <w:vAlign w:val="bottom"/>
            <w:hideMark/>
          </w:tcPr>
          <w:p w14:paraId="19E9CF37"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0.63</w:t>
            </w:r>
          </w:p>
        </w:tc>
        <w:tc>
          <w:tcPr>
            <w:tcW w:w="825" w:type="dxa"/>
            <w:tcBorders>
              <w:top w:val="nil"/>
              <w:left w:val="nil"/>
              <w:bottom w:val="single" w:sz="4" w:space="0" w:color="auto"/>
              <w:right w:val="single" w:sz="4" w:space="0" w:color="auto"/>
            </w:tcBorders>
            <w:shd w:val="clear" w:color="auto" w:fill="auto"/>
            <w:noWrap/>
            <w:vAlign w:val="bottom"/>
            <w:hideMark/>
          </w:tcPr>
          <w:p w14:paraId="39BF35EA"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0.52</w:t>
            </w:r>
          </w:p>
        </w:tc>
      </w:tr>
      <w:tr w:rsidR="00A8274E" w:rsidRPr="00AE5020" w14:paraId="04CC1374" w14:textId="77777777" w:rsidTr="001D10C8">
        <w:trPr>
          <w:trHeight w:val="24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2533EE43" w14:textId="77777777" w:rsidR="00A8274E" w:rsidRPr="00AE5020" w:rsidRDefault="00A8274E" w:rsidP="001D10C8">
            <w:pPr>
              <w:rPr>
                <w:rFonts w:ascii="Calibri" w:eastAsia="Times New Roman" w:hAnsi="Calibri" w:cs="Calibri"/>
                <w:color w:val="000000"/>
                <w:sz w:val="18"/>
                <w:szCs w:val="18"/>
                <w:lang w:val="en-US"/>
              </w:rPr>
            </w:pPr>
            <w:r w:rsidRPr="00AE5020">
              <w:rPr>
                <w:rFonts w:ascii="Calibri" w:eastAsia="Times New Roman" w:hAnsi="Calibri" w:cs="Calibri"/>
                <w:color w:val="000000"/>
                <w:sz w:val="18"/>
                <w:szCs w:val="18"/>
                <w:lang w:val="en-US"/>
              </w:rPr>
              <w:t>1:47080679-47080679</w:t>
            </w:r>
          </w:p>
        </w:tc>
        <w:tc>
          <w:tcPr>
            <w:tcW w:w="1417" w:type="dxa"/>
            <w:tcBorders>
              <w:top w:val="nil"/>
              <w:left w:val="nil"/>
              <w:bottom w:val="single" w:sz="4" w:space="0" w:color="auto"/>
              <w:right w:val="single" w:sz="4" w:space="0" w:color="auto"/>
            </w:tcBorders>
            <w:shd w:val="clear" w:color="auto" w:fill="auto"/>
            <w:noWrap/>
            <w:vAlign w:val="bottom"/>
            <w:hideMark/>
          </w:tcPr>
          <w:p w14:paraId="54485921" w14:textId="77777777" w:rsidR="00A8274E" w:rsidRPr="00AE5020" w:rsidRDefault="00A8274E" w:rsidP="001D10C8">
            <w:pPr>
              <w:rPr>
                <w:rFonts w:ascii="Calibri" w:eastAsia="Times New Roman" w:hAnsi="Calibri" w:cs="Calibri"/>
                <w:b/>
                <w:i/>
                <w:sz w:val="18"/>
                <w:szCs w:val="18"/>
                <w:lang w:val="en-US"/>
              </w:rPr>
            </w:pPr>
            <w:r w:rsidRPr="00AE5020">
              <w:rPr>
                <w:rFonts w:ascii="Calibri" w:eastAsia="Times New Roman" w:hAnsi="Calibri" w:cs="Calibri"/>
                <w:b/>
                <w:i/>
                <w:sz w:val="18"/>
                <w:szCs w:val="18"/>
                <w:lang w:val="en-US"/>
              </w:rPr>
              <w:t>MOB3C</w:t>
            </w:r>
          </w:p>
        </w:tc>
        <w:tc>
          <w:tcPr>
            <w:tcW w:w="1229" w:type="dxa"/>
            <w:tcBorders>
              <w:top w:val="nil"/>
              <w:left w:val="nil"/>
              <w:bottom w:val="single" w:sz="4" w:space="0" w:color="auto"/>
              <w:right w:val="single" w:sz="4" w:space="0" w:color="auto"/>
            </w:tcBorders>
            <w:shd w:val="clear" w:color="auto" w:fill="auto"/>
            <w:noWrap/>
            <w:vAlign w:val="bottom"/>
            <w:hideMark/>
          </w:tcPr>
          <w:p w14:paraId="76902A31" w14:textId="77777777" w:rsidR="00A8274E" w:rsidRPr="00AE5020" w:rsidRDefault="00A8274E" w:rsidP="001D10C8">
            <w:pPr>
              <w:jc w:val="right"/>
              <w:rPr>
                <w:rFonts w:ascii="Calibri" w:eastAsia="Times New Roman" w:hAnsi="Calibri" w:cs="Calibri"/>
                <w:color w:val="000000"/>
                <w:sz w:val="18"/>
                <w:szCs w:val="18"/>
                <w:lang w:val="en-US"/>
              </w:rPr>
            </w:pPr>
            <w:r w:rsidRPr="00AE5020">
              <w:rPr>
                <w:rFonts w:ascii="Calibri" w:eastAsia="Times New Roman" w:hAnsi="Calibri" w:cs="Calibri"/>
                <w:color w:val="000000"/>
                <w:sz w:val="18"/>
                <w:szCs w:val="18"/>
                <w:lang w:val="en-US"/>
              </w:rPr>
              <w:t>33</w:t>
            </w:r>
          </w:p>
        </w:tc>
        <w:tc>
          <w:tcPr>
            <w:tcW w:w="2032" w:type="dxa"/>
            <w:tcBorders>
              <w:top w:val="nil"/>
              <w:left w:val="nil"/>
              <w:bottom w:val="single" w:sz="4" w:space="0" w:color="auto"/>
              <w:right w:val="single" w:sz="4" w:space="0" w:color="auto"/>
            </w:tcBorders>
            <w:shd w:val="clear" w:color="auto" w:fill="auto"/>
            <w:noWrap/>
            <w:vAlign w:val="bottom"/>
            <w:hideMark/>
          </w:tcPr>
          <w:p w14:paraId="13AF8686" w14:textId="77777777" w:rsidR="00A8274E" w:rsidRPr="00AE5020" w:rsidRDefault="00A8274E" w:rsidP="001D10C8">
            <w:pPr>
              <w:rPr>
                <w:rFonts w:ascii="Calibri" w:eastAsia="Times New Roman" w:hAnsi="Calibri" w:cs="Calibri"/>
                <w:color w:val="000000"/>
                <w:sz w:val="18"/>
                <w:szCs w:val="18"/>
                <w:lang w:val="en-US"/>
              </w:rPr>
            </w:pPr>
            <w:proofErr w:type="spellStart"/>
            <w:r w:rsidRPr="00AE5020">
              <w:rPr>
                <w:rFonts w:ascii="Calibri" w:eastAsia="Times New Roman" w:hAnsi="Calibri" w:cs="Calibri"/>
                <w:color w:val="000000"/>
                <w:sz w:val="18"/>
                <w:szCs w:val="18"/>
                <w:lang w:val="en-US"/>
              </w:rPr>
              <w:t>stop_gained</w:t>
            </w:r>
            <w:proofErr w:type="spellEnd"/>
          </w:p>
        </w:tc>
        <w:tc>
          <w:tcPr>
            <w:tcW w:w="850" w:type="dxa"/>
            <w:tcBorders>
              <w:top w:val="nil"/>
              <w:left w:val="nil"/>
              <w:bottom w:val="single" w:sz="4" w:space="0" w:color="auto"/>
              <w:right w:val="single" w:sz="4" w:space="0" w:color="auto"/>
            </w:tcBorders>
            <w:shd w:val="clear" w:color="auto" w:fill="auto"/>
            <w:noWrap/>
            <w:vAlign w:val="bottom"/>
            <w:hideMark/>
          </w:tcPr>
          <w:p w14:paraId="4FC88BBC"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0.46</w:t>
            </w:r>
          </w:p>
        </w:tc>
        <w:tc>
          <w:tcPr>
            <w:tcW w:w="709" w:type="dxa"/>
            <w:tcBorders>
              <w:top w:val="nil"/>
              <w:left w:val="nil"/>
              <w:bottom w:val="single" w:sz="4" w:space="0" w:color="auto"/>
              <w:right w:val="single" w:sz="4" w:space="0" w:color="auto"/>
            </w:tcBorders>
            <w:shd w:val="clear" w:color="auto" w:fill="auto"/>
            <w:noWrap/>
            <w:vAlign w:val="bottom"/>
            <w:hideMark/>
          </w:tcPr>
          <w:p w14:paraId="5BA588F5"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0.70</w:t>
            </w:r>
          </w:p>
        </w:tc>
        <w:tc>
          <w:tcPr>
            <w:tcW w:w="1016" w:type="dxa"/>
            <w:tcBorders>
              <w:top w:val="nil"/>
              <w:left w:val="nil"/>
              <w:bottom w:val="single" w:sz="4" w:space="0" w:color="auto"/>
              <w:right w:val="single" w:sz="4" w:space="0" w:color="auto"/>
            </w:tcBorders>
            <w:shd w:val="clear" w:color="auto" w:fill="auto"/>
            <w:noWrap/>
            <w:vAlign w:val="bottom"/>
            <w:hideMark/>
          </w:tcPr>
          <w:p w14:paraId="7883FACA"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0.50</w:t>
            </w:r>
          </w:p>
        </w:tc>
        <w:tc>
          <w:tcPr>
            <w:tcW w:w="868" w:type="dxa"/>
            <w:tcBorders>
              <w:top w:val="nil"/>
              <w:left w:val="nil"/>
              <w:bottom w:val="single" w:sz="4" w:space="0" w:color="auto"/>
              <w:right w:val="single" w:sz="4" w:space="0" w:color="auto"/>
            </w:tcBorders>
            <w:shd w:val="clear" w:color="auto" w:fill="auto"/>
            <w:noWrap/>
            <w:vAlign w:val="bottom"/>
            <w:hideMark/>
          </w:tcPr>
          <w:p w14:paraId="7A3904C6"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0.47</w:t>
            </w:r>
          </w:p>
        </w:tc>
        <w:tc>
          <w:tcPr>
            <w:tcW w:w="833" w:type="dxa"/>
            <w:tcBorders>
              <w:top w:val="nil"/>
              <w:left w:val="nil"/>
              <w:bottom w:val="single" w:sz="4" w:space="0" w:color="auto"/>
              <w:right w:val="single" w:sz="4" w:space="0" w:color="auto"/>
            </w:tcBorders>
            <w:shd w:val="clear" w:color="auto" w:fill="auto"/>
            <w:noWrap/>
            <w:vAlign w:val="bottom"/>
            <w:hideMark/>
          </w:tcPr>
          <w:p w14:paraId="7879279F"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0.50</w:t>
            </w:r>
          </w:p>
        </w:tc>
        <w:tc>
          <w:tcPr>
            <w:tcW w:w="726" w:type="dxa"/>
            <w:tcBorders>
              <w:top w:val="nil"/>
              <w:left w:val="nil"/>
              <w:bottom w:val="single" w:sz="4" w:space="0" w:color="auto"/>
              <w:right w:val="single" w:sz="4" w:space="0" w:color="auto"/>
            </w:tcBorders>
            <w:shd w:val="clear" w:color="auto" w:fill="auto"/>
            <w:noWrap/>
            <w:vAlign w:val="bottom"/>
            <w:hideMark/>
          </w:tcPr>
          <w:p w14:paraId="5AF1FD2A"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0.25</w:t>
            </w:r>
          </w:p>
        </w:tc>
        <w:tc>
          <w:tcPr>
            <w:tcW w:w="891" w:type="dxa"/>
            <w:tcBorders>
              <w:top w:val="nil"/>
              <w:left w:val="nil"/>
              <w:bottom w:val="single" w:sz="4" w:space="0" w:color="auto"/>
              <w:right w:val="single" w:sz="4" w:space="0" w:color="auto"/>
            </w:tcBorders>
            <w:shd w:val="clear" w:color="auto" w:fill="auto"/>
            <w:noWrap/>
            <w:vAlign w:val="bottom"/>
            <w:hideMark/>
          </w:tcPr>
          <w:p w14:paraId="108A1E96"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0.53</w:t>
            </w:r>
          </w:p>
        </w:tc>
        <w:tc>
          <w:tcPr>
            <w:tcW w:w="825" w:type="dxa"/>
            <w:tcBorders>
              <w:top w:val="nil"/>
              <w:left w:val="nil"/>
              <w:bottom w:val="single" w:sz="4" w:space="0" w:color="auto"/>
              <w:right w:val="single" w:sz="4" w:space="0" w:color="auto"/>
            </w:tcBorders>
            <w:shd w:val="clear" w:color="auto" w:fill="auto"/>
            <w:noWrap/>
            <w:vAlign w:val="bottom"/>
            <w:hideMark/>
          </w:tcPr>
          <w:p w14:paraId="1DC40A4E"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0.51</w:t>
            </w:r>
          </w:p>
        </w:tc>
      </w:tr>
      <w:tr w:rsidR="00A8274E" w:rsidRPr="00AE5020" w14:paraId="28608411" w14:textId="77777777" w:rsidTr="001D10C8">
        <w:trPr>
          <w:trHeight w:val="24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2412F6B3" w14:textId="77777777" w:rsidR="00A8274E" w:rsidRPr="00AE5020" w:rsidRDefault="00A8274E" w:rsidP="001D10C8">
            <w:pPr>
              <w:rPr>
                <w:rFonts w:ascii="Calibri" w:eastAsia="Times New Roman" w:hAnsi="Calibri" w:cs="Calibri"/>
                <w:color w:val="000000"/>
                <w:sz w:val="18"/>
                <w:szCs w:val="18"/>
                <w:lang w:val="en-US"/>
              </w:rPr>
            </w:pPr>
            <w:r w:rsidRPr="00AE5020">
              <w:rPr>
                <w:rFonts w:ascii="Calibri" w:eastAsia="Times New Roman" w:hAnsi="Calibri" w:cs="Calibri"/>
                <w:color w:val="000000"/>
                <w:sz w:val="18"/>
                <w:szCs w:val="18"/>
                <w:lang w:val="en-US"/>
              </w:rPr>
              <w:t>16:85218723-85218723</w:t>
            </w:r>
          </w:p>
        </w:tc>
        <w:tc>
          <w:tcPr>
            <w:tcW w:w="1417" w:type="dxa"/>
            <w:tcBorders>
              <w:top w:val="nil"/>
              <w:left w:val="nil"/>
              <w:bottom w:val="single" w:sz="4" w:space="0" w:color="auto"/>
              <w:right w:val="single" w:sz="4" w:space="0" w:color="auto"/>
            </w:tcBorders>
            <w:shd w:val="clear" w:color="auto" w:fill="auto"/>
            <w:noWrap/>
            <w:vAlign w:val="bottom"/>
            <w:hideMark/>
          </w:tcPr>
          <w:p w14:paraId="068EF54A" w14:textId="77777777" w:rsidR="00A8274E" w:rsidRPr="00AE5020" w:rsidRDefault="00A8274E" w:rsidP="001D10C8">
            <w:pPr>
              <w:rPr>
                <w:rFonts w:ascii="Calibri" w:eastAsia="Times New Roman" w:hAnsi="Calibri" w:cs="Calibri"/>
                <w:b/>
                <w:bCs/>
                <w:i/>
                <w:sz w:val="18"/>
                <w:szCs w:val="18"/>
                <w:lang w:val="en-US"/>
              </w:rPr>
            </w:pPr>
            <w:r w:rsidRPr="00AE5020">
              <w:rPr>
                <w:rFonts w:ascii="Calibri" w:eastAsia="Times New Roman" w:hAnsi="Calibri" w:cs="Calibri"/>
                <w:b/>
                <w:bCs/>
                <w:i/>
                <w:sz w:val="18"/>
                <w:szCs w:val="18"/>
                <w:lang w:val="en-US"/>
              </w:rPr>
              <w:t>CTC-786C10.1</w:t>
            </w:r>
          </w:p>
        </w:tc>
        <w:tc>
          <w:tcPr>
            <w:tcW w:w="1229" w:type="dxa"/>
            <w:tcBorders>
              <w:top w:val="nil"/>
              <w:left w:val="nil"/>
              <w:bottom w:val="single" w:sz="4" w:space="0" w:color="auto"/>
              <w:right w:val="single" w:sz="4" w:space="0" w:color="auto"/>
            </w:tcBorders>
            <w:shd w:val="clear" w:color="auto" w:fill="auto"/>
            <w:noWrap/>
            <w:vAlign w:val="bottom"/>
            <w:hideMark/>
          </w:tcPr>
          <w:p w14:paraId="3564DD91" w14:textId="77777777" w:rsidR="00A8274E" w:rsidRPr="00AE5020" w:rsidRDefault="00A8274E" w:rsidP="001D10C8">
            <w:pPr>
              <w:jc w:val="right"/>
              <w:rPr>
                <w:rFonts w:ascii="Calibri" w:eastAsia="Times New Roman" w:hAnsi="Calibri" w:cs="Calibri"/>
                <w:color w:val="000000"/>
                <w:sz w:val="18"/>
                <w:szCs w:val="18"/>
                <w:lang w:val="en-US"/>
              </w:rPr>
            </w:pPr>
            <w:r w:rsidRPr="00AE5020">
              <w:rPr>
                <w:rFonts w:ascii="Calibri" w:eastAsia="Times New Roman" w:hAnsi="Calibri" w:cs="Calibri"/>
                <w:color w:val="000000"/>
                <w:sz w:val="18"/>
                <w:szCs w:val="18"/>
                <w:lang w:val="en-US"/>
              </w:rPr>
              <w:t>-</w:t>
            </w:r>
          </w:p>
        </w:tc>
        <w:tc>
          <w:tcPr>
            <w:tcW w:w="2032" w:type="dxa"/>
            <w:tcBorders>
              <w:top w:val="nil"/>
              <w:left w:val="nil"/>
              <w:bottom w:val="single" w:sz="4" w:space="0" w:color="auto"/>
              <w:right w:val="single" w:sz="4" w:space="0" w:color="auto"/>
            </w:tcBorders>
            <w:shd w:val="clear" w:color="auto" w:fill="auto"/>
            <w:noWrap/>
            <w:vAlign w:val="bottom"/>
            <w:hideMark/>
          </w:tcPr>
          <w:p w14:paraId="7994DAAA" w14:textId="77777777" w:rsidR="00A8274E" w:rsidRPr="00AE5020" w:rsidRDefault="00A8274E" w:rsidP="001D10C8">
            <w:pPr>
              <w:rPr>
                <w:rFonts w:ascii="Calibri" w:eastAsia="Times New Roman" w:hAnsi="Calibri" w:cs="Calibri"/>
                <w:color w:val="000000"/>
                <w:sz w:val="18"/>
                <w:szCs w:val="18"/>
                <w:lang w:val="en-US"/>
              </w:rPr>
            </w:pPr>
            <w:proofErr w:type="spellStart"/>
            <w:r w:rsidRPr="00AE5020">
              <w:rPr>
                <w:rFonts w:ascii="Calibri" w:eastAsia="Times New Roman" w:hAnsi="Calibri" w:cs="Calibri"/>
                <w:color w:val="000000"/>
                <w:sz w:val="18"/>
                <w:szCs w:val="18"/>
                <w:lang w:val="en-US"/>
              </w:rPr>
              <w:t>splice_acceptor_variant</w:t>
            </w:r>
            <w:proofErr w:type="spellEnd"/>
          </w:p>
        </w:tc>
        <w:tc>
          <w:tcPr>
            <w:tcW w:w="850" w:type="dxa"/>
            <w:tcBorders>
              <w:top w:val="nil"/>
              <w:left w:val="nil"/>
              <w:bottom w:val="single" w:sz="4" w:space="0" w:color="auto"/>
              <w:right w:val="single" w:sz="4" w:space="0" w:color="auto"/>
            </w:tcBorders>
            <w:shd w:val="clear" w:color="auto" w:fill="auto"/>
            <w:noWrap/>
            <w:vAlign w:val="bottom"/>
            <w:hideMark/>
          </w:tcPr>
          <w:p w14:paraId="5E95A78A"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0.33</w:t>
            </w:r>
          </w:p>
        </w:tc>
        <w:tc>
          <w:tcPr>
            <w:tcW w:w="709" w:type="dxa"/>
            <w:tcBorders>
              <w:top w:val="nil"/>
              <w:left w:val="nil"/>
              <w:bottom w:val="single" w:sz="4" w:space="0" w:color="auto"/>
              <w:right w:val="single" w:sz="4" w:space="0" w:color="auto"/>
            </w:tcBorders>
            <w:shd w:val="clear" w:color="auto" w:fill="auto"/>
            <w:noWrap/>
            <w:vAlign w:val="bottom"/>
            <w:hideMark/>
          </w:tcPr>
          <w:p w14:paraId="2E4935AC"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0.60</w:t>
            </w:r>
          </w:p>
        </w:tc>
        <w:tc>
          <w:tcPr>
            <w:tcW w:w="1016" w:type="dxa"/>
            <w:tcBorders>
              <w:top w:val="nil"/>
              <w:left w:val="nil"/>
              <w:bottom w:val="single" w:sz="4" w:space="0" w:color="auto"/>
              <w:right w:val="single" w:sz="4" w:space="0" w:color="auto"/>
            </w:tcBorders>
            <w:shd w:val="clear" w:color="auto" w:fill="auto"/>
            <w:noWrap/>
            <w:vAlign w:val="bottom"/>
            <w:hideMark/>
          </w:tcPr>
          <w:p w14:paraId="499CC779"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0.38</w:t>
            </w:r>
          </w:p>
        </w:tc>
        <w:tc>
          <w:tcPr>
            <w:tcW w:w="868" w:type="dxa"/>
            <w:tcBorders>
              <w:top w:val="nil"/>
              <w:left w:val="nil"/>
              <w:bottom w:val="single" w:sz="4" w:space="0" w:color="auto"/>
              <w:right w:val="single" w:sz="4" w:space="0" w:color="auto"/>
            </w:tcBorders>
            <w:shd w:val="clear" w:color="auto" w:fill="auto"/>
            <w:noWrap/>
            <w:vAlign w:val="bottom"/>
            <w:hideMark/>
          </w:tcPr>
          <w:p w14:paraId="1E9D4B72"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0.37</w:t>
            </w:r>
          </w:p>
        </w:tc>
        <w:tc>
          <w:tcPr>
            <w:tcW w:w="833" w:type="dxa"/>
            <w:tcBorders>
              <w:top w:val="nil"/>
              <w:left w:val="nil"/>
              <w:bottom w:val="single" w:sz="4" w:space="0" w:color="auto"/>
              <w:right w:val="single" w:sz="4" w:space="0" w:color="auto"/>
            </w:tcBorders>
            <w:shd w:val="clear" w:color="auto" w:fill="auto"/>
            <w:noWrap/>
            <w:vAlign w:val="bottom"/>
            <w:hideMark/>
          </w:tcPr>
          <w:p w14:paraId="136409C4"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0.41</w:t>
            </w:r>
          </w:p>
        </w:tc>
        <w:tc>
          <w:tcPr>
            <w:tcW w:w="726" w:type="dxa"/>
            <w:tcBorders>
              <w:top w:val="nil"/>
              <w:left w:val="nil"/>
              <w:bottom w:val="single" w:sz="4" w:space="0" w:color="auto"/>
              <w:right w:val="single" w:sz="4" w:space="0" w:color="auto"/>
            </w:tcBorders>
            <w:shd w:val="clear" w:color="auto" w:fill="auto"/>
            <w:noWrap/>
            <w:vAlign w:val="bottom"/>
            <w:hideMark/>
          </w:tcPr>
          <w:p w14:paraId="7FD76443"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0.59</w:t>
            </w:r>
          </w:p>
        </w:tc>
        <w:tc>
          <w:tcPr>
            <w:tcW w:w="891" w:type="dxa"/>
            <w:tcBorders>
              <w:top w:val="nil"/>
              <w:left w:val="nil"/>
              <w:bottom w:val="single" w:sz="4" w:space="0" w:color="auto"/>
              <w:right w:val="single" w:sz="4" w:space="0" w:color="auto"/>
            </w:tcBorders>
            <w:shd w:val="clear" w:color="auto" w:fill="auto"/>
            <w:noWrap/>
            <w:vAlign w:val="bottom"/>
            <w:hideMark/>
          </w:tcPr>
          <w:p w14:paraId="052E6A29"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0.41</w:t>
            </w:r>
          </w:p>
        </w:tc>
        <w:tc>
          <w:tcPr>
            <w:tcW w:w="825" w:type="dxa"/>
            <w:tcBorders>
              <w:top w:val="nil"/>
              <w:left w:val="nil"/>
              <w:bottom w:val="single" w:sz="4" w:space="0" w:color="auto"/>
              <w:right w:val="single" w:sz="4" w:space="0" w:color="auto"/>
            </w:tcBorders>
            <w:shd w:val="clear" w:color="auto" w:fill="auto"/>
            <w:noWrap/>
            <w:vAlign w:val="bottom"/>
            <w:hideMark/>
          </w:tcPr>
          <w:p w14:paraId="60AB581F"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0.45</w:t>
            </w:r>
          </w:p>
        </w:tc>
      </w:tr>
      <w:tr w:rsidR="00A8274E" w:rsidRPr="00AE5020" w14:paraId="4E75EFF7" w14:textId="77777777" w:rsidTr="001D10C8">
        <w:trPr>
          <w:trHeight w:val="24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19B73BBF" w14:textId="77777777" w:rsidR="00A8274E" w:rsidRPr="00AE5020" w:rsidRDefault="00A8274E" w:rsidP="001D10C8">
            <w:pPr>
              <w:rPr>
                <w:rFonts w:ascii="Calibri" w:eastAsia="Times New Roman" w:hAnsi="Calibri" w:cs="Calibri"/>
                <w:color w:val="000000"/>
                <w:sz w:val="18"/>
                <w:szCs w:val="18"/>
                <w:lang w:val="en-US"/>
              </w:rPr>
            </w:pPr>
            <w:r w:rsidRPr="00AE5020">
              <w:rPr>
                <w:rFonts w:ascii="Calibri" w:eastAsia="Times New Roman" w:hAnsi="Calibri" w:cs="Calibri"/>
                <w:color w:val="000000"/>
                <w:sz w:val="18"/>
                <w:szCs w:val="18"/>
                <w:lang w:val="en-US"/>
              </w:rPr>
              <w:t>1:158549492-158549492</w:t>
            </w:r>
          </w:p>
        </w:tc>
        <w:tc>
          <w:tcPr>
            <w:tcW w:w="1417" w:type="dxa"/>
            <w:tcBorders>
              <w:top w:val="nil"/>
              <w:left w:val="nil"/>
              <w:bottom w:val="single" w:sz="4" w:space="0" w:color="auto"/>
              <w:right w:val="single" w:sz="4" w:space="0" w:color="auto"/>
            </w:tcBorders>
            <w:shd w:val="clear" w:color="auto" w:fill="auto"/>
            <w:noWrap/>
            <w:vAlign w:val="bottom"/>
            <w:hideMark/>
          </w:tcPr>
          <w:p w14:paraId="257BD160" w14:textId="77777777" w:rsidR="00A8274E" w:rsidRPr="00AE5020" w:rsidRDefault="00A8274E" w:rsidP="001D10C8">
            <w:pPr>
              <w:rPr>
                <w:rFonts w:ascii="Calibri" w:eastAsia="Times New Roman" w:hAnsi="Calibri" w:cs="Calibri"/>
                <w:b/>
                <w:bCs/>
                <w:i/>
                <w:sz w:val="18"/>
                <w:szCs w:val="18"/>
                <w:lang w:val="en-US"/>
              </w:rPr>
            </w:pPr>
            <w:r w:rsidRPr="00AE5020">
              <w:rPr>
                <w:rFonts w:ascii="Calibri" w:eastAsia="Times New Roman" w:hAnsi="Calibri" w:cs="Calibri"/>
                <w:b/>
                <w:bCs/>
                <w:i/>
                <w:sz w:val="18"/>
                <w:szCs w:val="18"/>
                <w:lang w:val="en-US"/>
              </w:rPr>
              <w:t>OR10X1</w:t>
            </w:r>
          </w:p>
        </w:tc>
        <w:tc>
          <w:tcPr>
            <w:tcW w:w="1229" w:type="dxa"/>
            <w:tcBorders>
              <w:top w:val="nil"/>
              <w:left w:val="nil"/>
              <w:bottom w:val="single" w:sz="4" w:space="0" w:color="auto"/>
              <w:right w:val="single" w:sz="4" w:space="0" w:color="auto"/>
            </w:tcBorders>
            <w:shd w:val="clear" w:color="auto" w:fill="auto"/>
            <w:noWrap/>
            <w:vAlign w:val="bottom"/>
            <w:hideMark/>
          </w:tcPr>
          <w:p w14:paraId="1A1C1230" w14:textId="77777777" w:rsidR="00A8274E" w:rsidRPr="00AE5020" w:rsidRDefault="00A8274E" w:rsidP="001D10C8">
            <w:pPr>
              <w:jc w:val="right"/>
              <w:rPr>
                <w:rFonts w:ascii="Calibri" w:eastAsia="Times New Roman" w:hAnsi="Calibri" w:cs="Calibri"/>
                <w:color w:val="000000"/>
                <w:sz w:val="18"/>
                <w:szCs w:val="18"/>
                <w:lang w:val="en-US"/>
              </w:rPr>
            </w:pPr>
            <w:r w:rsidRPr="00AE5020">
              <w:rPr>
                <w:rFonts w:ascii="Calibri" w:eastAsia="Times New Roman" w:hAnsi="Calibri" w:cs="Calibri"/>
                <w:color w:val="000000"/>
                <w:sz w:val="18"/>
                <w:szCs w:val="18"/>
                <w:lang w:val="en-US"/>
              </w:rPr>
              <w:t>37</w:t>
            </w:r>
          </w:p>
        </w:tc>
        <w:tc>
          <w:tcPr>
            <w:tcW w:w="2032" w:type="dxa"/>
            <w:tcBorders>
              <w:top w:val="nil"/>
              <w:left w:val="nil"/>
              <w:bottom w:val="single" w:sz="4" w:space="0" w:color="auto"/>
              <w:right w:val="single" w:sz="4" w:space="0" w:color="auto"/>
            </w:tcBorders>
            <w:shd w:val="clear" w:color="auto" w:fill="auto"/>
            <w:noWrap/>
            <w:vAlign w:val="bottom"/>
            <w:hideMark/>
          </w:tcPr>
          <w:p w14:paraId="41F28BC3" w14:textId="77777777" w:rsidR="00A8274E" w:rsidRPr="00AE5020" w:rsidRDefault="00A8274E" w:rsidP="001D10C8">
            <w:pPr>
              <w:rPr>
                <w:rFonts w:ascii="Calibri" w:eastAsia="Times New Roman" w:hAnsi="Calibri" w:cs="Calibri"/>
                <w:color w:val="000000"/>
                <w:sz w:val="18"/>
                <w:szCs w:val="18"/>
                <w:lang w:val="en-US"/>
              </w:rPr>
            </w:pPr>
            <w:proofErr w:type="spellStart"/>
            <w:r w:rsidRPr="00AE5020">
              <w:rPr>
                <w:rFonts w:ascii="Calibri" w:eastAsia="Times New Roman" w:hAnsi="Calibri" w:cs="Calibri"/>
                <w:color w:val="000000"/>
                <w:sz w:val="18"/>
                <w:szCs w:val="18"/>
                <w:lang w:val="en-US"/>
              </w:rPr>
              <w:t>stop_gained</w:t>
            </w:r>
            <w:proofErr w:type="spellEnd"/>
          </w:p>
        </w:tc>
        <w:tc>
          <w:tcPr>
            <w:tcW w:w="850" w:type="dxa"/>
            <w:tcBorders>
              <w:top w:val="nil"/>
              <w:left w:val="nil"/>
              <w:bottom w:val="single" w:sz="4" w:space="0" w:color="auto"/>
              <w:right w:val="single" w:sz="4" w:space="0" w:color="auto"/>
            </w:tcBorders>
            <w:shd w:val="clear" w:color="auto" w:fill="auto"/>
            <w:noWrap/>
            <w:vAlign w:val="bottom"/>
            <w:hideMark/>
          </w:tcPr>
          <w:p w14:paraId="10E886E4"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0.33</w:t>
            </w:r>
          </w:p>
        </w:tc>
        <w:tc>
          <w:tcPr>
            <w:tcW w:w="709" w:type="dxa"/>
            <w:tcBorders>
              <w:top w:val="nil"/>
              <w:left w:val="nil"/>
              <w:bottom w:val="single" w:sz="4" w:space="0" w:color="auto"/>
              <w:right w:val="single" w:sz="4" w:space="0" w:color="auto"/>
            </w:tcBorders>
            <w:shd w:val="clear" w:color="auto" w:fill="auto"/>
            <w:noWrap/>
            <w:vAlign w:val="bottom"/>
            <w:hideMark/>
          </w:tcPr>
          <w:p w14:paraId="438BA481"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0.37</w:t>
            </w:r>
          </w:p>
        </w:tc>
        <w:tc>
          <w:tcPr>
            <w:tcW w:w="1016" w:type="dxa"/>
            <w:tcBorders>
              <w:top w:val="nil"/>
              <w:left w:val="nil"/>
              <w:bottom w:val="single" w:sz="4" w:space="0" w:color="auto"/>
              <w:right w:val="single" w:sz="4" w:space="0" w:color="auto"/>
            </w:tcBorders>
            <w:shd w:val="clear" w:color="auto" w:fill="auto"/>
            <w:noWrap/>
            <w:vAlign w:val="bottom"/>
            <w:hideMark/>
          </w:tcPr>
          <w:p w14:paraId="5F32D43C"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0.47</w:t>
            </w:r>
          </w:p>
        </w:tc>
        <w:tc>
          <w:tcPr>
            <w:tcW w:w="868" w:type="dxa"/>
            <w:tcBorders>
              <w:top w:val="nil"/>
              <w:left w:val="nil"/>
              <w:bottom w:val="single" w:sz="4" w:space="0" w:color="auto"/>
              <w:right w:val="single" w:sz="4" w:space="0" w:color="auto"/>
            </w:tcBorders>
            <w:shd w:val="clear" w:color="auto" w:fill="auto"/>
            <w:noWrap/>
            <w:vAlign w:val="bottom"/>
            <w:hideMark/>
          </w:tcPr>
          <w:p w14:paraId="3C04E6CD"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0.25</w:t>
            </w:r>
          </w:p>
        </w:tc>
        <w:tc>
          <w:tcPr>
            <w:tcW w:w="833" w:type="dxa"/>
            <w:tcBorders>
              <w:top w:val="nil"/>
              <w:left w:val="nil"/>
              <w:bottom w:val="single" w:sz="4" w:space="0" w:color="auto"/>
              <w:right w:val="single" w:sz="4" w:space="0" w:color="auto"/>
            </w:tcBorders>
            <w:shd w:val="clear" w:color="auto" w:fill="auto"/>
            <w:noWrap/>
            <w:vAlign w:val="bottom"/>
            <w:hideMark/>
          </w:tcPr>
          <w:p w14:paraId="23171A9F"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0.31</w:t>
            </w:r>
          </w:p>
        </w:tc>
        <w:tc>
          <w:tcPr>
            <w:tcW w:w="726" w:type="dxa"/>
            <w:tcBorders>
              <w:top w:val="nil"/>
              <w:left w:val="nil"/>
              <w:bottom w:val="single" w:sz="4" w:space="0" w:color="auto"/>
              <w:right w:val="single" w:sz="4" w:space="0" w:color="auto"/>
            </w:tcBorders>
            <w:shd w:val="clear" w:color="auto" w:fill="auto"/>
            <w:noWrap/>
            <w:vAlign w:val="bottom"/>
            <w:hideMark/>
          </w:tcPr>
          <w:p w14:paraId="4864F890"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0.47</w:t>
            </w:r>
          </w:p>
        </w:tc>
        <w:tc>
          <w:tcPr>
            <w:tcW w:w="891" w:type="dxa"/>
            <w:tcBorders>
              <w:top w:val="nil"/>
              <w:left w:val="nil"/>
              <w:bottom w:val="single" w:sz="4" w:space="0" w:color="auto"/>
              <w:right w:val="single" w:sz="4" w:space="0" w:color="auto"/>
            </w:tcBorders>
            <w:shd w:val="clear" w:color="auto" w:fill="auto"/>
            <w:noWrap/>
            <w:vAlign w:val="bottom"/>
            <w:hideMark/>
          </w:tcPr>
          <w:p w14:paraId="64A08BFE"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0.31</w:t>
            </w:r>
          </w:p>
        </w:tc>
        <w:tc>
          <w:tcPr>
            <w:tcW w:w="825" w:type="dxa"/>
            <w:tcBorders>
              <w:top w:val="nil"/>
              <w:left w:val="nil"/>
              <w:bottom w:val="single" w:sz="4" w:space="0" w:color="auto"/>
              <w:right w:val="single" w:sz="4" w:space="0" w:color="auto"/>
            </w:tcBorders>
            <w:shd w:val="clear" w:color="auto" w:fill="auto"/>
            <w:noWrap/>
            <w:vAlign w:val="bottom"/>
            <w:hideMark/>
          </w:tcPr>
          <w:p w14:paraId="7E278DC0"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0.36</w:t>
            </w:r>
          </w:p>
        </w:tc>
      </w:tr>
      <w:tr w:rsidR="00A8274E" w:rsidRPr="00AE5020" w14:paraId="2AE83BF6" w14:textId="77777777" w:rsidTr="001D10C8">
        <w:trPr>
          <w:trHeight w:val="24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1D83C241" w14:textId="77777777" w:rsidR="00A8274E" w:rsidRPr="00AE5020" w:rsidRDefault="00A8274E" w:rsidP="001D10C8">
            <w:pPr>
              <w:rPr>
                <w:rFonts w:ascii="Calibri" w:eastAsia="Times New Roman" w:hAnsi="Calibri" w:cs="Calibri"/>
                <w:color w:val="000000"/>
                <w:sz w:val="18"/>
                <w:szCs w:val="18"/>
                <w:lang w:val="en-US"/>
              </w:rPr>
            </w:pPr>
            <w:r w:rsidRPr="00AE5020">
              <w:rPr>
                <w:rFonts w:ascii="Calibri" w:eastAsia="Times New Roman" w:hAnsi="Calibri" w:cs="Calibri"/>
                <w:color w:val="000000"/>
                <w:sz w:val="18"/>
                <w:szCs w:val="18"/>
                <w:lang w:val="en-US"/>
              </w:rPr>
              <w:t>9:21207037-21207037</w:t>
            </w:r>
          </w:p>
        </w:tc>
        <w:tc>
          <w:tcPr>
            <w:tcW w:w="1417" w:type="dxa"/>
            <w:tcBorders>
              <w:top w:val="nil"/>
              <w:left w:val="nil"/>
              <w:bottom w:val="single" w:sz="4" w:space="0" w:color="auto"/>
              <w:right w:val="single" w:sz="4" w:space="0" w:color="auto"/>
            </w:tcBorders>
            <w:shd w:val="clear" w:color="auto" w:fill="auto"/>
            <w:noWrap/>
            <w:vAlign w:val="bottom"/>
            <w:hideMark/>
          </w:tcPr>
          <w:p w14:paraId="62C00430" w14:textId="77777777" w:rsidR="00A8274E" w:rsidRPr="00AE5020" w:rsidRDefault="00A8274E" w:rsidP="001D10C8">
            <w:pPr>
              <w:rPr>
                <w:rFonts w:ascii="Calibri" w:eastAsia="Times New Roman" w:hAnsi="Calibri" w:cs="Calibri"/>
                <w:b/>
                <w:bCs/>
                <w:i/>
                <w:sz w:val="18"/>
                <w:szCs w:val="18"/>
                <w:lang w:val="en-US"/>
              </w:rPr>
            </w:pPr>
            <w:r w:rsidRPr="00AE5020">
              <w:rPr>
                <w:rFonts w:ascii="Calibri" w:eastAsia="Times New Roman" w:hAnsi="Calibri" w:cs="Calibri"/>
                <w:b/>
                <w:bCs/>
                <w:i/>
                <w:sz w:val="18"/>
                <w:szCs w:val="18"/>
                <w:lang w:val="en-US"/>
              </w:rPr>
              <w:t>IFNA10</w:t>
            </w:r>
          </w:p>
        </w:tc>
        <w:tc>
          <w:tcPr>
            <w:tcW w:w="1229" w:type="dxa"/>
            <w:tcBorders>
              <w:top w:val="nil"/>
              <w:left w:val="nil"/>
              <w:bottom w:val="single" w:sz="4" w:space="0" w:color="auto"/>
              <w:right w:val="single" w:sz="4" w:space="0" w:color="auto"/>
            </w:tcBorders>
            <w:shd w:val="clear" w:color="auto" w:fill="auto"/>
            <w:noWrap/>
            <w:vAlign w:val="bottom"/>
            <w:hideMark/>
          </w:tcPr>
          <w:p w14:paraId="7B6D97B3" w14:textId="77777777" w:rsidR="00A8274E" w:rsidRPr="00AE5020" w:rsidRDefault="00A8274E" w:rsidP="001D10C8">
            <w:pPr>
              <w:jc w:val="right"/>
              <w:rPr>
                <w:rFonts w:ascii="Calibri" w:eastAsia="Times New Roman" w:hAnsi="Calibri" w:cs="Calibri"/>
                <w:color w:val="000000"/>
                <w:sz w:val="18"/>
                <w:szCs w:val="18"/>
                <w:lang w:val="en-US"/>
              </w:rPr>
            </w:pPr>
            <w:r w:rsidRPr="00AE5020">
              <w:rPr>
                <w:rFonts w:ascii="Calibri" w:eastAsia="Times New Roman" w:hAnsi="Calibri" w:cs="Calibri"/>
                <w:color w:val="000000"/>
                <w:sz w:val="18"/>
                <w:szCs w:val="18"/>
                <w:lang w:val="en-US"/>
              </w:rPr>
              <w:t>36</w:t>
            </w:r>
          </w:p>
        </w:tc>
        <w:tc>
          <w:tcPr>
            <w:tcW w:w="2032" w:type="dxa"/>
            <w:tcBorders>
              <w:top w:val="nil"/>
              <w:left w:val="nil"/>
              <w:bottom w:val="single" w:sz="4" w:space="0" w:color="auto"/>
              <w:right w:val="single" w:sz="4" w:space="0" w:color="auto"/>
            </w:tcBorders>
            <w:shd w:val="clear" w:color="auto" w:fill="auto"/>
            <w:noWrap/>
            <w:vAlign w:val="bottom"/>
            <w:hideMark/>
          </w:tcPr>
          <w:p w14:paraId="3661AE4E" w14:textId="77777777" w:rsidR="00A8274E" w:rsidRPr="00AE5020" w:rsidRDefault="00A8274E" w:rsidP="001D10C8">
            <w:pPr>
              <w:rPr>
                <w:rFonts w:ascii="Calibri" w:eastAsia="Times New Roman" w:hAnsi="Calibri" w:cs="Calibri"/>
                <w:color w:val="000000"/>
                <w:sz w:val="18"/>
                <w:szCs w:val="18"/>
                <w:lang w:val="en-US"/>
              </w:rPr>
            </w:pPr>
            <w:proofErr w:type="spellStart"/>
            <w:r w:rsidRPr="00AE5020">
              <w:rPr>
                <w:rFonts w:ascii="Calibri" w:eastAsia="Times New Roman" w:hAnsi="Calibri" w:cs="Calibri"/>
                <w:color w:val="000000"/>
                <w:sz w:val="18"/>
                <w:szCs w:val="18"/>
                <w:lang w:val="en-US"/>
              </w:rPr>
              <w:t>stop_gained</w:t>
            </w:r>
            <w:proofErr w:type="spellEnd"/>
          </w:p>
        </w:tc>
        <w:tc>
          <w:tcPr>
            <w:tcW w:w="850" w:type="dxa"/>
            <w:tcBorders>
              <w:top w:val="nil"/>
              <w:left w:val="nil"/>
              <w:bottom w:val="single" w:sz="4" w:space="0" w:color="auto"/>
              <w:right w:val="single" w:sz="4" w:space="0" w:color="auto"/>
            </w:tcBorders>
            <w:shd w:val="clear" w:color="auto" w:fill="auto"/>
            <w:noWrap/>
            <w:vAlign w:val="bottom"/>
            <w:hideMark/>
          </w:tcPr>
          <w:p w14:paraId="5C68BEFA"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0.25</w:t>
            </w:r>
          </w:p>
        </w:tc>
        <w:tc>
          <w:tcPr>
            <w:tcW w:w="709" w:type="dxa"/>
            <w:tcBorders>
              <w:top w:val="nil"/>
              <w:left w:val="nil"/>
              <w:bottom w:val="single" w:sz="4" w:space="0" w:color="auto"/>
              <w:right w:val="single" w:sz="4" w:space="0" w:color="auto"/>
            </w:tcBorders>
            <w:shd w:val="clear" w:color="auto" w:fill="auto"/>
            <w:noWrap/>
            <w:vAlign w:val="bottom"/>
            <w:hideMark/>
          </w:tcPr>
          <w:p w14:paraId="39735217"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0.23</w:t>
            </w:r>
          </w:p>
        </w:tc>
        <w:tc>
          <w:tcPr>
            <w:tcW w:w="1016" w:type="dxa"/>
            <w:tcBorders>
              <w:top w:val="nil"/>
              <w:left w:val="nil"/>
              <w:bottom w:val="single" w:sz="4" w:space="0" w:color="auto"/>
              <w:right w:val="single" w:sz="4" w:space="0" w:color="auto"/>
            </w:tcBorders>
            <w:shd w:val="clear" w:color="auto" w:fill="auto"/>
            <w:noWrap/>
            <w:vAlign w:val="bottom"/>
            <w:hideMark/>
          </w:tcPr>
          <w:p w14:paraId="18210AF5"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0.40</w:t>
            </w:r>
          </w:p>
        </w:tc>
        <w:tc>
          <w:tcPr>
            <w:tcW w:w="868" w:type="dxa"/>
            <w:tcBorders>
              <w:top w:val="nil"/>
              <w:left w:val="nil"/>
              <w:bottom w:val="single" w:sz="4" w:space="0" w:color="auto"/>
              <w:right w:val="single" w:sz="4" w:space="0" w:color="auto"/>
            </w:tcBorders>
            <w:shd w:val="clear" w:color="auto" w:fill="auto"/>
            <w:noWrap/>
            <w:vAlign w:val="bottom"/>
            <w:hideMark/>
          </w:tcPr>
          <w:p w14:paraId="46AE213C"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0.35</w:t>
            </w:r>
          </w:p>
        </w:tc>
        <w:tc>
          <w:tcPr>
            <w:tcW w:w="833" w:type="dxa"/>
            <w:tcBorders>
              <w:top w:val="nil"/>
              <w:left w:val="nil"/>
              <w:bottom w:val="single" w:sz="4" w:space="0" w:color="auto"/>
              <w:right w:val="single" w:sz="4" w:space="0" w:color="auto"/>
            </w:tcBorders>
            <w:shd w:val="clear" w:color="auto" w:fill="auto"/>
            <w:noWrap/>
            <w:vAlign w:val="bottom"/>
            <w:hideMark/>
          </w:tcPr>
          <w:p w14:paraId="213DD889"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0.31</w:t>
            </w:r>
          </w:p>
        </w:tc>
        <w:tc>
          <w:tcPr>
            <w:tcW w:w="726" w:type="dxa"/>
            <w:tcBorders>
              <w:top w:val="nil"/>
              <w:left w:val="nil"/>
              <w:bottom w:val="single" w:sz="4" w:space="0" w:color="auto"/>
              <w:right w:val="single" w:sz="4" w:space="0" w:color="auto"/>
            </w:tcBorders>
            <w:shd w:val="clear" w:color="auto" w:fill="auto"/>
            <w:noWrap/>
            <w:vAlign w:val="bottom"/>
            <w:hideMark/>
          </w:tcPr>
          <w:p w14:paraId="5CA8BC29"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0.22</w:t>
            </w:r>
          </w:p>
        </w:tc>
        <w:tc>
          <w:tcPr>
            <w:tcW w:w="891" w:type="dxa"/>
            <w:tcBorders>
              <w:top w:val="nil"/>
              <w:left w:val="nil"/>
              <w:bottom w:val="single" w:sz="4" w:space="0" w:color="auto"/>
              <w:right w:val="single" w:sz="4" w:space="0" w:color="auto"/>
            </w:tcBorders>
            <w:shd w:val="clear" w:color="auto" w:fill="auto"/>
            <w:noWrap/>
            <w:vAlign w:val="bottom"/>
            <w:hideMark/>
          </w:tcPr>
          <w:p w14:paraId="50475A2B"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0.34</w:t>
            </w:r>
          </w:p>
        </w:tc>
        <w:tc>
          <w:tcPr>
            <w:tcW w:w="825" w:type="dxa"/>
            <w:tcBorders>
              <w:top w:val="nil"/>
              <w:left w:val="nil"/>
              <w:bottom w:val="single" w:sz="4" w:space="0" w:color="auto"/>
              <w:right w:val="single" w:sz="4" w:space="0" w:color="auto"/>
            </w:tcBorders>
            <w:shd w:val="clear" w:color="auto" w:fill="auto"/>
            <w:noWrap/>
            <w:vAlign w:val="bottom"/>
            <w:hideMark/>
          </w:tcPr>
          <w:p w14:paraId="5C5B0554"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0.31</w:t>
            </w:r>
          </w:p>
        </w:tc>
      </w:tr>
      <w:tr w:rsidR="00A8274E" w:rsidRPr="00AE5020" w14:paraId="4EDB1F3B" w14:textId="77777777" w:rsidTr="001D10C8">
        <w:trPr>
          <w:trHeight w:val="24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2A511B0B" w14:textId="77777777" w:rsidR="00A8274E" w:rsidRPr="00AE5020" w:rsidRDefault="00A8274E" w:rsidP="001D10C8">
            <w:pPr>
              <w:rPr>
                <w:rFonts w:ascii="Calibri" w:eastAsia="Times New Roman" w:hAnsi="Calibri" w:cs="Calibri"/>
                <w:color w:val="000000"/>
                <w:sz w:val="18"/>
                <w:szCs w:val="18"/>
                <w:lang w:val="en-US"/>
              </w:rPr>
            </w:pPr>
            <w:r w:rsidRPr="00AE5020">
              <w:rPr>
                <w:rFonts w:ascii="Calibri" w:eastAsia="Times New Roman" w:hAnsi="Calibri" w:cs="Calibri"/>
                <w:color w:val="000000"/>
                <w:sz w:val="18"/>
                <w:szCs w:val="18"/>
                <w:lang w:val="en-US"/>
              </w:rPr>
              <w:t>6:32489731-32489731</w:t>
            </w:r>
          </w:p>
        </w:tc>
        <w:tc>
          <w:tcPr>
            <w:tcW w:w="1417" w:type="dxa"/>
            <w:tcBorders>
              <w:top w:val="nil"/>
              <w:left w:val="nil"/>
              <w:bottom w:val="single" w:sz="4" w:space="0" w:color="auto"/>
              <w:right w:val="single" w:sz="4" w:space="0" w:color="auto"/>
            </w:tcBorders>
            <w:shd w:val="clear" w:color="auto" w:fill="auto"/>
            <w:noWrap/>
            <w:vAlign w:val="bottom"/>
            <w:hideMark/>
          </w:tcPr>
          <w:p w14:paraId="04874433" w14:textId="77777777" w:rsidR="00A8274E" w:rsidRPr="00AE5020" w:rsidRDefault="00A8274E" w:rsidP="001D10C8">
            <w:pPr>
              <w:rPr>
                <w:rFonts w:ascii="Calibri" w:eastAsia="Times New Roman" w:hAnsi="Calibri" w:cs="Calibri"/>
                <w:b/>
                <w:bCs/>
                <w:i/>
                <w:sz w:val="18"/>
                <w:szCs w:val="18"/>
                <w:lang w:val="en-US"/>
              </w:rPr>
            </w:pPr>
            <w:r w:rsidRPr="00AE5020">
              <w:rPr>
                <w:rFonts w:ascii="Calibri" w:eastAsia="Times New Roman" w:hAnsi="Calibri" w:cs="Calibri"/>
                <w:b/>
                <w:bCs/>
                <w:i/>
                <w:sz w:val="18"/>
                <w:szCs w:val="18"/>
                <w:lang w:val="en-US"/>
              </w:rPr>
              <w:t>HLA-DRB5</w:t>
            </w:r>
          </w:p>
        </w:tc>
        <w:tc>
          <w:tcPr>
            <w:tcW w:w="1229" w:type="dxa"/>
            <w:tcBorders>
              <w:top w:val="nil"/>
              <w:left w:val="nil"/>
              <w:bottom w:val="single" w:sz="4" w:space="0" w:color="auto"/>
              <w:right w:val="single" w:sz="4" w:space="0" w:color="auto"/>
            </w:tcBorders>
            <w:shd w:val="clear" w:color="auto" w:fill="auto"/>
            <w:noWrap/>
            <w:vAlign w:val="bottom"/>
            <w:hideMark/>
          </w:tcPr>
          <w:p w14:paraId="54500BC7" w14:textId="77777777" w:rsidR="00A8274E" w:rsidRPr="00AE5020" w:rsidRDefault="00A8274E" w:rsidP="001D10C8">
            <w:pPr>
              <w:jc w:val="right"/>
              <w:rPr>
                <w:rFonts w:ascii="Calibri" w:eastAsia="Times New Roman" w:hAnsi="Calibri" w:cs="Calibri"/>
                <w:color w:val="000000"/>
                <w:sz w:val="18"/>
                <w:szCs w:val="18"/>
                <w:lang w:val="en-US"/>
              </w:rPr>
            </w:pPr>
            <w:r w:rsidRPr="00AE5020">
              <w:rPr>
                <w:rFonts w:ascii="Calibri" w:eastAsia="Times New Roman" w:hAnsi="Calibri" w:cs="Calibri"/>
                <w:color w:val="000000"/>
                <w:sz w:val="18"/>
                <w:szCs w:val="18"/>
                <w:lang w:val="en-US"/>
              </w:rPr>
              <w:t>-</w:t>
            </w:r>
          </w:p>
        </w:tc>
        <w:tc>
          <w:tcPr>
            <w:tcW w:w="2032" w:type="dxa"/>
            <w:tcBorders>
              <w:top w:val="nil"/>
              <w:left w:val="nil"/>
              <w:bottom w:val="single" w:sz="4" w:space="0" w:color="auto"/>
              <w:right w:val="single" w:sz="4" w:space="0" w:color="auto"/>
            </w:tcBorders>
            <w:shd w:val="clear" w:color="auto" w:fill="auto"/>
            <w:noWrap/>
            <w:vAlign w:val="bottom"/>
            <w:hideMark/>
          </w:tcPr>
          <w:p w14:paraId="1DE0B46D" w14:textId="77777777" w:rsidR="00A8274E" w:rsidRPr="00AE5020" w:rsidRDefault="00A8274E" w:rsidP="001D10C8">
            <w:pPr>
              <w:rPr>
                <w:rFonts w:ascii="Calibri" w:eastAsia="Times New Roman" w:hAnsi="Calibri" w:cs="Calibri"/>
                <w:color w:val="000000"/>
                <w:sz w:val="18"/>
                <w:szCs w:val="18"/>
                <w:lang w:val="en-US"/>
              </w:rPr>
            </w:pPr>
            <w:proofErr w:type="spellStart"/>
            <w:r w:rsidRPr="00AE5020">
              <w:rPr>
                <w:rFonts w:ascii="Calibri" w:eastAsia="Times New Roman" w:hAnsi="Calibri" w:cs="Calibri"/>
                <w:color w:val="000000"/>
                <w:sz w:val="18"/>
                <w:szCs w:val="18"/>
                <w:lang w:val="en-US"/>
              </w:rPr>
              <w:t>stop_gained</w:t>
            </w:r>
            <w:proofErr w:type="spellEnd"/>
          </w:p>
        </w:tc>
        <w:tc>
          <w:tcPr>
            <w:tcW w:w="850" w:type="dxa"/>
            <w:tcBorders>
              <w:top w:val="nil"/>
              <w:left w:val="nil"/>
              <w:bottom w:val="single" w:sz="4" w:space="0" w:color="auto"/>
              <w:right w:val="single" w:sz="4" w:space="0" w:color="auto"/>
            </w:tcBorders>
            <w:shd w:val="clear" w:color="auto" w:fill="auto"/>
            <w:noWrap/>
            <w:vAlign w:val="bottom"/>
            <w:hideMark/>
          </w:tcPr>
          <w:p w14:paraId="507678FC"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0.29</w:t>
            </w:r>
          </w:p>
        </w:tc>
        <w:tc>
          <w:tcPr>
            <w:tcW w:w="709" w:type="dxa"/>
            <w:tcBorders>
              <w:top w:val="nil"/>
              <w:left w:val="nil"/>
              <w:bottom w:val="single" w:sz="4" w:space="0" w:color="auto"/>
              <w:right w:val="single" w:sz="4" w:space="0" w:color="auto"/>
            </w:tcBorders>
            <w:shd w:val="clear" w:color="auto" w:fill="auto"/>
            <w:noWrap/>
            <w:vAlign w:val="bottom"/>
            <w:hideMark/>
          </w:tcPr>
          <w:p w14:paraId="6C0C4F02"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0.23</w:t>
            </w:r>
          </w:p>
        </w:tc>
        <w:tc>
          <w:tcPr>
            <w:tcW w:w="1016" w:type="dxa"/>
            <w:tcBorders>
              <w:top w:val="nil"/>
              <w:left w:val="nil"/>
              <w:bottom w:val="single" w:sz="4" w:space="0" w:color="auto"/>
              <w:right w:val="single" w:sz="4" w:space="0" w:color="auto"/>
            </w:tcBorders>
            <w:shd w:val="clear" w:color="auto" w:fill="auto"/>
            <w:noWrap/>
            <w:vAlign w:val="bottom"/>
            <w:hideMark/>
          </w:tcPr>
          <w:p w14:paraId="2F3FFC69"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0.35</w:t>
            </w:r>
          </w:p>
        </w:tc>
        <w:tc>
          <w:tcPr>
            <w:tcW w:w="868" w:type="dxa"/>
            <w:tcBorders>
              <w:top w:val="nil"/>
              <w:left w:val="nil"/>
              <w:bottom w:val="single" w:sz="4" w:space="0" w:color="auto"/>
              <w:right w:val="single" w:sz="4" w:space="0" w:color="auto"/>
            </w:tcBorders>
            <w:shd w:val="clear" w:color="auto" w:fill="auto"/>
            <w:noWrap/>
            <w:vAlign w:val="bottom"/>
            <w:hideMark/>
          </w:tcPr>
          <w:p w14:paraId="44C30536"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0.23</w:t>
            </w:r>
          </w:p>
        </w:tc>
        <w:tc>
          <w:tcPr>
            <w:tcW w:w="833" w:type="dxa"/>
            <w:tcBorders>
              <w:top w:val="nil"/>
              <w:left w:val="nil"/>
              <w:bottom w:val="single" w:sz="4" w:space="0" w:color="auto"/>
              <w:right w:val="single" w:sz="4" w:space="0" w:color="auto"/>
            </w:tcBorders>
            <w:shd w:val="clear" w:color="auto" w:fill="auto"/>
            <w:noWrap/>
            <w:vAlign w:val="bottom"/>
            <w:hideMark/>
          </w:tcPr>
          <w:p w14:paraId="08ABC3E2"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0.25</w:t>
            </w:r>
          </w:p>
        </w:tc>
        <w:tc>
          <w:tcPr>
            <w:tcW w:w="726" w:type="dxa"/>
            <w:tcBorders>
              <w:top w:val="nil"/>
              <w:left w:val="nil"/>
              <w:bottom w:val="single" w:sz="4" w:space="0" w:color="auto"/>
              <w:right w:val="single" w:sz="4" w:space="0" w:color="auto"/>
            </w:tcBorders>
            <w:shd w:val="clear" w:color="auto" w:fill="auto"/>
            <w:noWrap/>
            <w:vAlign w:val="bottom"/>
            <w:hideMark/>
          </w:tcPr>
          <w:p w14:paraId="408671B8"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0.28</w:t>
            </w:r>
          </w:p>
        </w:tc>
        <w:tc>
          <w:tcPr>
            <w:tcW w:w="891" w:type="dxa"/>
            <w:tcBorders>
              <w:top w:val="nil"/>
              <w:left w:val="nil"/>
              <w:bottom w:val="single" w:sz="4" w:space="0" w:color="auto"/>
              <w:right w:val="single" w:sz="4" w:space="0" w:color="auto"/>
            </w:tcBorders>
            <w:shd w:val="clear" w:color="auto" w:fill="auto"/>
            <w:noWrap/>
            <w:vAlign w:val="bottom"/>
            <w:hideMark/>
          </w:tcPr>
          <w:p w14:paraId="00C577AA"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0.31</w:t>
            </w:r>
          </w:p>
        </w:tc>
        <w:tc>
          <w:tcPr>
            <w:tcW w:w="825" w:type="dxa"/>
            <w:tcBorders>
              <w:top w:val="nil"/>
              <w:left w:val="nil"/>
              <w:bottom w:val="single" w:sz="4" w:space="0" w:color="auto"/>
              <w:right w:val="single" w:sz="4" w:space="0" w:color="auto"/>
            </w:tcBorders>
            <w:shd w:val="clear" w:color="auto" w:fill="auto"/>
            <w:noWrap/>
            <w:vAlign w:val="bottom"/>
            <w:hideMark/>
          </w:tcPr>
          <w:p w14:paraId="328C63BD"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0.28</w:t>
            </w:r>
          </w:p>
        </w:tc>
      </w:tr>
      <w:tr w:rsidR="00A8274E" w:rsidRPr="00AE5020" w14:paraId="7E085A64" w14:textId="77777777" w:rsidTr="001D10C8">
        <w:trPr>
          <w:trHeight w:val="24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4749EA0B" w14:textId="77777777" w:rsidR="00A8274E" w:rsidRPr="00AE5020" w:rsidRDefault="00A8274E" w:rsidP="001D10C8">
            <w:pPr>
              <w:rPr>
                <w:rFonts w:ascii="Calibri" w:eastAsia="Times New Roman" w:hAnsi="Calibri" w:cs="Calibri"/>
                <w:color w:val="000000"/>
                <w:sz w:val="18"/>
                <w:szCs w:val="18"/>
                <w:lang w:val="en-US"/>
              </w:rPr>
            </w:pPr>
            <w:r w:rsidRPr="00AE5020">
              <w:rPr>
                <w:rFonts w:ascii="Calibri" w:eastAsia="Times New Roman" w:hAnsi="Calibri" w:cs="Calibri"/>
                <w:color w:val="000000"/>
                <w:sz w:val="18"/>
                <w:szCs w:val="18"/>
                <w:lang w:val="en-US"/>
              </w:rPr>
              <w:t>6:32632638-32632638</w:t>
            </w:r>
          </w:p>
        </w:tc>
        <w:tc>
          <w:tcPr>
            <w:tcW w:w="1417" w:type="dxa"/>
            <w:tcBorders>
              <w:top w:val="nil"/>
              <w:left w:val="nil"/>
              <w:bottom w:val="single" w:sz="4" w:space="0" w:color="auto"/>
              <w:right w:val="single" w:sz="4" w:space="0" w:color="auto"/>
            </w:tcBorders>
            <w:shd w:val="clear" w:color="auto" w:fill="auto"/>
            <w:noWrap/>
            <w:vAlign w:val="bottom"/>
            <w:hideMark/>
          </w:tcPr>
          <w:p w14:paraId="79A494CA" w14:textId="77777777" w:rsidR="00A8274E" w:rsidRPr="00AE5020" w:rsidRDefault="00A8274E" w:rsidP="001D10C8">
            <w:pPr>
              <w:rPr>
                <w:rFonts w:ascii="Calibri" w:eastAsia="Times New Roman" w:hAnsi="Calibri" w:cs="Calibri"/>
                <w:b/>
                <w:bCs/>
                <w:i/>
                <w:sz w:val="18"/>
                <w:szCs w:val="18"/>
                <w:lang w:val="en-US"/>
              </w:rPr>
            </w:pPr>
            <w:r w:rsidRPr="00AE5020">
              <w:rPr>
                <w:rFonts w:ascii="Calibri" w:eastAsia="Times New Roman" w:hAnsi="Calibri" w:cs="Calibri"/>
                <w:b/>
                <w:bCs/>
                <w:i/>
                <w:sz w:val="18"/>
                <w:szCs w:val="18"/>
                <w:lang w:val="en-US"/>
              </w:rPr>
              <w:t>HLA-DQB1</w:t>
            </w:r>
          </w:p>
        </w:tc>
        <w:tc>
          <w:tcPr>
            <w:tcW w:w="1229" w:type="dxa"/>
            <w:tcBorders>
              <w:top w:val="nil"/>
              <w:left w:val="nil"/>
              <w:bottom w:val="single" w:sz="4" w:space="0" w:color="auto"/>
              <w:right w:val="single" w:sz="4" w:space="0" w:color="auto"/>
            </w:tcBorders>
            <w:shd w:val="clear" w:color="auto" w:fill="auto"/>
            <w:noWrap/>
            <w:vAlign w:val="bottom"/>
            <w:hideMark/>
          </w:tcPr>
          <w:p w14:paraId="39ECFFB2" w14:textId="77777777" w:rsidR="00A8274E" w:rsidRPr="00AE5020" w:rsidRDefault="00A8274E" w:rsidP="001D10C8">
            <w:pPr>
              <w:jc w:val="right"/>
              <w:rPr>
                <w:rFonts w:ascii="Calibri" w:eastAsia="Times New Roman" w:hAnsi="Calibri" w:cs="Calibri"/>
                <w:color w:val="000000"/>
                <w:sz w:val="18"/>
                <w:szCs w:val="18"/>
                <w:lang w:val="en-US"/>
              </w:rPr>
            </w:pPr>
            <w:r w:rsidRPr="00AE5020">
              <w:rPr>
                <w:rFonts w:ascii="Calibri" w:eastAsia="Times New Roman" w:hAnsi="Calibri" w:cs="Calibri"/>
                <w:color w:val="000000"/>
                <w:sz w:val="18"/>
                <w:szCs w:val="18"/>
                <w:lang w:val="en-US"/>
              </w:rPr>
              <w:t>73</w:t>
            </w:r>
          </w:p>
        </w:tc>
        <w:tc>
          <w:tcPr>
            <w:tcW w:w="2032" w:type="dxa"/>
            <w:tcBorders>
              <w:top w:val="nil"/>
              <w:left w:val="nil"/>
              <w:bottom w:val="single" w:sz="4" w:space="0" w:color="auto"/>
              <w:right w:val="single" w:sz="4" w:space="0" w:color="auto"/>
            </w:tcBorders>
            <w:shd w:val="clear" w:color="auto" w:fill="auto"/>
            <w:noWrap/>
            <w:vAlign w:val="bottom"/>
            <w:hideMark/>
          </w:tcPr>
          <w:p w14:paraId="541A224F" w14:textId="77777777" w:rsidR="00A8274E" w:rsidRPr="00AE5020" w:rsidRDefault="00A8274E" w:rsidP="001D10C8">
            <w:pPr>
              <w:rPr>
                <w:rFonts w:ascii="Calibri" w:eastAsia="Times New Roman" w:hAnsi="Calibri" w:cs="Calibri"/>
                <w:color w:val="000000"/>
                <w:sz w:val="18"/>
                <w:szCs w:val="18"/>
                <w:lang w:val="en-US"/>
              </w:rPr>
            </w:pPr>
            <w:proofErr w:type="spellStart"/>
            <w:r w:rsidRPr="00AE5020">
              <w:rPr>
                <w:rFonts w:ascii="Calibri" w:eastAsia="Times New Roman" w:hAnsi="Calibri" w:cs="Calibri"/>
                <w:color w:val="000000"/>
                <w:sz w:val="18"/>
                <w:szCs w:val="18"/>
                <w:lang w:val="en-US"/>
              </w:rPr>
              <w:t>stop_gained</w:t>
            </w:r>
            <w:proofErr w:type="spellEnd"/>
          </w:p>
        </w:tc>
        <w:tc>
          <w:tcPr>
            <w:tcW w:w="850" w:type="dxa"/>
            <w:tcBorders>
              <w:top w:val="nil"/>
              <w:left w:val="nil"/>
              <w:bottom w:val="single" w:sz="4" w:space="0" w:color="auto"/>
              <w:right w:val="single" w:sz="4" w:space="0" w:color="auto"/>
            </w:tcBorders>
            <w:shd w:val="clear" w:color="auto" w:fill="auto"/>
            <w:noWrap/>
            <w:vAlign w:val="bottom"/>
            <w:hideMark/>
          </w:tcPr>
          <w:p w14:paraId="09A317F4"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0.00</w:t>
            </w:r>
          </w:p>
        </w:tc>
        <w:tc>
          <w:tcPr>
            <w:tcW w:w="709" w:type="dxa"/>
            <w:tcBorders>
              <w:top w:val="nil"/>
              <w:left w:val="nil"/>
              <w:bottom w:val="single" w:sz="4" w:space="0" w:color="auto"/>
              <w:right w:val="single" w:sz="4" w:space="0" w:color="auto"/>
            </w:tcBorders>
            <w:shd w:val="clear" w:color="auto" w:fill="auto"/>
            <w:noWrap/>
            <w:vAlign w:val="bottom"/>
            <w:hideMark/>
          </w:tcPr>
          <w:p w14:paraId="50DAAAA8"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0.45</w:t>
            </w:r>
          </w:p>
        </w:tc>
        <w:tc>
          <w:tcPr>
            <w:tcW w:w="1016" w:type="dxa"/>
            <w:tcBorders>
              <w:top w:val="nil"/>
              <w:left w:val="nil"/>
              <w:bottom w:val="single" w:sz="4" w:space="0" w:color="auto"/>
              <w:right w:val="single" w:sz="4" w:space="0" w:color="auto"/>
            </w:tcBorders>
            <w:shd w:val="clear" w:color="auto" w:fill="auto"/>
            <w:noWrap/>
            <w:vAlign w:val="bottom"/>
            <w:hideMark/>
          </w:tcPr>
          <w:p w14:paraId="6FD1BFA7"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0.23</w:t>
            </w:r>
          </w:p>
        </w:tc>
        <w:tc>
          <w:tcPr>
            <w:tcW w:w="868" w:type="dxa"/>
            <w:tcBorders>
              <w:top w:val="nil"/>
              <w:left w:val="nil"/>
              <w:bottom w:val="single" w:sz="4" w:space="0" w:color="auto"/>
              <w:right w:val="single" w:sz="4" w:space="0" w:color="auto"/>
            </w:tcBorders>
            <w:shd w:val="clear" w:color="auto" w:fill="auto"/>
            <w:noWrap/>
            <w:vAlign w:val="bottom"/>
            <w:hideMark/>
          </w:tcPr>
          <w:p w14:paraId="5CB25497"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0.13</w:t>
            </w:r>
          </w:p>
        </w:tc>
        <w:tc>
          <w:tcPr>
            <w:tcW w:w="833" w:type="dxa"/>
            <w:tcBorders>
              <w:top w:val="nil"/>
              <w:left w:val="nil"/>
              <w:bottom w:val="single" w:sz="4" w:space="0" w:color="auto"/>
              <w:right w:val="single" w:sz="4" w:space="0" w:color="auto"/>
            </w:tcBorders>
            <w:shd w:val="clear" w:color="auto" w:fill="auto"/>
            <w:noWrap/>
            <w:vAlign w:val="bottom"/>
            <w:hideMark/>
          </w:tcPr>
          <w:p w14:paraId="4064067D"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0.16</w:t>
            </w:r>
          </w:p>
        </w:tc>
        <w:tc>
          <w:tcPr>
            <w:tcW w:w="726" w:type="dxa"/>
            <w:tcBorders>
              <w:top w:val="nil"/>
              <w:left w:val="nil"/>
              <w:bottom w:val="single" w:sz="4" w:space="0" w:color="auto"/>
              <w:right w:val="single" w:sz="4" w:space="0" w:color="auto"/>
            </w:tcBorders>
            <w:shd w:val="clear" w:color="auto" w:fill="auto"/>
            <w:noWrap/>
            <w:vAlign w:val="bottom"/>
            <w:hideMark/>
          </w:tcPr>
          <w:p w14:paraId="5859B6E3"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0.13</w:t>
            </w:r>
          </w:p>
        </w:tc>
        <w:tc>
          <w:tcPr>
            <w:tcW w:w="891" w:type="dxa"/>
            <w:tcBorders>
              <w:top w:val="nil"/>
              <w:left w:val="nil"/>
              <w:bottom w:val="single" w:sz="4" w:space="0" w:color="auto"/>
              <w:right w:val="single" w:sz="4" w:space="0" w:color="auto"/>
            </w:tcBorders>
            <w:shd w:val="clear" w:color="auto" w:fill="auto"/>
            <w:noWrap/>
            <w:vAlign w:val="bottom"/>
            <w:hideMark/>
          </w:tcPr>
          <w:p w14:paraId="04C9F544"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0.19</w:t>
            </w:r>
          </w:p>
        </w:tc>
        <w:tc>
          <w:tcPr>
            <w:tcW w:w="825" w:type="dxa"/>
            <w:tcBorders>
              <w:top w:val="nil"/>
              <w:left w:val="nil"/>
              <w:bottom w:val="single" w:sz="4" w:space="0" w:color="auto"/>
              <w:right w:val="single" w:sz="4" w:space="0" w:color="auto"/>
            </w:tcBorders>
            <w:shd w:val="clear" w:color="auto" w:fill="auto"/>
            <w:noWrap/>
            <w:vAlign w:val="bottom"/>
            <w:hideMark/>
          </w:tcPr>
          <w:p w14:paraId="52D2DA2A"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0.21</w:t>
            </w:r>
          </w:p>
        </w:tc>
      </w:tr>
      <w:tr w:rsidR="00A8274E" w:rsidRPr="00AE5020" w14:paraId="2BA1BBE5" w14:textId="77777777" w:rsidTr="001D10C8">
        <w:trPr>
          <w:trHeight w:val="24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2180A611" w14:textId="77777777" w:rsidR="00A8274E" w:rsidRPr="00AE5020" w:rsidRDefault="00A8274E" w:rsidP="001D10C8">
            <w:pPr>
              <w:rPr>
                <w:rFonts w:ascii="Calibri" w:eastAsia="Times New Roman" w:hAnsi="Calibri" w:cs="Calibri"/>
                <w:color w:val="000000"/>
                <w:sz w:val="18"/>
                <w:szCs w:val="18"/>
                <w:lang w:val="en-US"/>
              </w:rPr>
            </w:pPr>
            <w:r w:rsidRPr="00AE5020">
              <w:rPr>
                <w:rFonts w:ascii="Calibri" w:eastAsia="Times New Roman" w:hAnsi="Calibri" w:cs="Calibri"/>
                <w:color w:val="000000"/>
                <w:sz w:val="18"/>
                <w:szCs w:val="18"/>
                <w:lang w:val="en-US"/>
              </w:rPr>
              <w:t>X:2833605-2833605</w:t>
            </w:r>
          </w:p>
        </w:tc>
        <w:tc>
          <w:tcPr>
            <w:tcW w:w="1417" w:type="dxa"/>
            <w:tcBorders>
              <w:top w:val="nil"/>
              <w:left w:val="nil"/>
              <w:bottom w:val="single" w:sz="4" w:space="0" w:color="auto"/>
              <w:right w:val="single" w:sz="4" w:space="0" w:color="auto"/>
            </w:tcBorders>
            <w:shd w:val="clear" w:color="auto" w:fill="auto"/>
            <w:noWrap/>
            <w:vAlign w:val="bottom"/>
            <w:hideMark/>
          </w:tcPr>
          <w:p w14:paraId="5F6F97B1" w14:textId="77777777" w:rsidR="00A8274E" w:rsidRPr="00AE5020" w:rsidRDefault="00A8274E" w:rsidP="001D10C8">
            <w:pPr>
              <w:rPr>
                <w:rFonts w:ascii="Calibri" w:eastAsia="Times New Roman" w:hAnsi="Calibri" w:cs="Calibri"/>
                <w:b/>
                <w:bCs/>
                <w:i/>
                <w:sz w:val="18"/>
                <w:szCs w:val="18"/>
                <w:lang w:val="en-US"/>
              </w:rPr>
            </w:pPr>
            <w:r w:rsidRPr="00AE5020">
              <w:rPr>
                <w:rFonts w:ascii="Calibri" w:eastAsia="Times New Roman" w:hAnsi="Calibri" w:cs="Calibri"/>
                <w:b/>
                <w:bCs/>
                <w:i/>
                <w:sz w:val="18"/>
                <w:szCs w:val="18"/>
                <w:lang w:val="en-US"/>
              </w:rPr>
              <w:t>ARSD</w:t>
            </w:r>
          </w:p>
        </w:tc>
        <w:tc>
          <w:tcPr>
            <w:tcW w:w="1229" w:type="dxa"/>
            <w:tcBorders>
              <w:top w:val="nil"/>
              <w:left w:val="nil"/>
              <w:bottom w:val="single" w:sz="4" w:space="0" w:color="auto"/>
              <w:right w:val="single" w:sz="4" w:space="0" w:color="auto"/>
            </w:tcBorders>
            <w:shd w:val="clear" w:color="auto" w:fill="auto"/>
            <w:noWrap/>
            <w:vAlign w:val="bottom"/>
            <w:hideMark/>
          </w:tcPr>
          <w:p w14:paraId="571B4002" w14:textId="77777777" w:rsidR="00A8274E" w:rsidRPr="00AE5020" w:rsidRDefault="00A8274E" w:rsidP="001D10C8">
            <w:pPr>
              <w:jc w:val="right"/>
              <w:rPr>
                <w:rFonts w:ascii="Calibri" w:eastAsia="Times New Roman" w:hAnsi="Calibri" w:cs="Calibri"/>
                <w:color w:val="000000"/>
                <w:sz w:val="18"/>
                <w:szCs w:val="18"/>
                <w:lang w:val="en-US"/>
              </w:rPr>
            </w:pPr>
            <w:r w:rsidRPr="00AE5020">
              <w:rPr>
                <w:rFonts w:ascii="Calibri" w:eastAsia="Times New Roman" w:hAnsi="Calibri" w:cs="Calibri"/>
                <w:color w:val="000000"/>
                <w:sz w:val="18"/>
                <w:szCs w:val="18"/>
                <w:lang w:val="en-US"/>
              </w:rPr>
              <w:t>35</w:t>
            </w:r>
          </w:p>
        </w:tc>
        <w:tc>
          <w:tcPr>
            <w:tcW w:w="2032" w:type="dxa"/>
            <w:tcBorders>
              <w:top w:val="nil"/>
              <w:left w:val="nil"/>
              <w:bottom w:val="single" w:sz="4" w:space="0" w:color="auto"/>
              <w:right w:val="single" w:sz="4" w:space="0" w:color="auto"/>
            </w:tcBorders>
            <w:shd w:val="clear" w:color="auto" w:fill="auto"/>
            <w:noWrap/>
            <w:vAlign w:val="bottom"/>
            <w:hideMark/>
          </w:tcPr>
          <w:p w14:paraId="4B737D58" w14:textId="77777777" w:rsidR="00A8274E" w:rsidRPr="00AE5020" w:rsidRDefault="00A8274E" w:rsidP="001D10C8">
            <w:pPr>
              <w:rPr>
                <w:rFonts w:ascii="Calibri" w:eastAsia="Times New Roman" w:hAnsi="Calibri" w:cs="Calibri"/>
                <w:color w:val="000000"/>
                <w:sz w:val="18"/>
                <w:szCs w:val="18"/>
                <w:lang w:val="en-US"/>
              </w:rPr>
            </w:pPr>
            <w:proofErr w:type="spellStart"/>
            <w:r w:rsidRPr="00AE5020">
              <w:rPr>
                <w:rFonts w:ascii="Calibri" w:eastAsia="Times New Roman" w:hAnsi="Calibri" w:cs="Calibri"/>
                <w:color w:val="000000"/>
                <w:sz w:val="18"/>
                <w:szCs w:val="18"/>
                <w:lang w:val="en-US"/>
              </w:rPr>
              <w:t>stop_gained</w:t>
            </w:r>
            <w:proofErr w:type="spellEnd"/>
          </w:p>
        </w:tc>
        <w:tc>
          <w:tcPr>
            <w:tcW w:w="850" w:type="dxa"/>
            <w:tcBorders>
              <w:top w:val="nil"/>
              <w:left w:val="nil"/>
              <w:bottom w:val="single" w:sz="4" w:space="0" w:color="auto"/>
              <w:right w:val="single" w:sz="4" w:space="0" w:color="auto"/>
            </w:tcBorders>
            <w:shd w:val="clear" w:color="auto" w:fill="auto"/>
            <w:noWrap/>
            <w:vAlign w:val="bottom"/>
            <w:hideMark/>
          </w:tcPr>
          <w:p w14:paraId="289C7309"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0.33</w:t>
            </w:r>
          </w:p>
        </w:tc>
        <w:tc>
          <w:tcPr>
            <w:tcW w:w="709" w:type="dxa"/>
            <w:tcBorders>
              <w:top w:val="nil"/>
              <w:left w:val="nil"/>
              <w:bottom w:val="single" w:sz="4" w:space="0" w:color="auto"/>
              <w:right w:val="single" w:sz="4" w:space="0" w:color="auto"/>
            </w:tcBorders>
            <w:shd w:val="clear" w:color="auto" w:fill="auto"/>
            <w:noWrap/>
            <w:vAlign w:val="bottom"/>
            <w:hideMark/>
          </w:tcPr>
          <w:p w14:paraId="14F5E07C"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0.20</w:t>
            </w:r>
          </w:p>
        </w:tc>
        <w:tc>
          <w:tcPr>
            <w:tcW w:w="1016" w:type="dxa"/>
            <w:tcBorders>
              <w:top w:val="nil"/>
              <w:left w:val="nil"/>
              <w:bottom w:val="single" w:sz="4" w:space="0" w:color="auto"/>
              <w:right w:val="single" w:sz="4" w:space="0" w:color="auto"/>
            </w:tcBorders>
            <w:shd w:val="clear" w:color="auto" w:fill="auto"/>
            <w:noWrap/>
            <w:vAlign w:val="bottom"/>
            <w:hideMark/>
          </w:tcPr>
          <w:p w14:paraId="37B1C213"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0.17</w:t>
            </w:r>
          </w:p>
        </w:tc>
        <w:tc>
          <w:tcPr>
            <w:tcW w:w="868" w:type="dxa"/>
            <w:tcBorders>
              <w:top w:val="nil"/>
              <w:left w:val="nil"/>
              <w:bottom w:val="single" w:sz="4" w:space="0" w:color="auto"/>
              <w:right w:val="single" w:sz="4" w:space="0" w:color="auto"/>
            </w:tcBorders>
            <w:shd w:val="clear" w:color="auto" w:fill="auto"/>
            <w:noWrap/>
            <w:vAlign w:val="bottom"/>
            <w:hideMark/>
          </w:tcPr>
          <w:p w14:paraId="396F2241"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0.12</w:t>
            </w:r>
          </w:p>
        </w:tc>
        <w:tc>
          <w:tcPr>
            <w:tcW w:w="833" w:type="dxa"/>
            <w:tcBorders>
              <w:top w:val="nil"/>
              <w:left w:val="nil"/>
              <w:bottom w:val="single" w:sz="4" w:space="0" w:color="auto"/>
              <w:right w:val="single" w:sz="4" w:space="0" w:color="auto"/>
            </w:tcBorders>
            <w:shd w:val="clear" w:color="auto" w:fill="auto"/>
            <w:noWrap/>
            <w:vAlign w:val="bottom"/>
            <w:hideMark/>
          </w:tcPr>
          <w:p w14:paraId="7781D8CC"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0.13</w:t>
            </w:r>
          </w:p>
        </w:tc>
        <w:tc>
          <w:tcPr>
            <w:tcW w:w="726" w:type="dxa"/>
            <w:tcBorders>
              <w:top w:val="nil"/>
              <w:left w:val="nil"/>
              <w:bottom w:val="single" w:sz="4" w:space="0" w:color="auto"/>
              <w:right w:val="single" w:sz="4" w:space="0" w:color="auto"/>
            </w:tcBorders>
            <w:shd w:val="clear" w:color="auto" w:fill="auto"/>
            <w:noWrap/>
            <w:vAlign w:val="bottom"/>
            <w:hideMark/>
          </w:tcPr>
          <w:p w14:paraId="4B670B5C"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0.25</w:t>
            </w:r>
          </w:p>
        </w:tc>
        <w:tc>
          <w:tcPr>
            <w:tcW w:w="891" w:type="dxa"/>
            <w:tcBorders>
              <w:top w:val="nil"/>
              <w:left w:val="nil"/>
              <w:bottom w:val="single" w:sz="4" w:space="0" w:color="auto"/>
              <w:right w:val="single" w:sz="4" w:space="0" w:color="auto"/>
            </w:tcBorders>
            <w:shd w:val="clear" w:color="auto" w:fill="auto"/>
            <w:noWrap/>
            <w:vAlign w:val="bottom"/>
            <w:hideMark/>
          </w:tcPr>
          <w:p w14:paraId="4B2BAF00"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0.16</w:t>
            </w:r>
          </w:p>
        </w:tc>
        <w:tc>
          <w:tcPr>
            <w:tcW w:w="825" w:type="dxa"/>
            <w:tcBorders>
              <w:top w:val="nil"/>
              <w:left w:val="nil"/>
              <w:bottom w:val="single" w:sz="4" w:space="0" w:color="auto"/>
              <w:right w:val="single" w:sz="4" w:space="0" w:color="auto"/>
            </w:tcBorders>
            <w:shd w:val="clear" w:color="auto" w:fill="auto"/>
            <w:noWrap/>
            <w:vAlign w:val="bottom"/>
            <w:hideMark/>
          </w:tcPr>
          <w:p w14:paraId="65E56006"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0.18</w:t>
            </w:r>
          </w:p>
        </w:tc>
      </w:tr>
      <w:tr w:rsidR="00A8274E" w:rsidRPr="00AE5020" w14:paraId="7F071DB0" w14:textId="77777777" w:rsidTr="001D10C8">
        <w:trPr>
          <w:trHeight w:val="24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76B20160" w14:textId="77777777" w:rsidR="00A8274E" w:rsidRPr="00AE5020" w:rsidRDefault="00A8274E" w:rsidP="001D10C8">
            <w:pPr>
              <w:rPr>
                <w:rFonts w:ascii="Calibri" w:eastAsia="Times New Roman" w:hAnsi="Calibri" w:cs="Calibri"/>
                <w:color w:val="000000"/>
                <w:sz w:val="18"/>
                <w:szCs w:val="18"/>
                <w:lang w:val="en-US"/>
              </w:rPr>
            </w:pPr>
            <w:r w:rsidRPr="00AE5020">
              <w:rPr>
                <w:rFonts w:ascii="Calibri" w:eastAsia="Times New Roman" w:hAnsi="Calibri" w:cs="Calibri"/>
                <w:color w:val="000000"/>
                <w:sz w:val="18"/>
                <w:szCs w:val="18"/>
                <w:lang w:val="en-US"/>
              </w:rPr>
              <w:t>6:17606162-17606162</w:t>
            </w:r>
          </w:p>
        </w:tc>
        <w:tc>
          <w:tcPr>
            <w:tcW w:w="1417" w:type="dxa"/>
            <w:tcBorders>
              <w:top w:val="nil"/>
              <w:left w:val="nil"/>
              <w:bottom w:val="single" w:sz="4" w:space="0" w:color="auto"/>
              <w:right w:val="single" w:sz="4" w:space="0" w:color="auto"/>
            </w:tcBorders>
            <w:shd w:val="clear" w:color="auto" w:fill="auto"/>
            <w:noWrap/>
            <w:vAlign w:val="bottom"/>
            <w:hideMark/>
          </w:tcPr>
          <w:p w14:paraId="25EBC121" w14:textId="77777777" w:rsidR="00A8274E" w:rsidRPr="00AE5020" w:rsidRDefault="00A8274E" w:rsidP="001D10C8">
            <w:pPr>
              <w:rPr>
                <w:rFonts w:ascii="Calibri" w:eastAsia="Times New Roman" w:hAnsi="Calibri" w:cs="Calibri"/>
                <w:b/>
                <w:bCs/>
                <w:i/>
                <w:sz w:val="18"/>
                <w:szCs w:val="18"/>
                <w:lang w:val="en-US"/>
              </w:rPr>
            </w:pPr>
            <w:r w:rsidRPr="00AE5020">
              <w:rPr>
                <w:rFonts w:ascii="Calibri" w:eastAsia="Times New Roman" w:hAnsi="Calibri" w:cs="Calibri"/>
                <w:b/>
                <w:bCs/>
                <w:i/>
                <w:sz w:val="18"/>
                <w:szCs w:val="18"/>
                <w:lang w:val="en-US"/>
              </w:rPr>
              <w:t>FAM8A1</w:t>
            </w:r>
          </w:p>
        </w:tc>
        <w:tc>
          <w:tcPr>
            <w:tcW w:w="1229" w:type="dxa"/>
            <w:tcBorders>
              <w:top w:val="nil"/>
              <w:left w:val="nil"/>
              <w:bottom w:val="single" w:sz="4" w:space="0" w:color="auto"/>
              <w:right w:val="single" w:sz="4" w:space="0" w:color="auto"/>
            </w:tcBorders>
            <w:shd w:val="clear" w:color="auto" w:fill="auto"/>
            <w:noWrap/>
            <w:vAlign w:val="bottom"/>
            <w:hideMark/>
          </w:tcPr>
          <w:p w14:paraId="605CCF33" w14:textId="77777777" w:rsidR="00A8274E" w:rsidRPr="00AE5020" w:rsidRDefault="00A8274E" w:rsidP="001D10C8">
            <w:pPr>
              <w:jc w:val="right"/>
              <w:rPr>
                <w:rFonts w:ascii="Calibri" w:eastAsia="Times New Roman" w:hAnsi="Calibri" w:cs="Calibri"/>
                <w:color w:val="000000"/>
                <w:sz w:val="18"/>
                <w:szCs w:val="18"/>
                <w:lang w:val="en-US"/>
              </w:rPr>
            </w:pPr>
            <w:r w:rsidRPr="00AE5020">
              <w:rPr>
                <w:rFonts w:ascii="Calibri" w:eastAsia="Times New Roman" w:hAnsi="Calibri" w:cs="Calibri"/>
                <w:color w:val="000000"/>
                <w:sz w:val="18"/>
                <w:szCs w:val="18"/>
                <w:lang w:val="en-US"/>
              </w:rPr>
              <w:t>41</w:t>
            </w:r>
          </w:p>
        </w:tc>
        <w:tc>
          <w:tcPr>
            <w:tcW w:w="2032" w:type="dxa"/>
            <w:tcBorders>
              <w:top w:val="nil"/>
              <w:left w:val="nil"/>
              <w:bottom w:val="single" w:sz="4" w:space="0" w:color="auto"/>
              <w:right w:val="single" w:sz="4" w:space="0" w:color="auto"/>
            </w:tcBorders>
            <w:shd w:val="clear" w:color="auto" w:fill="auto"/>
            <w:noWrap/>
            <w:vAlign w:val="bottom"/>
            <w:hideMark/>
          </w:tcPr>
          <w:p w14:paraId="6385CAEA" w14:textId="77777777" w:rsidR="00A8274E" w:rsidRPr="00AE5020" w:rsidRDefault="00A8274E" w:rsidP="001D10C8">
            <w:pPr>
              <w:rPr>
                <w:rFonts w:ascii="Calibri" w:eastAsia="Times New Roman" w:hAnsi="Calibri" w:cs="Calibri"/>
                <w:color w:val="000000"/>
                <w:sz w:val="18"/>
                <w:szCs w:val="18"/>
                <w:lang w:val="en-US"/>
              </w:rPr>
            </w:pPr>
            <w:proofErr w:type="spellStart"/>
            <w:r w:rsidRPr="00AE5020">
              <w:rPr>
                <w:rFonts w:ascii="Calibri" w:eastAsia="Times New Roman" w:hAnsi="Calibri" w:cs="Calibri"/>
                <w:color w:val="000000"/>
                <w:sz w:val="18"/>
                <w:szCs w:val="18"/>
                <w:lang w:val="en-US"/>
              </w:rPr>
              <w:t>stop_gained</w:t>
            </w:r>
            <w:proofErr w:type="spellEnd"/>
          </w:p>
        </w:tc>
        <w:tc>
          <w:tcPr>
            <w:tcW w:w="850" w:type="dxa"/>
            <w:tcBorders>
              <w:top w:val="nil"/>
              <w:left w:val="nil"/>
              <w:bottom w:val="single" w:sz="4" w:space="0" w:color="auto"/>
              <w:right w:val="single" w:sz="4" w:space="0" w:color="auto"/>
            </w:tcBorders>
            <w:shd w:val="clear" w:color="auto" w:fill="auto"/>
            <w:noWrap/>
            <w:vAlign w:val="bottom"/>
            <w:hideMark/>
          </w:tcPr>
          <w:p w14:paraId="1EC668B9"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0.21</w:t>
            </w:r>
          </w:p>
        </w:tc>
        <w:tc>
          <w:tcPr>
            <w:tcW w:w="709" w:type="dxa"/>
            <w:tcBorders>
              <w:top w:val="nil"/>
              <w:left w:val="nil"/>
              <w:bottom w:val="single" w:sz="4" w:space="0" w:color="auto"/>
              <w:right w:val="single" w:sz="4" w:space="0" w:color="auto"/>
            </w:tcBorders>
            <w:shd w:val="clear" w:color="auto" w:fill="auto"/>
            <w:noWrap/>
            <w:vAlign w:val="bottom"/>
            <w:hideMark/>
          </w:tcPr>
          <w:p w14:paraId="3CAC4265"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0.15</w:t>
            </w:r>
          </w:p>
        </w:tc>
        <w:tc>
          <w:tcPr>
            <w:tcW w:w="1016" w:type="dxa"/>
            <w:tcBorders>
              <w:top w:val="nil"/>
              <w:left w:val="nil"/>
              <w:bottom w:val="single" w:sz="4" w:space="0" w:color="auto"/>
              <w:right w:val="single" w:sz="4" w:space="0" w:color="auto"/>
            </w:tcBorders>
            <w:shd w:val="clear" w:color="auto" w:fill="auto"/>
            <w:noWrap/>
            <w:vAlign w:val="bottom"/>
            <w:hideMark/>
          </w:tcPr>
          <w:p w14:paraId="377BF795"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0.20</w:t>
            </w:r>
          </w:p>
        </w:tc>
        <w:tc>
          <w:tcPr>
            <w:tcW w:w="868" w:type="dxa"/>
            <w:tcBorders>
              <w:top w:val="nil"/>
              <w:left w:val="nil"/>
              <w:bottom w:val="single" w:sz="4" w:space="0" w:color="auto"/>
              <w:right w:val="single" w:sz="4" w:space="0" w:color="auto"/>
            </w:tcBorders>
            <w:shd w:val="clear" w:color="auto" w:fill="auto"/>
            <w:noWrap/>
            <w:vAlign w:val="bottom"/>
            <w:hideMark/>
          </w:tcPr>
          <w:p w14:paraId="29D5CF45"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0.23</w:t>
            </w:r>
          </w:p>
        </w:tc>
        <w:tc>
          <w:tcPr>
            <w:tcW w:w="833" w:type="dxa"/>
            <w:tcBorders>
              <w:top w:val="nil"/>
              <w:left w:val="nil"/>
              <w:bottom w:val="single" w:sz="4" w:space="0" w:color="auto"/>
              <w:right w:val="single" w:sz="4" w:space="0" w:color="auto"/>
            </w:tcBorders>
            <w:shd w:val="clear" w:color="auto" w:fill="auto"/>
            <w:noWrap/>
            <w:vAlign w:val="bottom"/>
            <w:hideMark/>
          </w:tcPr>
          <w:p w14:paraId="0A7D5021"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0.09</w:t>
            </w:r>
          </w:p>
        </w:tc>
        <w:tc>
          <w:tcPr>
            <w:tcW w:w="726" w:type="dxa"/>
            <w:tcBorders>
              <w:top w:val="nil"/>
              <w:left w:val="nil"/>
              <w:bottom w:val="single" w:sz="4" w:space="0" w:color="auto"/>
              <w:right w:val="single" w:sz="4" w:space="0" w:color="auto"/>
            </w:tcBorders>
            <w:shd w:val="clear" w:color="auto" w:fill="auto"/>
            <w:noWrap/>
            <w:vAlign w:val="bottom"/>
            <w:hideMark/>
          </w:tcPr>
          <w:p w14:paraId="0477AF19"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0.16</w:t>
            </w:r>
          </w:p>
        </w:tc>
        <w:tc>
          <w:tcPr>
            <w:tcW w:w="891" w:type="dxa"/>
            <w:tcBorders>
              <w:top w:val="nil"/>
              <w:left w:val="nil"/>
              <w:bottom w:val="single" w:sz="4" w:space="0" w:color="auto"/>
              <w:right w:val="single" w:sz="4" w:space="0" w:color="auto"/>
            </w:tcBorders>
            <w:shd w:val="clear" w:color="auto" w:fill="auto"/>
            <w:noWrap/>
            <w:vAlign w:val="bottom"/>
            <w:hideMark/>
          </w:tcPr>
          <w:p w14:paraId="7E8512E4"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0.19</w:t>
            </w:r>
          </w:p>
        </w:tc>
        <w:tc>
          <w:tcPr>
            <w:tcW w:w="825" w:type="dxa"/>
            <w:tcBorders>
              <w:top w:val="nil"/>
              <w:left w:val="nil"/>
              <w:bottom w:val="single" w:sz="4" w:space="0" w:color="auto"/>
              <w:right w:val="single" w:sz="4" w:space="0" w:color="auto"/>
            </w:tcBorders>
            <w:shd w:val="clear" w:color="auto" w:fill="auto"/>
            <w:noWrap/>
            <w:vAlign w:val="bottom"/>
            <w:hideMark/>
          </w:tcPr>
          <w:p w14:paraId="5232B99A"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0.18</w:t>
            </w:r>
          </w:p>
        </w:tc>
      </w:tr>
      <w:tr w:rsidR="00A8274E" w:rsidRPr="00AE5020" w14:paraId="0248CBC1" w14:textId="77777777" w:rsidTr="001D10C8">
        <w:trPr>
          <w:trHeight w:val="24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4F0AD37C" w14:textId="77777777" w:rsidR="00A8274E" w:rsidRPr="00AE5020" w:rsidRDefault="00A8274E" w:rsidP="001D10C8">
            <w:pPr>
              <w:rPr>
                <w:rFonts w:ascii="Calibri" w:eastAsia="Times New Roman" w:hAnsi="Calibri" w:cs="Calibri"/>
                <w:color w:val="000000"/>
                <w:sz w:val="18"/>
                <w:szCs w:val="18"/>
                <w:lang w:val="en-US"/>
              </w:rPr>
            </w:pPr>
            <w:r w:rsidRPr="00AE5020">
              <w:rPr>
                <w:rFonts w:ascii="Calibri" w:eastAsia="Times New Roman" w:hAnsi="Calibri" w:cs="Calibri"/>
                <w:color w:val="000000"/>
                <w:sz w:val="18"/>
                <w:szCs w:val="18"/>
                <w:lang w:val="en-US"/>
              </w:rPr>
              <w:t>4:25864458-25864458</w:t>
            </w:r>
          </w:p>
        </w:tc>
        <w:tc>
          <w:tcPr>
            <w:tcW w:w="1417" w:type="dxa"/>
            <w:tcBorders>
              <w:top w:val="nil"/>
              <w:left w:val="nil"/>
              <w:bottom w:val="single" w:sz="4" w:space="0" w:color="auto"/>
              <w:right w:val="single" w:sz="4" w:space="0" w:color="auto"/>
            </w:tcBorders>
            <w:shd w:val="clear" w:color="auto" w:fill="auto"/>
            <w:noWrap/>
            <w:vAlign w:val="bottom"/>
            <w:hideMark/>
          </w:tcPr>
          <w:p w14:paraId="6D60211F" w14:textId="77777777" w:rsidR="00A8274E" w:rsidRPr="00AE5020" w:rsidRDefault="00A8274E" w:rsidP="001D10C8">
            <w:pPr>
              <w:rPr>
                <w:rFonts w:ascii="Calibri" w:eastAsia="Times New Roman" w:hAnsi="Calibri" w:cs="Calibri"/>
                <w:b/>
                <w:i/>
                <w:sz w:val="18"/>
                <w:szCs w:val="18"/>
                <w:lang w:val="en-US"/>
              </w:rPr>
            </w:pPr>
            <w:r w:rsidRPr="00AE5020">
              <w:rPr>
                <w:rFonts w:ascii="Calibri" w:eastAsia="Times New Roman" w:hAnsi="Calibri" w:cs="Calibri"/>
                <w:b/>
                <w:i/>
                <w:sz w:val="18"/>
                <w:szCs w:val="18"/>
                <w:lang w:val="en-US"/>
              </w:rPr>
              <w:t>SEL1L3</w:t>
            </w:r>
          </w:p>
        </w:tc>
        <w:tc>
          <w:tcPr>
            <w:tcW w:w="1229" w:type="dxa"/>
            <w:tcBorders>
              <w:top w:val="nil"/>
              <w:left w:val="nil"/>
              <w:bottom w:val="single" w:sz="4" w:space="0" w:color="auto"/>
              <w:right w:val="single" w:sz="4" w:space="0" w:color="auto"/>
            </w:tcBorders>
            <w:shd w:val="clear" w:color="auto" w:fill="auto"/>
            <w:noWrap/>
            <w:vAlign w:val="bottom"/>
            <w:hideMark/>
          </w:tcPr>
          <w:p w14:paraId="1BE3A3BE" w14:textId="77777777" w:rsidR="00A8274E" w:rsidRPr="00AE5020" w:rsidRDefault="00A8274E" w:rsidP="001D10C8">
            <w:pPr>
              <w:jc w:val="right"/>
              <w:rPr>
                <w:rFonts w:ascii="Calibri" w:eastAsia="Times New Roman" w:hAnsi="Calibri" w:cs="Calibri"/>
                <w:color w:val="000000"/>
                <w:sz w:val="18"/>
                <w:szCs w:val="18"/>
                <w:lang w:val="en-US"/>
              </w:rPr>
            </w:pPr>
            <w:r w:rsidRPr="00AE5020">
              <w:rPr>
                <w:rFonts w:ascii="Calibri" w:eastAsia="Times New Roman" w:hAnsi="Calibri" w:cs="Calibri"/>
                <w:color w:val="000000"/>
                <w:sz w:val="18"/>
                <w:szCs w:val="18"/>
                <w:lang w:val="en-US"/>
              </w:rPr>
              <w:t>15.88</w:t>
            </w:r>
          </w:p>
        </w:tc>
        <w:tc>
          <w:tcPr>
            <w:tcW w:w="2032" w:type="dxa"/>
            <w:tcBorders>
              <w:top w:val="nil"/>
              <w:left w:val="nil"/>
              <w:bottom w:val="single" w:sz="4" w:space="0" w:color="auto"/>
              <w:right w:val="single" w:sz="4" w:space="0" w:color="auto"/>
            </w:tcBorders>
            <w:shd w:val="clear" w:color="auto" w:fill="auto"/>
            <w:noWrap/>
            <w:vAlign w:val="bottom"/>
            <w:hideMark/>
          </w:tcPr>
          <w:p w14:paraId="070D5EB5" w14:textId="77777777" w:rsidR="00A8274E" w:rsidRPr="00AE5020" w:rsidRDefault="00A8274E" w:rsidP="001D10C8">
            <w:pPr>
              <w:rPr>
                <w:rFonts w:ascii="Calibri" w:eastAsia="Times New Roman" w:hAnsi="Calibri" w:cs="Calibri"/>
                <w:color w:val="000000"/>
                <w:sz w:val="18"/>
                <w:szCs w:val="18"/>
                <w:lang w:val="en-US"/>
              </w:rPr>
            </w:pPr>
            <w:proofErr w:type="spellStart"/>
            <w:r w:rsidRPr="00AE5020">
              <w:rPr>
                <w:rFonts w:ascii="Calibri" w:eastAsia="Times New Roman" w:hAnsi="Calibri" w:cs="Calibri"/>
                <w:color w:val="000000"/>
                <w:sz w:val="18"/>
                <w:szCs w:val="18"/>
                <w:lang w:val="en-US"/>
              </w:rPr>
              <w:t>start_lost</w:t>
            </w:r>
            <w:proofErr w:type="spellEnd"/>
          </w:p>
        </w:tc>
        <w:tc>
          <w:tcPr>
            <w:tcW w:w="850" w:type="dxa"/>
            <w:tcBorders>
              <w:top w:val="nil"/>
              <w:left w:val="nil"/>
              <w:bottom w:val="single" w:sz="4" w:space="0" w:color="auto"/>
              <w:right w:val="single" w:sz="4" w:space="0" w:color="auto"/>
            </w:tcBorders>
            <w:shd w:val="clear" w:color="auto" w:fill="auto"/>
            <w:noWrap/>
            <w:vAlign w:val="bottom"/>
            <w:hideMark/>
          </w:tcPr>
          <w:p w14:paraId="26F6FF73"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0.17</w:t>
            </w:r>
          </w:p>
        </w:tc>
        <w:tc>
          <w:tcPr>
            <w:tcW w:w="709" w:type="dxa"/>
            <w:tcBorders>
              <w:top w:val="nil"/>
              <w:left w:val="nil"/>
              <w:bottom w:val="single" w:sz="4" w:space="0" w:color="auto"/>
              <w:right w:val="single" w:sz="4" w:space="0" w:color="auto"/>
            </w:tcBorders>
            <w:shd w:val="clear" w:color="auto" w:fill="auto"/>
            <w:noWrap/>
            <w:vAlign w:val="bottom"/>
            <w:hideMark/>
          </w:tcPr>
          <w:p w14:paraId="6CB2B35E"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0.10</w:t>
            </w:r>
          </w:p>
        </w:tc>
        <w:tc>
          <w:tcPr>
            <w:tcW w:w="1016" w:type="dxa"/>
            <w:tcBorders>
              <w:top w:val="nil"/>
              <w:left w:val="nil"/>
              <w:bottom w:val="single" w:sz="4" w:space="0" w:color="auto"/>
              <w:right w:val="single" w:sz="4" w:space="0" w:color="auto"/>
            </w:tcBorders>
            <w:shd w:val="clear" w:color="auto" w:fill="auto"/>
            <w:noWrap/>
            <w:vAlign w:val="bottom"/>
            <w:hideMark/>
          </w:tcPr>
          <w:p w14:paraId="1E982020"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0.23</w:t>
            </w:r>
          </w:p>
        </w:tc>
        <w:tc>
          <w:tcPr>
            <w:tcW w:w="868" w:type="dxa"/>
            <w:tcBorders>
              <w:top w:val="nil"/>
              <w:left w:val="nil"/>
              <w:bottom w:val="single" w:sz="4" w:space="0" w:color="auto"/>
              <w:right w:val="single" w:sz="4" w:space="0" w:color="auto"/>
            </w:tcBorders>
            <w:shd w:val="clear" w:color="auto" w:fill="auto"/>
            <w:noWrap/>
            <w:vAlign w:val="bottom"/>
            <w:hideMark/>
          </w:tcPr>
          <w:p w14:paraId="4D153295"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0.20</w:t>
            </w:r>
          </w:p>
        </w:tc>
        <w:tc>
          <w:tcPr>
            <w:tcW w:w="833" w:type="dxa"/>
            <w:tcBorders>
              <w:top w:val="nil"/>
              <w:left w:val="nil"/>
              <w:bottom w:val="single" w:sz="4" w:space="0" w:color="auto"/>
              <w:right w:val="single" w:sz="4" w:space="0" w:color="auto"/>
            </w:tcBorders>
            <w:shd w:val="clear" w:color="auto" w:fill="auto"/>
            <w:noWrap/>
            <w:vAlign w:val="bottom"/>
            <w:hideMark/>
          </w:tcPr>
          <w:p w14:paraId="4142587E"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0.03</w:t>
            </w:r>
          </w:p>
        </w:tc>
        <w:tc>
          <w:tcPr>
            <w:tcW w:w="726" w:type="dxa"/>
            <w:tcBorders>
              <w:top w:val="nil"/>
              <w:left w:val="nil"/>
              <w:bottom w:val="single" w:sz="4" w:space="0" w:color="auto"/>
              <w:right w:val="single" w:sz="4" w:space="0" w:color="auto"/>
            </w:tcBorders>
            <w:shd w:val="clear" w:color="auto" w:fill="auto"/>
            <w:noWrap/>
            <w:vAlign w:val="bottom"/>
            <w:hideMark/>
          </w:tcPr>
          <w:p w14:paraId="2949B5DD"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0.00</w:t>
            </w:r>
          </w:p>
        </w:tc>
        <w:tc>
          <w:tcPr>
            <w:tcW w:w="891" w:type="dxa"/>
            <w:tcBorders>
              <w:top w:val="nil"/>
              <w:left w:val="nil"/>
              <w:bottom w:val="single" w:sz="4" w:space="0" w:color="auto"/>
              <w:right w:val="single" w:sz="4" w:space="0" w:color="auto"/>
            </w:tcBorders>
            <w:shd w:val="clear" w:color="auto" w:fill="auto"/>
            <w:noWrap/>
            <w:vAlign w:val="bottom"/>
            <w:hideMark/>
          </w:tcPr>
          <w:p w14:paraId="0BD29BD5"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0.00</w:t>
            </w:r>
          </w:p>
        </w:tc>
        <w:tc>
          <w:tcPr>
            <w:tcW w:w="825" w:type="dxa"/>
            <w:tcBorders>
              <w:top w:val="nil"/>
              <w:left w:val="nil"/>
              <w:bottom w:val="single" w:sz="4" w:space="0" w:color="auto"/>
              <w:right w:val="single" w:sz="4" w:space="0" w:color="auto"/>
            </w:tcBorders>
            <w:shd w:val="clear" w:color="auto" w:fill="auto"/>
            <w:noWrap/>
            <w:vAlign w:val="bottom"/>
            <w:hideMark/>
          </w:tcPr>
          <w:p w14:paraId="29B0E4DD"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0.12</w:t>
            </w:r>
          </w:p>
        </w:tc>
      </w:tr>
      <w:tr w:rsidR="00A8274E" w:rsidRPr="00AE5020" w14:paraId="62382463" w14:textId="77777777" w:rsidTr="001D10C8">
        <w:trPr>
          <w:trHeight w:val="24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3DBD59F2" w14:textId="77777777" w:rsidR="00A8274E" w:rsidRPr="00AE5020" w:rsidRDefault="00A8274E" w:rsidP="001D10C8">
            <w:pPr>
              <w:rPr>
                <w:rFonts w:ascii="Calibri" w:eastAsia="Times New Roman" w:hAnsi="Calibri" w:cs="Calibri"/>
                <w:color w:val="000000"/>
                <w:sz w:val="18"/>
                <w:szCs w:val="18"/>
                <w:lang w:val="en-US"/>
              </w:rPr>
            </w:pPr>
            <w:r w:rsidRPr="00AE5020">
              <w:rPr>
                <w:rFonts w:ascii="Calibri" w:eastAsia="Times New Roman" w:hAnsi="Calibri" w:cs="Calibri"/>
                <w:color w:val="000000"/>
                <w:sz w:val="18"/>
                <w:szCs w:val="18"/>
                <w:lang w:val="en-US"/>
              </w:rPr>
              <w:t>10:18439810-18439810</w:t>
            </w:r>
          </w:p>
        </w:tc>
        <w:tc>
          <w:tcPr>
            <w:tcW w:w="1417" w:type="dxa"/>
            <w:tcBorders>
              <w:top w:val="nil"/>
              <w:left w:val="nil"/>
              <w:bottom w:val="single" w:sz="4" w:space="0" w:color="auto"/>
              <w:right w:val="single" w:sz="4" w:space="0" w:color="auto"/>
            </w:tcBorders>
            <w:shd w:val="clear" w:color="auto" w:fill="auto"/>
            <w:noWrap/>
            <w:vAlign w:val="bottom"/>
            <w:hideMark/>
          </w:tcPr>
          <w:p w14:paraId="2430608D" w14:textId="77777777" w:rsidR="00A8274E" w:rsidRPr="00AE5020" w:rsidRDefault="00A8274E" w:rsidP="001D10C8">
            <w:pPr>
              <w:rPr>
                <w:rFonts w:ascii="Calibri" w:eastAsia="Times New Roman" w:hAnsi="Calibri" w:cs="Calibri"/>
                <w:b/>
                <w:bCs/>
                <w:i/>
                <w:sz w:val="18"/>
                <w:szCs w:val="18"/>
                <w:lang w:val="en-US"/>
              </w:rPr>
            </w:pPr>
            <w:r w:rsidRPr="00AE5020">
              <w:rPr>
                <w:rFonts w:ascii="Calibri" w:eastAsia="Times New Roman" w:hAnsi="Calibri" w:cs="Calibri"/>
                <w:b/>
                <w:bCs/>
                <w:i/>
                <w:sz w:val="18"/>
                <w:szCs w:val="18"/>
                <w:lang w:val="en-US"/>
              </w:rPr>
              <w:t>CACNB2</w:t>
            </w:r>
          </w:p>
        </w:tc>
        <w:tc>
          <w:tcPr>
            <w:tcW w:w="1229" w:type="dxa"/>
            <w:tcBorders>
              <w:top w:val="nil"/>
              <w:left w:val="nil"/>
              <w:bottom w:val="single" w:sz="4" w:space="0" w:color="auto"/>
              <w:right w:val="single" w:sz="4" w:space="0" w:color="auto"/>
            </w:tcBorders>
            <w:shd w:val="clear" w:color="auto" w:fill="auto"/>
            <w:noWrap/>
            <w:vAlign w:val="bottom"/>
            <w:hideMark/>
          </w:tcPr>
          <w:p w14:paraId="6EF4BE36" w14:textId="77777777" w:rsidR="00A8274E" w:rsidRPr="00AE5020" w:rsidRDefault="00A8274E" w:rsidP="001D10C8">
            <w:pPr>
              <w:jc w:val="right"/>
              <w:rPr>
                <w:rFonts w:ascii="Calibri" w:eastAsia="Times New Roman" w:hAnsi="Calibri" w:cs="Calibri"/>
                <w:color w:val="000000"/>
                <w:sz w:val="18"/>
                <w:szCs w:val="18"/>
                <w:lang w:val="en-US"/>
              </w:rPr>
            </w:pPr>
            <w:r w:rsidRPr="00AE5020">
              <w:rPr>
                <w:rFonts w:ascii="Calibri" w:eastAsia="Times New Roman" w:hAnsi="Calibri" w:cs="Calibri"/>
                <w:color w:val="000000"/>
                <w:sz w:val="18"/>
                <w:szCs w:val="18"/>
                <w:lang w:val="en-US"/>
              </w:rPr>
              <w:t>35</w:t>
            </w:r>
          </w:p>
        </w:tc>
        <w:tc>
          <w:tcPr>
            <w:tcW w:w="2032" w:type="dxa"/>
            <w:tcBorders>
              <w:top w:val="nil"/>
              <w:left w:val="nil"/>
              <w:bottom w:val="single" w:sz="4" w:space="0" w:color="auto"/>
              <w:right w:val="single" w:sz="4" w:space="0" w:color="auto"/>
            </w:tcBorders>
            <w:shd w:val="clear" w:color="auto" w:fill="auto"/>
            <w:noWrap/>
            <w:vAlign w:val="bottom"/>
            <w:hideMark/>
          </w:tcPr>
          <w:p w14:paraId="3E321846" w14:textId="77777777" w:rsidR="00A8274E" w:rsidRPr="00AE5020" w:rsidRDefault="00A8274E" w:rsidP="001D10C8">
            <w:pPr>
              <w:rPr>
                <w:rFonts w:ascii="Calibri" w:eastAsia="Times New Roman" w:hAnsi="Calibri" w:cs="Calibri"/>
                <w:color w:val="000000"/>
                <w:sz w:val="18"/>
                <w:szCs w:val="18"/>
                <w:lang w:val="en-US"/>
              </w:rPr>
            </w:pPr>
            <w:proofErr w:type="spellStart"/>
            <w:r w:rsidRPr="00AE5020">
              <w:rPr>
                <w:rFonts w:ascii="Calibri" w:eastAsia="Times New Roman" w:hAnsi="Calibri" w:cs="Calibri"/>
                <w:color w:val="000000"/>
                <w:sz w:val="18"/>
                <w:szCs w:val="18"/>
                <w:lang w:val="en-US"/>
              </w:rPr>
              <w:t>splice_acceptor_variant</w:t>
            </w:r>
            <w:proofErr w:type="spellEnd"/>
          </w:p>
        </w:tc>
        <w:tc>
          <w:tcPr>
            <w:tcW w:w="850" w:type="dxa"/>
            <w:tcBorders>
              <w:top w:val="nil"/>
              <w:left w:val="nil"/>
              <w:bottom w:val="single" w:sz="4" w:space="0" w:color="auto"/>
              <w:right w:val="single" w:sz="4" w:space="0" w:color="auto"/>
            </w:tcBorders>
            <w:shd w:val="clear" w:color="auto" w:fill="auto"/>
            <w:noWrap/>
            <w:vAlign w:val="bottom"/>
            <w:hideMark/>
          </w:tcPr>
          <w:p w14:paraId="22DA1C9C"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0.04</w:t>
            </w:r>
          </w:p>
        </w:tc>
        <w:tc>
          <w:tcPr>
            <w:tcW w:w="709" w:type="dxa"/>
            <w:tcBorders>
              <w:top w:val="nil"/>
              <w:left w:val="nil"/>
              <w:bottom w:val="single" w:sz="4" w:space="0" w:color="auto"/>
              <w:right w:val="single" w:sz="4" w:space="0" w:color="auto"/>
            </w:tcBorders>
            <w:shd w:val="clear" w:color="auto" w:fill="auto"/>
            <w:noWrap/>
            <w:vAlign w:val="bottom"/>
            <w:hideMark/>
          </w:tcPr>
          <w:p w14:paraId="248844B8"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0.15</w:t>
            </w:r>
          </w:p>
        </w:tc>
        <w:tc>
          <w:tcPr>
            <w:tcW w:w="1016" w:type="dxa"/>
            <w:tcBorders>
              <w:top w:val="nil"/>
              <w:left w:val="nil"/>
              <w:bottom w:val="single" w:sz="4" w:space="0" w:color="auto"/>
              <w:right w:val="single" w:sz="4" w:space="0" w:color="auto"/>
            </w:tcBorders>
            <w:shd w:val="clear" w:color="auto" w:fill="auto"/>
            <w:noWrap/>
            <w:vAlign w:val="bottom"/>
            <w:hideMark/>
          </w:tcPr>
          <w:p w14:paraId="1AC11B97"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0.12</w:t>
            </w:r>
          </w:p>
        </w:tc>
        <w:tc>
          <w:tcPr>
            <w:tcW w:w="868" w:type="dxa"/>
            <w:tcBorders>
              <w:top w:val="nil"/>
              <w:left w:val="nil"/>
              <w:bottom w:val="single" w:sz="4" w:space="0" w:color="auto"/>
              <w:right w:val="single" w:sz="4" w:space="0" w:color="auto"/>
            </w:tcBorders>
            <w:shd w:val="clear" w:color="auto" w:fill="auto"/>
            <w:noWrap/>
            <w:vAlign w:val="bottom"/>
            <w:hideMark/>
          </w:tcPr>
          <w:p w14:paraId="7D4C3409"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0.13</w:t>
            </w:r>
          </w:p>
        </w:tc>
        <w:tc>
          <w:tcPr>
            <w:tcW w:w="833" w:type="dxa"/>
            <w:tcBorders>
              <w:top w:val="nil"/>
              <w:left w:val="nil"/>
              <w:bottom w:val="single" w:sz="4" w:space="0" w:color="auto"/>
              <w:right w:val="single" w:sz="4" w:space="0" w:color="auto"/>
            </w:tcBorders>
            <w:shd w:val="clear" w:color="auto" w:fill="auto"/>
            <w:noWrap/>
            <w:vAlign w:val="bottom"/>
            <w:hideMark/>
          </w:tcPr>
          <w:p w14:paraId="6F7548B5"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0.06</w:t>
            </w:r>
          </w:p>
        </w:tc>
        <w:tc>
          <w:tcPr>
            <w:tcW w:w="726" w:type="dxa"/>
            <w:tcBorders>
              <w:top w:val="nil"/>
              <w:left w:val="nil"/>
              <w:bottom w:val="single" w:sz="4" w:space="0" w:color="auto"/>
              <w:right w:val="single" w:sz="4" w:space="0" w:color="auto"/>
            </w:tcBorders>
            <w:shd w:val="clear" w:color="auto" w:fill="auto"/>
            <w:noWrap/>
            <w:vAlign w:val="bottom"/>
            <w:hideMark/>
          </w:tcPr>
          <w:p w14:paraId="0173494F"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0.09</w:t>
            </w:r>
          </w:p>
        </w:tc>
        <w:tc>
          <w:tcPr>
            <w:tcW w:w="891" w:type="dxa"/>
            <w:tcBorders>
              <w:top w:val="nil"/>
              <w:left w:val="nil"/>
              <w:bottom w:val="single" w:sz="4" w:space="0" w:color="auto"/>
              <w:right w:val="single" w:sz="4" w:space="0" w:color="auto"/>
            </w:tcBorders>
            <w:shd w:val="clear" w:color="auto" w:fill="auto"/>
            <w:noWrap/>
            <w:vAlign w:val="bottom"/>
            <w:hideMark/>
          </w:tcPr>
          <w:p w14:paraId="3ED0116C"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0.06</w:t>
            </w:r>
          </w:p>
        </w:tc>
        <w:tc>
          <w:tcPr>
            <w:tcW w:w="825" w:type="dxa"/>
            <w:tcBorders>
              <w:top w:val="nil"/>
              <w:left w:val="nil"/>
              <w:bottom w:val="single" w:sz="4" w:space="0" w:color="auto"/>
              <w:right w:val="single" w:sz="4" w:space="0" w:color="auto"/>
            </w:tcBorders>
            <w:shd w:val="clear" w:color="auto" w:fill="auto"/>
            <w:noWrap/>
            <w:vAlign w:val="bottom"/>
            <w:hideMark/>
          </w:tcPr>
          <w:p w14:paraId="4F393F24"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0.11</w:t>
            </w:r>
          </w:p>
        </w:tc>
      </w:tr>
      <w:tr w:rsidR="00A8274E" w:rsidRPr="00AE5020" w14:paraId="012FE4E2" w14:textId="77777777" w:rsidTr="001D10C8">
        <w:trPr>
          <w:trHeight w:val="24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1ED8E1C7" w14:textId="77777777" w:rsidR="00A8274E" w:rsidRPr="00AE5020" w:rsidRDefault="00A8274E" w:rsidP="001D10C8">
            <w:pPr>
              <w:rPr>
                <w:rFonts w:ascii="Calibri" w:eastAsia="Times New Roman" w:hAnsi="Calibri" w:cs="Calibri"/>
                <w:color w:val="000000"/>
                <w:sz w:val="18"/>
                <w:szCs w:val="18"/>
                <w:lang w:val="en-US"/>
              </w:rPr>
            </w:pPr>
            <w:r w:rsidRPr="00AE5020">
              <w:rPr>
                <w:rFonts w:ascii="Calibri" w:eastAsia="Times New Roman" w:hAnsi="Calibri" w:cs="Calibri"/>
                <w:color w:val="000000"/>
                <w:sz w:val="18"/>
                <w:szCs w:val="18"/>
                <w:lang w:val="en-US"/>
              </w:rPr>
              <w:t>7:92098549-92098549</w:t>
            </w:r>
          </w:p>
        </w:tc>
        <w:tc>
          <w:tcPr>
            <w:tcW w:w="1417" w:type="dxa"/>
            <w:tcBorders>
              <w:top w:val="nil"/>
              <w:left w:val="nil"/>
              <w:bottom w:val="single" w:sz="4" w:space="0" w:color="auto"/>
              <w:right w:val="single" w:sz="4" w:space="0" w:color="auto"/>
            </w:tcBorders>
            <w:shd w:val="clear" w:color="auto" w:fill="auto"/>
            <w:noWrap/>
            <w:vAlign w:val="bottom"/>
            <w:hideMark/>
          </w:tcPr>
          <w:p w14:paraId="015A53C8" w14:textId="77777777" w:rsidR="00A8274E" w:rsidRPr="00AE5020" w:rsidRDefault="00A8274E" w:rsidP="001D10C8">
            <w:pPr>
              <w:rPr>
                <w:rFonts w:ascii="Calibri" w:eastAsia="Times New Roman" w:hAnsi="Calibri" w:cs="Calibri"/>
                <w:b/>
                <w:bCs/>
                <w:i/>
                <w:sz w:val="18"/>
                <w:szCs w:val="18"/>
                <w:lang w:val="en-US"/>
              </w:rPr>
            </w:pPr>
            <w:r w:rsidRPr="00AE5020">
              <w:rPr>
                <w:rFonts w:ascii="Calibri" w:eastAsia="Times New Roman" w:hAnsi="Calibri" w:cs="Calibri"/>
                <w:b/>
                <w:bCs/>
                <w:i/>
                <w:sz w:val="18"/>
                <w:szCs w:val="18"/>
                <w:lang w:val="en-US"/>
              </w:rPr>
              <w:t>ERVW-1</w:t>
            </w:r>
          </w:p>
        </w:tc>
        <w:tc>
          <w:tcPr>
            <w:tcW w:w="1229" w:type="dxa"/>
            <w:tcBorders>
              <w:top w:val="nil"/>
              <w:left w:val="nil"/>
              <w:bottom w:val="single" w:sz="4" w:space="0" w:color="auto"/>
              <w:right w:val="single" w:sz="4" w:space="0" w:color="auto"/>
            </w:tcBorders>
            <w:shd w:val="clear" w:color="auto" w:fill="auto"/>
            <w:noWrap/>
            <w:vAlign w:val="bottom"/>
            <w:hideMark/>
          </w:tcPr>
          <w:p w14:paraId="014CD3E3" w14:textId="77777777" w:rsidR="00A8274E" w:rsidRPr="00AE5020" w:rsidRDefault="00A8274E" w:rsidP="001D10C8">
            <w:pPr>
              <w:jc w:val="right"/>
              <w:rPr>
                <w:rFonts w:ascii="Calibri" w:eastAsia="Times New Roman" w:hAnsi="Calibri" w:cs="Calibri"/>
                <w:color w:val="000000"/>
                <w:sz w:val="18"/>
                <w:szCs w:val="18"/>
                <w:lang w:val="en-US"/>
              </w:rPr>
            </w:pPr>
            <w:r w:rsidRPr="00AE5020">
              <w:rPr>
                <w:rFonts w:ascii="Calibri" w:eastAsia="Times New Roman" w:hAnsi="Calibri" w:cs="Calibri"/>
                <w:color w:val="000000"/>
                <w:sz w:val="18"/>
                <w:szCs w:val="18"/>
                <w:lang w:val="en-US"/>
              </w:rPr>
              <w:t>-</w:t>
            </w:r>
          </w:p>
        </w:tc>
        <w:tc>
          <w:tcPr>
            <w:tcW w:w="2032" w:type="dxa"/>
            <w:tcBorders>
              <w:top w:val="nil"/>
              <w:left w:val="nil"/>
              <w:bottom w:val="single" w:sz="4" w:space="0" w:color="auto"/>
              <w:right w:val="single" w:sz="4" w:space="0" w:color="auto"/>
            </w:tcBorders>
            <w:shd w:val="clear" w:color="auto" w:fill="auto"/>
            <w:noWrap/>
            <w:vAlign w:val="bottom"/>
            <w:hideMark/>
          </w:tcPr>
          <w:p w14:paraId="7B694FBA" w14:textId="77777777" w:rsidR="00A8274E" w:rsidRPr="00AE5020" w:rsidRDefault="00A8274E" w:rsidP="001D10C8">
            <w:pPr>
              <w:rPr>
                <w:rFonts w:ascii="Calibri" w:eastAsia="Times New Roman" w:hAnsi="Calibri" w:cs="Calibri"/>
                <w:color w:val="000000"/>
                <w:sz w:val="18"/>
                <w:szCs w:val="18"/>
                <w:lang w:val="en-US"/>
              </w:rPr>
            </w:pPr>
            <w:proofErr w:type="spellStart"/>
            <w:r w:rsidRPr="00AE5020">
              <w:rPr>
                <w:rFonts w:ascii="Calibri" w:eastAsia="Times New Roman" w:hAnsi="Calibri" w:cs="Calibri"/>
                <w:color w:val="000000"/>
                <w:sz w:val="18"/>
                <w:szCs w:val="18"/>
                <w:lang w:val="en-US"/>
              </w:rPr>
              <w:t>stop_gained</w:t>
            </w:r>
            <w:proofErr w:type="spellEnd"/>
          </w:p>
        </w:tc>
        <w:tc>
          <w:tcPr>
            <w:tcW w:w="850" w:type="dxa"/>
            <w:tcBorders>
              <w:top w:val="nil"/>
              <w:left w:val="nil"/>
              <w:bottom w:val="single" w:sz="4" w:space="0" w:color="auto"/>
              <w:right w:val="single" w:sz="4" w:space="0" w:color="auto"/>
            </w:tcBorders>
            <w:shd w:val="clear" w:color="auto" w:fill="auto"/>
            <w:noWrap/>
            <w:vAlign w:val="bottom"/>
            <w:hideMark/>
          </w:tcPr>
          <w:p w14:paraId="12249AFA"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0.21</w:t>
            </w:r>
          </w:p>
        </w:tc>
        <w:tc>
          <w:tcPr>
            <w:tcW w:w="709" w:type="dxa"/>
            <w:tcBorders>
              <w:top w:val="nil"/>
              <w:left w:val="nil"/>
              <w:bottom w:val="single" w:sz="4" w:space="0" w:color="auto"/>
              <w:right w:val="single" w:sz="4" w:space="0" w:color="auto"/>
            </w:tcBorders>
            <w:shd w:val="clear" w:color="auto" w:fill="auto"/>
            <w:noWrap/>
            <w:vAlign w:val="bottom"/>
            <w:hideMark/>
          </w:tcPr>
          <w:p w14:paraId="215A327A"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0.17</w:t>
            </w:r>
          </w:p>
        </w:tc>
        <w:tc>
          <w:tcPr>
            <w:tcW w:w="1016" w:type="dxa"/>
            <w:tcBorders>
              <w:top w:val="nil"/>
              <w:left w:val="nil"/>
              <w:bottom w:val="single" w:sz="4" w:space="0" w:color="auto"/>
              <w:right w:val="single" w:sz="4" w:space="0" w:color="auto"/>
            </w:tcBorders>
            <w:shd w:val="clear" w:color="auto" w:fill="auto"/>
            <w:noWrap/>
            <w:vAlign w:val="bottom"/>
            <w:hideMark/>
          </w:tcPr>
          <w:p w14:paraId="1C4F3B01"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0.00</w:t>
            </w:r>
          </w:p>
        </w:tc>
        <w:tc>
          <w:tcPr>
            <w:tcW w:w="868" w:type="dxa"/>
            <w:tcBorders>
              <w:top w:val="nil"/>
              <w:left w:val="nil"/>
              <w:bottom w:val="single" w:sz="4" w:space="0" w:color="auto"/>
              <w:right w:val="single" w:sz="4" w:space="0" w:color="auto"/>
            </w:tcBorders>
            <w:shd w:val="clear" w:color="auto" w:fill="auto"/>
            <w:noWrap/>
            <w:vAlign w:val="bottom"/>
            <w:hideMark/>
          </w:tcPr>
          <w:p w14:paraId="2697502F"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0.10</w:t>
            </w:r>
          </w:p>
        </w:tc>
        <w:tc>
          <w:tcPr>
            <w:tcW w:w="833" w:type="dxa"/>
            <w:tcBorders>
              <w:top w:val="nil"/>
              <w:left w:val="nil"/>
              <w:bottom w:val="single" w:sz="4" w:space="0" w:color="auto"/>
              <w:right w:val="single" w:sz="4" w:space="0" w:color="auto"/>
            </w:tcBorders>
            <w:shd w:val="clear" w:color="auto" w:fill="auto"/>
            <w:noWrap/>
            <w:vAlign w:val="bottom"/>
            <w:hideMark/>
          </w:tcPr>
          <w:p w14:paraId="15EBE51B"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0.09</w:t>
            </w:r>
          </w:p>
        </w:tc>
        <w:tc>
          <w:tcPr>
            <w:tcW w:w="726" w:type="dxa"/>
            <w:tcBorders>
              <w:top w:val="nil"/>
              <w:left w:val="nil"/>
              <w:bottom w:val="single" w:sz="4" w:space="0" w:color="auto"/>
              <w:right w:val="single" w:sz="4" w:space="0" w:color="auto"/>
            </w:tcBorders>
            <w:shd w:val="clear" w:color="auto" w:fill="auto"/>
            <w:noWrap/>
            <w:vAlign w:val="bottom"/>
            <w:hideMark/>
          </w:tcPr>
          <w:p w14:paraId="15C101F8"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0.09</w:t>
            </w:r>
          </w:p>
        </w:tc>
        <w:tc>
          <w:tcPr>
            <w:tcW w:w="891" w:type="dxa"/>
            <w:tcBorders>
              <w:top w:val="nil"/>
              <w:left w:val="nil"/>
              <w:bottom w:val="single" w:sz="4" w:space="0" w:color="auto"/>
              <w:right w:val="single" w:sz="4" w:space="0" w:color="auto"/>
            </w:tcBorders>
            <w:shd w:val="clear" w:color="auto" w:fill="auto"/>
            <w:noWrap/>
            <w:vAlign w:val="bottom"/>
            <w:hideMark/>
          </w:tcPr>
          <w:p w14:paraId="287553AC"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0.13</w:t>
            </w:r>
          </w:p>
        </w:tc>
        <w:tc>
          <w:tcPr>
            <w:tcW w:w="825" w:type="dxa"/>
            <w:tcBorders>
              <w:top w:val="nil"/>
              <w:left w:val="nil"/>
              <w:bottom w:val="single" w:sz="4" w:space="0" w:color="auto"/>
              <w:right w:val="single" w:sz="4" w:space="0" w:color="auto"/>
            </w:tcBorders>
            <w:shd w:val="clear" w:color="auto" w:fill="auto"/>
            <w:noWrap/>
            <w:vAlign w:val="bottom"/>
            <w:hideMark/>
          </w:tcPr>
          <w:p w14:paraId="3817B963"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0.10</w:t>
            </w:r>
          </w:p>
        </w:tc>
      </w:tr>
      <w:tr w:rsidR="00A8274E" w:rsidRPr="00AE5020" w14:paraId="2F0DA992" w14:textId="77777777" w:rsidTr="001D10C8">
        <w:trPr>
          <w:trHeight w:val="24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256C6461" w14:textId="77777777" w:rsidR="00A8274E" w:rsidRPr="00AE5020" w:rsidRDefault="00A8274E" w:rsidP="001D10C8">
            <w:pPr>
              <w:rPr>
                <w:rFonts w:ascii="Calibri" w:eastAsia="Times New Roman" w:hAnsi="Calibri" w:cs="Calibri"/>
                <w:color w:val="000000"/>
                <w:sz w:val="18"/>
                <w:szCs w:val="18"/>
                <w:lang w:val="en-US"/>
              </w:rPr>
            </w:pPr>
            <w:r w:rsidRPr="00AE5020">
              <w:rPr>
                <w:rFonts w:ascii="Calibri" w:eastAsia="Times New Roman" w:hAnsi="Calibri" w:cs="Calibri"/>
                <w:color w:val="000000"/>
                <w:sz w:val="18"/>
                <w:szCs w:val="18"/>
                <w:lang w:val="en-US"/>
              </w:rPr>
              <w:t>1:1257286-1257286</w:t>
            </w:r>
          </w:p>
        </w:tc>
        <w:tc>
          <w:tcPr>
            <w:tcW w:w="1417" w:type="dxa"/>
            <w:tcBorders>
              <w:top w:val="nil"/>
              <w:left w:val="nil"/>
              <w:bottom w:val="single" w:sz="4" w:space="0" w:color="auto"/>
              <w:right w:val="single" w:sz="4" w:space="0" w:color="auto"/>
            </w:tcBorders>
            <w:shd w:val="clear" w:color="auto" w:fill="auto"/>
            <w:noWrap/>
            <w:vAlign w:val="bottom"/>
            <w:hideMark/>
          </w:tcPr>
          <w:p w14:paraId="4A53B282" w14:textId="77777777" w:rsidR="00A8274E" w:rsidRPr="00AE5020" w:rsidRDefault="00A8274E" w:rsidP="001D10C8">
            <w:pPr>
              <w:rPr>
                <w:rFonts w:ascii="Calibri" w:eastAsia="Times New Roman" w:hAnsi="Calibri" w:cs="Calibri"/>
                <w:b/>
                <w:i/>
                <w:sz w:val="18"/>
                <w:szCs w:val="18"/>
                <w:lang w:val="en-US"/>
              </w:rPr>
            </w:pPr>
            <w:r w:rsidRPr="00AE5020">
              <w:rPr>
                <w:rFonts w:ascii="Calibri" w:eastAsia="Times New Roman" w:hAnsi="Calibri" w:cs="Calibri"/>
                <w:b/>
                <w:i/>
                <w:sz w:val="18"/>
                <w:szCs w:val="18"/>
                <w:lang w:val="en-US"/>
              </w:rPr>
              <w:t>CPSF3L</w:t>
            </w:r>
          </w:p>
        </w:tc>
        <w:tc>
          <w:tcPr>
            <w:tcW w:w="1229" w:type="dxa"/>
            <w:tcBorders>
              <w:top w:val="nil"/>
              <w:left w:val="nil"/>
              <w:bottom w:val="single" w:sz="4" w:space="0" w:color="auto"/>
              <w:right w:val="single" w:sz="4" w:space="0" w:color="auto"/>
            </w:tcBorders>
            <w:shd w:val="clear" w:color="auto" w:fill="auto"/>
            <w:noWrap/>
            <w:vAlign w:val="bottom"/>
            <w:hideMark/>
          </w:tcPr>
          <w:p w14:paraId="07F3FF55" w14:textId="77777777" w:rsidR="00A8274E" w:rsidRPr="00AE5020" w:rsidRDefault="00A8274E" w:rsidP="001D10C8">
            <w:pPr>
              <w:jc w:val="right"/>
              <w:rPr>
                <w:rFonts w:ascii="Calibri" w:eastAsia="Times New Roman" w:hAnsi="Calibri" w:cs="Calibri"/>
                <w:color w:val="000000"/>
                <w:sz w:val="18"/>
                <w:szCs w:val="18"/>
                <w:lang w:val="en-US"/>
              </w:rPr>
            </w:pPr>
            <w:r w:rsidRPr="00AE5020">
              <w:rPr>
                <w:rFonts w:ascii="Calibri" w:eastAsia="Times New Roman" w:hAnsi="Calibri" w:cs="Calibri"/>
                <w:color w:val="000000"/>
                <w:sz w:val="18"/>
                <w:szCs w:val="18"/>
                <w:lang w:val="en-US"/>
              </w:rPr>
              <w:t>14.75</w:t>
            </w:r>
          </w:p>
        </w:tc>
        <w:tc>
          <w:tcPr>
            <w:tcW w:w="2032" w:type="dxa"/>
            <w:tcBorders>
              <w:top w:val="nil"/>
              <w:left w:val="nil"/>
              <w:bottom w:val="single" w:sz="4" w:space="0" w:color="auto"/>
              <w:right w:val="single" w:sz="4" w:space="0" w:color="auto"/>
            </w:tcBorders>
            <w:shd w:val="clear" w:color="auto" w:fill="auto"/>
            <w:noWrap/>
            <w:vAlign w:val="bottom"/>
            <w:hideMark/>
          </w:tcPr>
          <w:p w14:paraId="3697106F" w14:textId="77777777" w:rsidR="00A8274E" w:rsidRPr="00AE5020" w:rsidRDefault="00A8274E" w:rsidP="001D10C8">
            <w:pPr>
              <w:rPr>
                <w:rFonts w:ascii="Calibri" w:eastAsia="Times New Roman" w:hAnsi="Calibri" w:cs="Calibri"/>
                <w:color w:val="000000"/>
                <w:sz w:val="18"/>
                <w:szCs w:val="18"/>
                <w:lang w:val="en-US"/>
              </w:rPr>
            </w:pPr>
            <w:proofErr w:type="spellStart"/>
            <w:r w:rsidRPr="00AE5020">
              <w:rPr>
                <w:rFonts w:ascii="Calibri" w:eastAsia="Times New Roman" w:hAnsi="Calibri" w:cs="Calibri"/>
                <w:color w:val="000000"/>
                <w:sz w:val="18"/>
                <w:szCs w:val="18"/>
                <w:lang w:val="en-US"/>
              </w:rPr>
              <w:t>splice_donor_variant</w:t>
            </w:r>
            <w:proofErr w:type="spellEnd"/>
          </w:p>
        </w:tc>
        <w:tc>
          <w:tcPr>
            <w:tcW w:w="850" w:type="dxa"/>
            <w:tcBorders>
              <w:top w:val="nil"/>
              <w:left w:val="nil"/>
              <w:bottom w:val="single" w:sz="4" w:space="0" w:color="auto"/>
              <w:right w:val="single" w:sz="4" w:space="0" w:color="auto"/>
            </w:tcBorders>
            <w:shd w:val="clear" w:color="auto" w:fill="auto"/>
            <w:noWrap/>
            <w:vAlign w:val="bottom"/>
            <w:hideMark/>
          </w:tcPr>
          <w:p w14:paraId="5C5E40C6"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0.04</w:t>
            </w:r>
          </w:p>
        </w:tc>
        <w:tc>
          <w:tcPr>
            <w:tcW w:w="709" w:type="dxa"/>
            <w:tcBorders>
              <w:top w:val="nil"/>
              <w:left w:val="nil"/>
              <w:bottom w:val="single" w:sz="4" w:space="0" w:color="auto"/>
              <w:right w:val="single" w:sz="4" w:space="0" w:color="auto"/>
            </w:tcBorders>
            <w:shd w:val="clear" w:color="auto" w:fill="auto"/>
            <w:noWrap/>
            <w:vAlign w:val="bottom"/>
            <w:hideMark/>
          </w:tcPr>
          <w:p w14:paraId="26E7CC97"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0.15</w:t>
            </w:r>
          </w:p>
        </w:tc>
        <w:tc>
          <w:tcPr>
            <w:tcW w:w="1016" w:type="dxa"/>
            <w:tcBorders>
              <w:top w:val="nil"/>
              <w:left w:val="nil"/>
              <w:bottom w:val="single" w:sz="4" w:space="0" w:color="auto"/>
              <w:right w:val="single" w:sz="4" w:space="0" w:color="auto"/>
            </w:tcBorders>
            <w:shd w:val="clear" w:color="auto" w:fill="auto"/>
            <w:noWrap/>
            <w:vAlign w:val="bottom"/>
            <w:hideMark/>
          </w:tcPr>
          <w:p w14:paraId="25A07C79"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0.08</w:t>
            </w:r>
          </w:p>
        </w:tc>
        <w:tc>
          <w:tcPr>
            <w:tcW w:w="868" w:type="dxa"/>
            <w:tcBorders>
              <w:top w:val="nil"/>
              <w:left w:val="nil"/>
              <w:bottom w:val="single" w:sz="4" w:space="0" w:color="auto"/>
              <w:right w:val="single" w:sz="4" w:space="0" w:color="auto"/>
            </w:tcBorders>
            <w:shd w:val="clear" w:color="auto" w:fill="auto"/>
            <w:noWrap/>
            <w:vAlign w:val="bottom"/>
            <w:hideMark/>
          </w:tcPr>
          <w:p w14:paraId="18D3E99A"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0.13</w:t>
            </w:r>
          </w:p>
        </w:tc>
        <w:tc>
          <w:tcPr>
            <w:tcW w:w="833" w:type="dxa"/>
            <w:tcBorders>
              <w:top w:val="nil"/>
              <w:left w:val="nil"/>
              <w:bottom w:val="single" w:sz="4" w:space="0" w:color="auto"/>
              <w:right w:val="single" w:sz="4" w:space="0" w:color="auto"/>
            </w:tcBorders>
            <w:shd w:val="clear" w:color="auto" w:fill="auto"/>
            <w:noWrap/>
            <w:vAlign w:val="bottom"/>
            <w:hideMark/>
          </w:tcPr>
          <w:p w14:paraId="14B582E7"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0.09</w:t>
            </w:r>
          </w:p>
        </w:tc>
        <w:tc>
          <w:tcPr>
            <w:tcW w:w="726" w:type="dxa"/>
            <w:tcBorders>
              <w:top w:val="nil"/>
              <w:left w:val="nil"/>
              <w:bottom w:val="single" w:sz="4" w:space="0" w:color="auto"/>
              <w:right w:val="single" w:sz="4" w:space="0" w:color="auto"/>
            </w:tcBorders>
            <w:shd w:val="clear" w:color="auto" w:fill="auto"/>
            <w:noWrap/>
            <w:vAlign w:val="bottom"/>
            <w:hideMark/>
          </w:tcPr>
          <w:p w14:paraId="126B961D"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0.03</w:t>
            </w:r>
          </w:p>
        </w:tc>
        <w:tc>
          <w:tcPr>
            <w:tcW w:w="891" w:type="dxa"/>
            <w:tcBorders>
              <w:top w:val="nil"/>
              <w:left w:val="nil"/>
              <w:bottom w:val="single" w:sz="4" w:space="0" w:color="auto"/>
              <w:right w:val="single" w:sz="4" w:space="0" w:color="auto"/>
            </w:tcBorders>
            <w:shd w:val="clear" w:color="auto" w:fill="auto"/>
            <w:noWrap/>
            <w:vAlign w:val="bottom"/>
            <w:hideMark/>
          </w:tcPr>
          <w:p w14:paraId="446A80DF"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0.09</w:t>
            </w:r>
          </w:p>
        </w:tc>
        <w:tc>
          <w:tcPr>
            <w:tcW w:w="825" w:type="dxa"/>
            <w:tcBorders>
              <w:top w:val="nil"/>
              <w:left w:val="nil"/>
              <w:bottom w:val="single" w:sz="4" w:space="0" w:color="auto"/>
              <w:right w:val="single" w:sz="4" w:space="0" w:color="auto"/>
            </w:tcBorders>
            <w:shd w:val="clear" w:color="auto" w:fill="auto"/>
            <w:noWrap/>
            <w:vAlign w:val="bottom"/>
            <w:hideMark/>
          </w:tcPr>
          <w:p w14:paraId="44DEB68A"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0.10</w:t>
            </w:r>
          </w:p>
        </w:tc>
      </w:tr>
      <w:tr w:rsidR="00A8274E" w:rsidRPr="00AE5020" w14:paraId="6C5334C2" w14:textId="77777777" w:rsidTr="001D10C8">
        <w:trPr>
          <w:trHeight w:val="24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3A2F0CEC" w14:textId="77777777" w:rsidR="00A8274E" w:rsidRPr="00AE5020" w:rsidRDefault="00A8274E" w:rsidP="001D10C8">
            <w:pPr>
              <w:rPr>
                <w:rFonts w:ascii="Calibri" w:eastAsia="Times New Roman" w:hAnsi="Calibri" w:cs="Calibri"/>
                <w:color w:val="000000"/>
                <w:sz w:val="18"/>
                <w:szCs w:val="18"/>
                <w:lang w:val="en-US"/>
              </w:rPr>
            </w:pPr>
            <w:r w:rsidRPr="00AE5020">
              <w:rPr>
                <w:rFonts w:ascii="Calibri" w:eastAsia="Times New Roman" w:hAnsi="Calibri" w:cs="Calibri"/>
                <w:color w:val="000000"/>
                <w:sz w:val="18"/>
                <w:szCs w:val="18"/>
                <w:lang w:val="en-US"/>
              </w:rPr>
              <w:t>1:12919891-12919891</w:t>
            </w:r>
          </w:p>
        </w:tc>
        <w:tc>
          <w:tcPr>
            <w:tcW w:w="1417" w:type="dxa"/>
            <w:tcBorders>
              <w:top w:val="nil"/>
              <w:left w:val="nil"/>
              <w:bottom w:val="single" w:sz="4" w:space="0" w:color="auto"/>
              <w:right w:val="single" w:sz="4" w:space="0" w:color="auto"/>
            </w:tcBorders>
            <w:shd w:val="clear" w:color="auto" w:fill="auto"/>
            <w:noWrap/>
            <w:vAlign w:val="bottom"/>
            <w:hideMark/>
          </w:tcPr>
          <w:p w14:paraId="3A0F8D21" w14:textId="77777777" w:rsidR="00A8274E" w:rsidRPr="00AE5020" w:rsidRDefault="00A8274E" w:rsidP="001D10C8">
            <w:pPr>
              <w:rPr>
                <w:rFonts w:ascii="Calibri" w:eastAsia="Times New Roman" w:hAnsi="Calibri" w:cs="Calibri"/>
                <w:b/>
                <w:i/>
                <w:sz w:val="18"/>
                <w:szCs w:val="18"/>
                <w:lang w:val="en-US"/>
              </w:rPr>
            </w:pPr>
            <w:r w:rsidRPr="00AE5020">
              <w:rPr>
                <w:rFonts w:ascii="Calibri" w:eastAsia="Times New Roman" w:hAnsi="Calibri" w:cs="Calibri"/>
                <w:b/>
                <w:i/>
                <w:sz w:val="18"/>
                <w:szCs w:val="18"/>
                <w:lang w:val="en-US"/>
              </w:rPr>
              <w:t>PRAMEF2</w:t>
            </w:r>
          </w:p>
        </w:tc>
        <w:tc>
          <w:tcPr>
            <w:tcW w:w="1229" w:type="dxa"/>
            <w:tcBorders>
              <w:top w:val="nil"/>
              <w:left w:val="nil"/>
              <w:bottom w:val="single" w:sz="4" w:space="0" w:color="auto"/>
              <w:right w:val="single" w:sz="4" w:space="0" w:color="auto"/>
            </w:tcBorders>
            <w:shd w:val="clear" w:color="auto" w:fill="auto"/>
            <w:noWrap/>
            <w:vAlign w:val="bottom"/>
            <w:hideMark/>
          </w:tcPr>
          <w:p w14:paraId="01A60B33" w14:textId="77777777" w:rsidR="00A8274E" w:rsidRPr="00AE5020" w:rsidRDefault="00A8274E" w:rsidP="001D10C8">
            <w:pPr>
              <w:jc w:val="right"/>
              <w:rPr>
                <w:rFonts w:ascii="Calibri" w:eastAsia="Times New Roman" w:hAnsi="Calibri" w:cs="Calibri"/>
                <w:color w:val="000000"/>
                <w:sz w:val="18"/>
                <w:szCs w:val="18"/>
                <w:lang w:val="en-US"/>
              </w:rPr>
            </w:pPr>
            <w:r w:rsidRPr="00AE5020">
              <w:rPr>
                <w:rFonts w:ascii="Calibri" w:eastAsia="Times New Roman" w:hAnsi="Calibri" w:cs="Calibri"/>
                <w:color w:val="000000"/>
                <w:sz w:val="18"/>
                <w:szCs w:val="18"/>
                <w:lang w:val="en-US"/>
              </w:rPr>
              <w:t>35</w:t>
            </w:r>
          </w:p>
        </w:tc>
        <w:tc>
          <w:tcPr>
            <w:tcW w:w="2032" w:type="dxa"/>
            <w:tcBorders>
              <w:top w:val="nil"/>
              <w:left w:val="nil"/>
              <w:bottom w:val="single" w:sz="4" w:space="0" w:color="auto"/>
              <w:right w:val="single" w:sz="4" w:space="0" w:color="auto"/>
            </w:tcBorders>
            <w:shd w:val="clear" w:color="auto" w:fill="auto"/>
            <w:noWrap/>
            <w:vAlign w:val="bottom"/>
            <w:hideMark/>
          </w:tcPr>
          <w:p w14:paraId="5A085FB2" w14:textId="77777777" w:rsidR="00A8274E" w:rsidRPr="00AE5020" w:rsidRDefault="00A8274E" w:rsidP="001D10C8">
            <w:pPr>
              <w:rPr>
                <w:rFonts w:ascii="Calibri" w:eastAsia="Times New Roman" w:hAnsi="Calibri" w:cs="Calibri"/>
                <w:color w:val="000000"/>
                <w:sz w:val="18"/>
                <w:szCs w:val="18"/>
                <w:lang w:val="en-US"/>
              </w:rPr>
            </w:pPr>
            <w:proofErr w:type="spellStart"/>
            <w:r w:rsidRPr="00AE5020">
              <w:rPr>
                <w:rFonts w:ascii="Calibri" w:eastAsia="Times New Roman" w:hAnsi="Calibri" w:cs="Calibri"/>
                <w:color w:val="000000"/>
                <w:sz w:val="18"/>
                <w:szCs w:val="18"/>
                <w:lang w:val="en-US"/>
              </w:rPr>
              <w:t>stop_gained</w:t>
            </w:r>
            <w:proofErr w:type="spellEnd"/>
          </w:p>
        </w:tc>
        <w:tc>
          <w:tcPr>
            <w:tcW w:w="850" w:type="dxa"/>
            <w:tcBorders>
              <w:top w:val="nil"/>
              <w:left w:val="nil"/>
              <w:bottom w:val="single" w:sz="4" w:space="0" w:color="auto"/>
              <w:right w:val="single" w:sz="4" w:space="0" w:color="auto"/>
            </w:tcBorders>
            <w:shd w:val="clear" w:color="auto" w:fill="auto"/>
            <w:noWrap/>
            <w:vAlign w:val="bottom"/>
            <w:hideMark/>
          </w:tcPr>
          <w:p w14:paraId="0E4C040A"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0.17</w:t>
            </w:r>
          </w:p>
        </w:tc>
        <w:tc>
          <w:tcPr>
            <w:tcW w:w="709" w:type="dxa"/>
            <w:tcBorders>
              <w:top w:val="nil"/>
              <w:left w:val="nil"/>
              <w:bottom w:val="single" w:sz="4" w:space="0" w:color="auto"/>
              <w:right w:val="single" w:sz="4" w:space="0" w:color="auto"/>
            </w:tcBorders>
            <w:shd w:val="clear" w:color="auto" w:fill="auto"/>
            <w:noWrap/>
            <w:vAlign w:val="bottom"/>
            <w:hideMark/>
          </w:tcPr>
          <w:p w14:paraId="1543A071"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0.17</w:t>
            </w:r>
          </w:p>
        </w:tc>
        <w:tc>
          <w:tcPr>
            <w:tcW w:w="1016" w:type="dxa"/>
            <w:tcBorders>
              <w:top w:val="nil"/>
              <w:left w:val="nil"/>
              <w:bottom w:val="single" w:sz="4" w:space="0" w:color="auto"/>
              <w:right w:val="single" w:sz="4" w:space="0" w:color="auto"/>
            </w:tcBorders>
            <w:shd w:val="clear" w:color="auto" w:fill="auto"/>
            <w:noWrap/>
            <w:vAlign w:val="bottom"/>
            <w:hideMark/>
          </w:tcPr>
          <w:p w14:paraId="5E6EDA5A"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0.07</w:t>
            </w:r>
          </w:p>
        </w:tc>
        <w:tc>
          <w:tcPr>
            <w:tcW w:w="868" w:type="dxa"/>
            <w:tcBorders>
              <w:top w:val="nil"/>
              <w:left w:val="nil"/>
              <w:bottom w:val="single" w:sz="4" w:space="0" w:color="auto"/>
              <w:right w:val="single" w:sz="4" w:space="0" w:color="auto"/>
            </w:tcBorders>
            <w:shd w:val="clear" w:color="auto" w:fill="auto"/>
            <w:noWrap/>
            <w:vAlign w:val="bottom"/>
            <w:hideMark/>
          </w:tcPr>
          <w:p w14:paraId="5DBB9D96"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0.07</w:t>
            </w:r>
          </w:p>
        </w:tc>
        <w:tc>
          <w:tcPr>
            <w:tcW w:w="833" w:type="dxa"/>
            <w:tcBorders>
              <w:top w:val="nil"/>
              <w:left w:val="nil"/>
              <w:bottom w:val="single" w:sz="4" w:space="0" w:color="auto"/>
              <w:right w:val="single" w:sz="4" w:space="0" w:color="auto"/>
            </w:tcBorders>
            <w:shd w:val="clear" w:color="auto" w:fill="auto"/>
            <w:noWrap/>
            <w:vAlign w:val="bottom"/>
            <w:hideMark/>
          </w:tcPr>
          <w:p w14:paraId="01997D1B"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0.16</w:t>
            </w:r>
          </w:p>
        </w:tc>
        <w:tc>
          <w:tcPr>
            <w:tcW w:w="726" w:type="dxa"/>
            <w:tcBorders>
              <w:top w:val="nil"/>
              <w:left w:val="nil"/>
              <w:bottom w:val="single" w:sz="4" w:space="0" w:color="auto"/>
              <w:right w:val="single" w:sz="4" w:space="0" w:color="auto"/>
            </w:tcBorders>
            <w:shd w:val="clear" w:color="auto" w:fill="auto"/>
            <w:noWrap/>
            <w:vAlign w:val="bottom"/>
            <w:hideMark/>
          </w:tcPr>
          <w:p w14:paraId="786120B7"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0.00</w:t>
            </w:r>
          </w:p>
        </w:tc>
        <w:tc>
          <w:tcPr>
            <w:tcW w:w="891" w:type="dxa"/>
            <w:tcBorders>
              <w:top w:val="nil"/>
              <w:left w:val="nil"/>
              <w:bottom w:val="single" w:sz="4" w:space="0" w:color="auto"/>
              <w:right w:val="single" w:sz="4" w:space="0" w:color="auto"/>
            </w:tcBorders>
            <w:shd w:val="clear" w:color="auto" w:fill="auto"/>
            <w:noWrap/>
            <w:vAlign w:val="bottom"/>
            <w:hideMark/>
          </w:tcPr>
          <w:p w14:paraId="4130F741"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0.06</w:t>
            </w:r>
          </w:p>
        </w:tc>
        <w:tc>
          <w:tcPr>
            <w:tcW w:w="825" w:type="dxa"/>
            <w:tcBorders>
              <w:top w:val="nil"/>
              <w:left w:val="nil"/>
              <w:bottom w:val="single" w:sz="4" w:space="0" w:color="auto"/>
              <w:right w:val="single" w:sz="4" w:space="0" w:color="auto"/>
            </w:tcBorders>
            <w:shd w:val="clear" w:color="auto" w:fill="auto"/>
            <w:noWrap/>
            <w:vAlign w:val="bottom"/>
            <w:hideMark/>
          </w:tcPr>
          <w:p w14:paraId="0E8A57B3" w14:textId="77777777" w:rsidR="00A8274E" w:rsidRPr="00AE5020" w:rsidRDefault="00A8274E" w:rsidP="001D10C8">
            <w:pPr>
              <w:jc w:val="right"/>
              <w:rPr>
                <w:rFonts w:ascii="Calibri" w:eastAsia="Times New Roman" w:hAnsi="Calibri" w:cs="Calibri"/>
                <w:sz w:val="18"/>
                <w:szCs w:val="18"/>
                <w:lang w:val="en-US"/>
              </w:rPr>
            </w:pPr>
            <w:r w:rsidRPr="00AE5020">
              <w:rPr>
                <w:rFonts w:ascii="Calibri" w:hAnsi="Calibri" w:cs="Calibri"/>
                <w:color w:val="000000"/>
                <w:sz w:val="18"/>
                <w:szCs w:val="18"/>
                <w:lang w:val="en-US"/>
              </w:rPr>
              <w:t>0.10</w:t>
            </w:r>
          </w:p>
        </w:tc>
      </w:tr>
      <w:bookmarkEnd w:id="16"/>
    </w:tbl>
    <w:p w14:paraId="4F1BE24C" w14:textId="77777777" w:rsidR="00A8274E" w:rsidRPr="00AE5020" w:rsidRDefault="00A8274E" w:rsidP="00A8274E">
      <w:pPr>
        <w:jc w:val="both"/>
        <w:rPr>
          <w:b/>
          <w:bCs/>
          <w:sz w:val="20"/>
          <w:lang w:val="en-US"/>
        </w:rPr>
      </w:pPr>
    </w:p>
    <w:p w14:paraId="7BC56622" w14:textId="76702C74" w:rsidR="00A8274E" w:rsidRPr="00AE5020" w:rsidRDefault="00A8274E" w:rsidP="00A8274E">
      <w:pPr>
        <w:jc w:val="both"/>
        <w:rPr>
          <w:sz w:val="20"/>
          <w:lang w:val="en-US"/>
        </w:rPr>
      </w:pPr>
      <w:r w:rsidRPr="00AE5020">
        <w:rPr>
          <w:b/>
          <w:bCs/>
          <w:sz w:val="20"/>
          <w:lang w:val="en-US"/>
        </w:rPr>
        <w:t>Table </w:t>
      </w:r>
      <w:r w:rsidR="00831720">
        <w:rPr>
          <w:b/>
          <w:bCs/>
          <w:sz w:val="20"/>
          <w:lang w:val="en-US"/>
        </w:rPr>
        <w:t>2</w:t>
      </w:r>
      <w:r w:rsidRPr="00AE5020">
        <w:rPr>
          <w:b/>
          <w:bCs/>
          <w:sz w:val="20"/>
          <w:lang w:val="en-US"/>
        </w:rPr>
        <w:t>.</w:t>
      </w:r>
      <w:r w:rsidRPr="00AE5020">
        <w:rPr>
          <w:sz w:val="20"/>
          <w:lang w:val="en-US"/>
        </w:rPr>
        <w:t xml:space="preserve"> </w:t>
      </w:r>
      <w:proofErr w:type="gramStart"/>
      <w:r w:rsidRPr="00AE5020">
        <w:rPr>
          <w:sz w:val="20"/>
          <w:lang w:val="en-US"/>
        </w:rPr>
        <w:t>High‐impact</w:t>
      </w:r>
      <w:proofErr w:type="gramEnd"/>
      <w:r w:rsidRPr="00AE5020">
        <w:rPr>
          <w:sz w:val="20"/>
          <w:lang w:val="en-US"/>
        </w:rPr>
        <w:t xml:space="preserve"> ≥0.1 allele frequency variants with total AF&lt;0.01 or not present in </w:t>
      </w:r>
      <w:proofErr w:type="spellStart"/>
      <w:r w:rsidRPr="00AE5020">
        <w:rPr>
          <w:sz w:val="20"/>
          <w:lang w:val="en-US"/>
        </w:rPr>
        <w:t>gnomAD</w:t>
      </w:r>
      <w:proofErr w:type="spellEnd"/>
      <w:r w:rsidRPr="00AE5020">
        <w:rPr>
          <w:sz w:val="20"/>
          <w:lang w:val="en-US"/>
        </w:rPr>
        <w:t xml:space="preserve">. Each row shows the </w:t>
      </w:r>
      <w:r w:rsidRPr="00AE5020">
        <w:rPr>
          <w:bCs/>
          <w:sz w:val="20"/>
          <w:lang w:val="en-US"/>
        </w:rPr>
        <w:t>genomic coordinate</w:t>
      </w:r>
      <w:r w:rsidRPr="00AE5020">
        <w:rPr>
          <w:sz w:val="20"/>
          <w:lang w:val="en-US"/>
        </w:rPr>
        <w:t xml:space="preserve"> (hg19), </w:t>
      </w:r>
      <w:r w:rsidRPr="00AE5020">
        <w:rPr>
          <w:bCs/>
          <w:sz w:val="20"/>
          <w:lang w:val="en-US"/>
        </w:rPr>
        <w:t>gene symbol</w:t>
      </w:r>
      <w:r w:rsidRPr="00AE5020">
        <w:rPr>
          <w:sz w:val="20"/>
          <w:lang w:val="en-US"/>
        </w:rPr>
        <w:t xml:space="preserve">, </w:t>
      </w:r>
      <w:r w:rsidRPr="00AE5020">
        <w:rPr>
          <w:bCs/>
          <w:sz w:val="20"/>
          <w:lang w:val="en-US"/>
        </w:rPr>
        <w:t>CADD_PHRED</w:t>
      </w:r>
      <w:r w:rsidRPr="00AE5020">
        <w:rPr>
          <w:sz w:val="20"/>
          <w:lang w:val="en-US"/>
        </w:rPr>
        <w:t xml:space="preserve"> score (an in silico estimate of variant deleteriousness), </w:t>
      </w:r>
      <w:r w:rsidRPr="00AE5020">
        <w:rPr>
          <w:bCs/>
          <w:sz w:val="20"/>
          <w:lang w:val="en-US"/>
        </w:rPr>
        <w:t>predicted consequence</w:t>
      </w:r>
      <w:r w:rsidRPr="00AE5020">
        <w:rPr>
          <w:sz w:val="20"/>
          <w:lang w:val="en-US"/>
        </w:rPr>
        <w:t xml:space="preserve"> (e.g., stop‐gained, splice‐donor/acceptor mutation), and the predicted consequence. The numeric columns under each population (Matzes, Uros, </w:t>
      </w:r>
      <w:proofErr w:type="spellStart"/>
      <w:r w:rsidRPr="00AE5020">
        <w:rPr>
          <w:sz w:val="20"/>
          <w:lang w:val="en-US"/>
        </w:rPr>
        <w:t>Chopccas</w:t>
      </w:r>
      <w:proofErr w:type="spellEnd"/>
      <w:r w:rsidRPr="00AE5020">
        <w:rPr>
          <w:sz w:val="20"/>
          <w:lang w:val="en-US"/>
        </w:rPr>
        <w:t xml:space="preserve">, </w:t>
      </w:r>
      <w:proofErr w:type="spellStart"/>
      <w:r w:rsidRPr="00AE5020">
        <w:rPr>
          <w:sz w:val="20"/>
          <w:lang w:val="en-US"/>
        </w:rPr>
        <w:t>Moches</w:t>
      </w:r>
      <w:proofErr w:type="spellEnd"/>
      <w:r w:rsidRPr="00AE5020">
        <w:rPr>
          <w:sz w:val="20"/>
          <w:lang w:val="en-US"/>
        </w:rPr>
        <w:t xml:space="preserve">, Iquitos, Cusco, Trujillo) indicate the </w:t>
      </w:r>
      <w:r w:rsidRPr="00AE5020">
        <w:rPr>
          <w:bCs/>
          <w:sz w:val="20"/>
          <w:lang w:val="en-US"/>
        </w:rPr>
        <w:t>allele frequencies</w:t>
      </w:r>
      <w:r w:rsidRPr="00AE5020">
        <w:rPr>
          <w:sz w:val="20"/>
          <w:lang w:val="en-US"/>
        </w:rPr>
        <w:t xml:space="preserve"> for that variant in that </w:t>
      </w:r>
      <w:proofErr w:type="gramStart"/>
      <w:r w:rsidRPr="00AE5020">
        <w:rPr>
          <w:sz w:val="20"/>
          <w:lang w:val="en-US"/>
        </w:rPr>
        <w:t>particular population</w:t>
      </w:r>
      <w:proofErr w:type="gramEnd"/>
      <w:r w:rsidRPr="00AE5020">
        <w:rPr>
          <w:sz w:val="20"/>
          <w:lang w:val="en-US"/>
        </w:rPr>
        <w:t xml:space="preserve">, with </w:t>
      </w:r>
      <w:r w:rsidRPr="00AE5020">
        <w:rPr>
          <w:bCs/>
          <w:sz w:val="20"/>
          <w:lang w:val="en-US"/>
        </w:rPr>
        <w:t>TOTAL AF</w:t>
      </w:r>
      <w:r w:rsidRPr="00AE5020">
        <w:rPr>
          <w:sz w:val="20"/>
          <w:lang w:val="en-US"/>
        </w:rPr>
        <w:t xml:space="preserve"> measuring frequencies across all 150 sequenced samples. </w:t>
      </w:r>
    </w:p>
    <w:p w14:paraId="5EEC0F1A" w14:textId="77777777" w:rsidR="00A8274E" w:rsidRPr="00AE5020" w:rsidRDefault="00A8274E" w:rsidP="00A8274E">
      <w:pPr>
        <w:jc w:val="both"/>
        <w:rPr>
          <w:lang w:val="en-US"/>
        </w:rPr>
        <w:sectPr w:rsidR="00A8274E" w:rsidRPr="00AE5020" w:rsidSect="00A8274E">
          <w:pgSz w:w="16840" w:h="11900" w:orient="landscape"/>
          <w:pgMar w:top="1440" w:right="1440" w:bottom="1440" w:left="1440" w:header="708" w:footer="708" w:gutter="0"/>
          <w:cols w:space="708"/>
          <w:docGrid w:linePitch="360"/>
        </w:sectPr>
      </w:pPr>
    </w:p>
    <w:p w14:paraId="3B378EF2" w14:textId="1A19171C" w:rsidR="000F7F55" w:rsidRPr="00AE5020" w:rsidRDefault="00A8274E" w:rsidP="000C11E3">
      <w:pPr>
        <w:pStyle w:val="Heading1"/>
        <w:rPr>
          <w:lang w:val="en-US"/>
        </w:rPr>
      </w:pPr>
      <w:r w:rsidRPr="00AE5020">
        <w:rPr>
          <w:lang w:val="en-US"/>
        </w:rPr>
        <w:lastRenderedPageBreak/>
        <w:t>Pharmacogenetics Diversity Among Peruvian Genomes</w:t>
      </w:r>
    </w:p>
    <w:p w14:paraId="738EC6B9" w14:textId="35650173" w:rsidR="000F7F55" w:rsidRPr="00AE5020" w:rsidRDefault="000F7F55" w:rsidP="000F7F55">
      <w:pPr>
        <w:jc w:val="both"/>
        <w:rPr>
          <w:lang w:val="en-US"/>
        </w:rPr>
      </w:pPr>
      <w:r w:rsidRPr="00AE5020">
        <w:rPr>
          <w:lang w:val="en-US"/>
        </w:rPr>
        <w:t xml:space="preserve">The dataset reveals significant variability in pharmacogenomic diversity among genes. </w:t>
      </w:r>
      <w:r w:rsidRPr="00AE5020">
        <w:rPr>
          <w:bCs/>
          <w:i/>
          <w:lang w:val="en-US"/>
        </w:rPr>
        <w:t>DPYD</w:t>
      </w:r>
      <w:r w:rsidRPr="00AE5020">
        <w:rPr>
          <w:bCs/>
          <w:lang w:val="en-US"/>
        </w:rPr>
        <w:t xml:space="preserve">, </w:t>
      </w:r>
      <w:r w:rsidRPr="00AE5020">
        <w:rPr>
          <w:bCs/>
          <w:i/>
          <w:lang w:val="en-US"/>
        </w:rPr>
        <w:t>CYP4A22</w:t>
      </w:r>
      <w:r w:rsidRPr="00AE5020">
        <w:rPr>
          <w:bCs/>
          <w:lang w:val="en-US"/>
        </w:rPr>
        <w:t xml:space="preserve">, </w:t>
      </w:r>
      <w:r w:rsidRPr="00AE5020">
        <w:rPr>
          <w:bCs/>
          <w:i/>
          <w:lang w:val="en-US"/>
        </w:rPr>
        <w:t>NAT2</w:t>
      </w:r>
      <w:r w:rsidRPr="00AE5020">
        <w:rPr>
          <w:bCs/>
          <w:lang w:val="en-US"/>
        </w:rPr>
        <w:t xml:space="preserve">, </w:t>
      </w:r>
      <w:r w:rsidRPr="00AE5020">
        <w:rPr>
          <w:bCs/>
          <w:i/>
          <w:lang w:val="en-US"/>
        </w:rPr>
        <w:t>SLCO1B1</w:t>
      </w:r>
      <w:r w:rsidRPr="00AE5020">
        <w:rPr>
          <w:bCs/>
          <w:lang w:val="en-US"/>
        </w:rPr>
        <w:t xml:space="preserve">, and </w:t>
      </w:r>
      <w:r w:rsidRPr="00AE5020">
        <w:rPr>
          <w:bCs/>
          <w:i/>
          <w:lang w:val="en-US"/>
        </w:rPr>
        <w:t>CYP2W1</w:t>
      </w:r>
      <w:r w:rsidRPr="00AE5020">
        <w:rPr>
          <w:lang w:val="en-US"/>
        </w:rPr>
        <w:t xml:space="preserve"> exhibit the highest number of unique genotypes (</w:t>
      </w:r>
      <w:r w:rsidRPr="00AE5020">
        <w:rPr>
          <w:b/>
          <w:lang w:val="en-US"/>
        </w:rPr>
        <w:t>Fig</w:t>
      </w:r>
      <w:r w:rsidR="00831720">
        <w:rPr>
          <w:b/>
          <w:lang w:val="en-US"/>
        </w:rPr>
        <w:t>.</w:t>
      </w:r>
      <w:r w:rsidRPr="00AE5020">
        <w:rPr>
          <w:b/>
          <w:lang w:val="en-US"/>
        </w:rPr>
        <w:t xml:space="preserve"> </w:t>
      </w:r>
      <w:r w:rsidR="00831720">
        <w:rPr>
          <w:b/>
          <w:lang w:val="en-US"/>
        </w:rPr>
        <w:t>2</w:t>
      </w:r>
      <w:r w:rsidRPr="00AE5020">
        <w:rPr>
          <w:b/>
          <w:lang w:val="en-US"/>
        </w:rPr>
        <w:t>A</w:t>
      </w:r>
      <w:r w:rsidRPr="00AE5020">
        <w:rPr>
          <w:lang w:val="en-US"/>
        </w:rPr>
        <w:t xml:space="preserve">), suggesting a greater degree of allelic heterogeneity in these genes. This has direct clinical implications, particularly for </w:t>
      </w:r>
      <w:bookmarkStart w:id="17" w:name="OLE_LINK59"/>
      <w:bookmarkStart w:id="18" w:name="OLE_LINK60"/>
      <w:r w:rsidRPr="00AE5020">
        <w:rPr>
          <w:bCs/>
          <w:i/>
          <w:lang w:val="en-US"/>
        </w:rPr>
        <w:t>DPYD</w:t>
      </w:r>
      <w:r w:rsidRPr="00AE5020">
        <w:rPr>
          <w:lang w:val="en-US"/>
        </w:rPr>
        <w:t xml:space="preserve">, a critical gene in </w:t>
      </w:r>
      <w:r w:rsidRPr="00AE5020">
        <w:rPr>
          <w:bCs/>
          <w:lang w:val="en-US"/>
        </w:rPr>
        <w:t xml:space="preserve">fluoropyrimidine metabolism </w:t>
      </w:r>
      <w:bookmarkEnd w:id="17"/>
      <w:bookmarkEnd w:id="18"/>
      <w:r w:rsidRPr="00AE5020">
        <w:rPr>
          <w:bCs/>
          <w:lang w:val="en-US"/>
        </w:rPr>
        <w:t xml:space="preserve">(e.g., 5-FU and capecitabine) </w:t>
      </w:r>
      <w:r w:rsidRPr="00AE5020">
        <w:rPr>
          <w:bCs/>
          <w:lang w:val="en-US"/>
        </w:rPr>
        <w:fldChar w:fldCharType="begin"/>
      </w:r>
      <w:r w:rsidR="00C01C95">
        <w:rPr>
          <w:bCs/>
          <w:lang w:val="en-US"/>
        </w:rPr>
        <w:instrText xml:space="preserve"> ADDIN ZOTERO_ITEM CSL_CITATION {"citationID":"cW97D7HI","properties":{"formattedCitation":"\\super 30\\nosupersub{}","plainCitation":"30","noteIndex":0},"citationItems":[{"id":608,"uris":["http://zotero.org/users/16405780/items/VPCM6RWW"],"itemData":{"id":608,"type":"chapter","abstract":"Fluorouracil, or 5-flourouracil (5-FU), is a chemotherapy agent that belongs to the drug class of fluoropyrimidines. When given as an intravenous (IV) solution, 5-FU is used in the palliative management of carcinoma of many solid tumors including (but not limited to) colon, rectum, breast, esophagus, cholangiocarcinoma (bile duct cancers), stomach, and pancreas. When prescribed as a cream or solution for topical use, fluorouracil (brand names Carac, Efudex, Fluoroplex, Tolak) is used to treat multiple actinic or solar keratoses of the face and scalp. Capecitabine (brand name Xeloda or CAPE) is the oral pill form of 5-FU chemotherapy, which is used interchangeably with 5-FU IV chemotherapy. Although it is the same drug, the oral pill version has certain side effects that are more pronounced (for example, diarrhea or skin related side effects – ‘hand-foot’ syndrome). Given the common usage of 5-FU for a variety of malignancies and potentially fatal overdoses, an antidote has been developed—uridine triacetate—which may be useful for pharmacogenetic-related overdoses, as well. The DPYD gene encodes dihydropyrimidine dehydrogenase (DPD), an enzyme that catalyzes the rate-limiting step in fluorouracil metabolism. Genetic variations in the DPYD gene can lead to enzymes with reduced or absent activity. Individuals who have at least one copy of a non-functional DPYD variant [for example, DPYD*2A (c.1905+1G&gt;A) or DPYD*13 (c.1679T&gt;G)] will not be able to metabolize fluorouracil at normal rates. Consequently, they are at risk of potentially life-threatening fluorouracil toxicity, such as bone marrow suppression, diarrhea, and neurotoxicity. The prevalence of DPD partial deficiency varies in different populations but is approximately 35%. Complete absence of DPD function, which is often fatal with exposure to 5-FU chemotherapy, occurs in &lt;1% (~0.2%) of the general population. The FDA-approved drug label for fluorouracil states that no dose of fluorouracil has been proven safe in individuals with absent DPD activity (Table 1). Fluorouracil is contraindicated in individuals who are known to have complete DPD deficiency, or when complete deficiency is suspected because of early-onset or unusually severe fluorouracil toxicity (1). The Clinical Pharmacogenetics Implementation Consortium (CPIC) and the Dutch Pharmacogenetics Working Group (DPWG) have published dosing recommendations for fluoropyrimidines (fluorouracil and capecitabine) based on DPYD genotype (Tables 2 and 3). Both recommendations include dose reductions for intermediate metabolizers (with reduced enzyme activity) and avoiding fluorouracil or capecitabine and choosing an alternative agent for poor metabolizers (with absent enzyme activity).","call-number":"NBK395610","container-title":"Medical Genetics Summaries","event-place":"Bethesda (MD)","language":"eng","note":"PMID: 28520376","publisher":"National Center for Biotechnology Information (US)","publisher-place":"Bethesda (MD)","source":"PubMed","title":"Fluorouracil Therapy and DPYD Genotype","URL":"http://www.ncbi.nlm.nih.gov/books/NBK395610/","author":[{"family":"Dean","given":"Laura"},{"family":"Kane","given":"Megan"}],"editor":[{"family":"Pratt","given":"Victoria M."},{"family":"Scott","given":"Stuart A."},{"family":"Pirmohamed","given":"Munir"},{"family":"Esquivel","given":"Bernard"},{"family":"Kattman","given":"Brandi L."},{"family":"Malheiro","given":"Adriana J."}],"accessed":{"date-parts":[["2025",3,20]]},"issued":{"date-parts":[["2012"]]}}}],"schema":"https://github.com/citation-style-language/schema/raw/master/csl-citation.json"} </w:instrText>
      </w:r>
      <w:r w:rsidRPr="00AE5020">
        <w:rPr>
          <w:bCs/>
          <w:lang w:val="en-US"/>
        </w:rPr>
        <w:fldChar w:fldCharType="separate"/>
      </w:r>
      <w:r w:rsidR="00C01C95" w:rsidRPr="00C01C95">
        <w:rPr>
          <w:rFonts w:ascii="Calibri" w:cs="Calibri"/>
          <w:vertAlign w:val="superscript"/>
        </w:rPr>
        <w:t>30</w:t>
      </w:r>
      <w:r w:rsidRPr="00AE5020">
        <w:rPr>
          <w:bCs/>
          <w:lang w:val="en-US"/>
        </w:rPr>
        <w:fldChar w:fldCharType="end"/>
      </w:r>
      <w:r w:rsidRPr="00AE5020">
        <w:rPr>
          <w:lang w:val="en-US"/>
        </w:rPr>
        <w:t xml:space="preserve">, where multiple loss-of-function variants are associated with severe toxicity. The </w:t>
      </w:r>
      <w:r w:rsidRPr="00AE5020">
        <w:rPr>
          <w:bCs/>
          <w:lang w:val="en-US"/>
        </w:rPr>
        <w:t xml:space="preserve">high diversity observed in </w:t>
      </w:r>
      <w:bookmarkStart w:id="19" w:name="OLE_LINK61"/>
      <w:bookmarkStart w:id="20" w:name="OLE_LINK62"/>
      <w:r w:rsidRPr="00AE5020">
        <w:rPr>
          <w:bCs/>
          <w:i/>
          <w:lang w:val="en-US"/>
        </w:rPr>
        <w:t>NAT2</w:t>
      </w:r>
      <w:r w:rsidRPr="00AE5020">
        <w:rPr>
          <w:lang w:val="en-US"/>
        </w:rPr>
        <w:t xml:space="preserve"> also suggests potential variability in </w:t>
      </w:r>
      <w:r w:rsidRPr="00AE5020">
        <w:rPr>
          <w:bCs/>
          <w:lang w:val="en-US"/>
        </w:rPr>
        <w:t>isoniazid, hydralazine, and sulfonamide metabolism</w:t>
      </w:r>
      <w:bookmarkEnd w:id="19"/>
      <w:bookmarkEnd w:id="20"/>
      <w:r w:rsidRPr="00AE5020">
        <w:rPr>
          <w:lang w:val="en-US"/>
        </w:rPr>
        <w:t xml:space="preserve">, which may influence adverse drug reactions or efficacy across individuals </w:t>
      </w:r>
      <w:r w:rsidRPr="00AE5020">
        <w:rPr>
          <w:lang w:val="en-US"/>
        </w:rPr>
        <w:fldChar w:fldCharType="begin"/>
      </w:r>
      <w:r w:rsidR="00C01C95">
        <w:rPr>
          <w:lang w:val="en-US"/>
        </w:rPr>
        <w:instrText xml:space="preserve"> ADDIN ZOTERO_ITEM CSL_CITATION {"citationID":"LdjBw3TF","properties":{"formattedCitation":"\\super 31\\nosupersub{}","plainCitation":"31","noteIndex":0},"citationItems":[{"id":611,"uris":["http://zotero.org/users/16405780/items/BWUYVEDB"],"itemData":{"id":611,"type":"article-journal","abstract":"Arylamine N-acetyltransferases (NATs) are polymorphic drug-metabolizing enzymes, acetylating arylamine carcinogens and drugs including hydralazine and sulphonamides. The slow NAT phenotype increases susceptibility to hydralazine and isoniazid toxicity and to occupational bladder cancer. The two polymorphic human NAT loci show linkage disequilibrium. All mammalian Nat genes have an intronless open reading frame and non-coding exons. The human gene products NAT1 and NAT2 have distinct substrate specificities: NAT2 acetylates hydralazine and human NAT1 acetylates p-aminosalicylate (p-AS) and the folate catabolite para-aminobenzoylglutamate (p-abaglu). Human NAT2 is mainly in liver and gut. Human NAT1 and its murine homologue are in many adult tissues and in early embryos. Human NAT1 is strongly expressed in oestrogen receptor-positive breast cancer and may contribute to folate and acetyl CoA homeostasis. NAT enzymes act through a catalytic triad of Cys, His and Asp with the architecture of the active site-modulating specificity. Polymorphisms may cause unfolded protein. The C-terminus helps bind acetyl CoA and differs among NATs including prokaryotic homologues. NAT in Salmonella typhimurium supports carcinogen activation and NAT in mycobacteria metabolizes isoniazid with polymorphism a minor factor in isoniazid resistance. Importantly, nat is in a gene cluster essential for Mycobacterium tuberculosis survival inside macrophages. NAT inhibitors are a starting point for novel anti-tuberculosis drugs. Human NAT1-specific inhibitors may act in biomarker detection in breast cancer and in cancer therapy. NAT inhibitors for co-administration with 5-aminosalicylate (5-AS) in inflammatory bowel disease has prompted ongoing investigations of azoreductases in gut bacteria which release 5-AS from prodrugs including balsalazide.","container-title":"British Journal of Pharmacology","DOI":"10.1111/bph.12598","ISSN":"0007-1188","issue":"11","journalAbbreviation":"Br J Pharmacol","note":"PMID: 24467436\nPMCID: PMC4158862","page":"2705-2725","source":"PubMed Central","title":"Arylamine N-acetyltransferases: from drug metabolism and pharmacogenetics to drug discovery","title-short":"Arylamine N-acetyltransferases","volume":"171","author":[{"family":"Sim","given":"E"},{"family":"Abuhammad","given":"A"},{"family":"Ryan","given":"A"}],"issued":{"date-parts":[["2014",6]]}}}],"schema":"https://github.com/citation-style-language/schema/raw/master/csl-citation.json"} </w:instrText>
      </w:r>
      <w:r w:rsidRPr="00AE5020">
        <w:rPr>
          <w:lang w:val="en-US"/>
        </w:rPr>
        <w:fldChar w:fldCharType="separate"/>
      </w:r>
      <w:r w:rsidR="00C01C95" w:rsidRPr="00C01C95">
        <w:rPr>
          <w:rFonts w:ascii="Calibri" w:cs="Calibri"/>
          <w:vertAlign w:val="superscript"/>
        </w:rPr>
        <w:t>31</w:t>
      </w:r>
      <w:r w:rsidRPr="00AE5020">
        <w:rPr>
          <w:lang w:val="en-US"/>
        </w:rPr>
        <w:fldChar w:fldCharType="end"/>
      </w:r>
      <w:r w:rsidRPr="00AE5020">
        <w:rPr>
          <w:lang w:val="en-US"/>
        </w:rPr>
        <w:t>.</w:t>
      </w:r>
    </w:p>
    <w:p w14:paraId="476A8B89" w14:textId="77777777" w:rsidR="000F7F55" w:rsidRPr="00AE5020" w:rsidRDefault="000F7F55" w:rsidP="000F7F55">
      <w:pPr>
        <w:jc w:val="both"/>
        <w:rPr>
          <w:lang w:val="en-US"/>
        </w:rPr>
      </w:pPr>
    </w:p>
    <w:p w14:paraId="5D77E900" w14:textId="66F07D66" w:rsidR="000F7F55" w:rsidRPr="00AE5020" w:rsidRDefault="000F7F55" w:rsidP="000F7F55">
      <w:pPr>
        <w:jc w:val="both"/>
        <w:rPr>
          <w:lang w:val="en-US"/>
        </w:rPr>
      </w:pPr>
      <w:r w:rsidRPr="00AE5020">
        <w:rPr>
          <w:lang w:val="en-US"/>
        </w:rPr>
        <w:t xml:space="preserve">Conversely, several genes such as </w:t>
      </w:r>
      <w:r w:rsidRPr="00AE5020">
        <w:rPr>
          <w:bCs/>
          <w:i/>
          <w:lang w:val="en-US"/>
        </w:rPr>
        <w:t>ABCB1</w:t>
      </w:r>
      <w:r w:rsidRPr="00AE5020">
        <w:rPr>
          <w:bCs/>
          <w:lang w:val="en-US"/>
        </w:rPr>
        <w:t xml:space="preserve">, </w:t>
      </w:r>
      <w:r w:rsidRPr="00AE5020">
        <w:rPr>
          <w:bCs/>
          <w:i/>
          <w:lang w:val="en-US"/>
        </w:rPr>
        <w:t>CYP2J2</w:t>
      </w:r>
      <w:r w:rsidRPr="00AE5020">
        <w:rPr>
          <w:bCs/>
          <w:lang w:val="en-US"/>
        </w:rPr>
        <w:t xml:space="preserve">, </w:t>
      </w:r>
      <w:r w:rsidRPr="00AE5020">
        <w:rPr>
          <w:bCs/>
          <w:i/>
          <w:lang w:val="en-US"/>
        </w:rPr>
        <w:t>CYP2R1</w:t>
      </w:r>
      <w:r w:rsidRPr="00AE5020">
        <w:rPr>
          <w:bCs/>
          <w:lang w:val="en-US"/>
        </w:rPr>
        <w:t xml:space="preserve">, and </w:t>
      </w:r>
      <w:r w:rsidRPr="00AE5020">
        <w:rPr>
          <w:bCs/>
          <w:i/>
          <w:lang w:val="en-US"/>
        </w:rPr>
        <w:t>CYP17A1</w:t>
      </w:r>
      <w:r w:rsidRPr="00AE5020">
        <w:rPr>
          <w:lang w:val="en-US"/>
        </w:rPr>
        <w:t xml:space="preserve"> show fixed or highly prevalent genotypes, indicating either strong selection pressures or founder effects in the study population. </w:t>
      </w:r>
      <w:r w:rsidRPr="00AE5020">
        <w:rPr>
          <w:i/>
          <w:lang w:val="en-US"/>
        </w:rPr>
        <w:t>ABCB1</w:t>
      </w:r>
      <w:r w:rsidRPr="00AE5020">
        <w:rPr>
          <w:lang w:val="en-US"/>
        </w:rPr>
        <w:t xml:space="preserve"> (*</w:t>
      </w:r>
      <w:r w:rsidRPr="00AE5020">
        <w:rPr>
          <w:iCs/>
          <w:lang w:val="en-US"/>
        </w:rPr>
        <w:t>2/*2) was the most frequent genotype, appearing in 100% of observed cases</w:t>
      </w:r>
      <w:r w:rsidRPr="00AE5020">
        <w:rPr>
          <w:lang w:val="en-US"/>
        </w:rPr>
        <w:t xml:space="preserve">, suggesting a lack of variability in drug transporter function in this dataset. </w:t>
      </w:r>
      <w:r w:rsidRPr="00AE5020">
        <w:rPr>
          <w:i/>
          <w:lang w:val="en-US"/>
        </w:rPr>
        <w:t>ABCB1</w:t>
      </w:r>
      <w:r w:rsidRPr="00AE5020">
        <w:rPr>
          <w:lang w:val="en-US"/>
        </w:rPr>
        <w:t xml:space="preserve"> encodes </w:t>
      </w:r>
      <w:r w:rsidRPr="00AE5020">
        <w:rPr>
          <w:bCs/>
          <w:lang w:val="en-US"/>
        </w:rPr>
        <w:t>P-glycoprotein</w:t>
      </w:r>
      <w:r w:rsidRPr="00AE5020">
        <w:rPr>
          <w:lang w:val="en-US"/>
        </w:rPr>
        <w:t xml:space="preserve">, which regulates drug efflux for multiple medications, including chemotherapeutic agents, cardiovascular drugs, and antidepressants </w:t>
      </w:r>
      <w:r w:rsidRPr="00AE5020">
        <w:rPr>
          <w:lang w:val="en-US"/>
        </w:rPr>
        <w:fldChar w:fldCharType="begin"/>
      </w:r>
      <w:r w:rsidR="00C01C95">
        <w:rPr>
          <w:lang w:val="en-US"/>
        </w:rPr>
        <w:instrText xml:space="preserve"> ADDIN ZOTERO_ITEM CSL_CITATION {"citationID":"oU0eBqwK","properties":{"formattedCitation":"\\super 32\\nosupersub{}","plainCitation":"32","noteIndex":0},"citationItems":[{"id":563,"uris":["http://zotero.org/users/16405780/items/ZS5EBWKV"],"itemData":{"id":563,"type":"article-journal","abstract":"Simple Summary\nOverexpression of ABCB1 has been identified in a wide range of multidrug-resistant cancers. ABCB1 can become upregulated in many ways, and understanding these mechanisms of upregulation could provide novel insights into cancer multidrug resistance. In this review, we summarize genetic and epigenetic mechanisms of ABCB1 upregulation in cancer and highlight areas that may be relevant for future research.\n\nAbstract\nABCB1, also known as MDR1, is a gene that encodes P-glycoprotein (P-gp), a membrane-associated ATP-dependent transporter. P-gp is widely expressed in many healthy tissues—in the gastrointestinal tract, liver, kidney, and at the blood–brain barrier. P-gp works to pump xenobiotics such as toxins and drugs out of cells. P-gp is also commonly upregulated across multiple cancer types such as ovarian, breast, and lung. Overexpression of ABCB1 has been linked to the development of chemotherapy resistance across these cancers. In vitro work across a wide range of drug-sensitive and -resistant cancer cell lines has shown that upon treatment with chemotherapeutic agents such as doxorubicin, cisplatin, and paclitaxel, ABCB1 is upregulated. This upregulation is caused in part by a variety of genetic and epigenetic mechanisms. This includes single-nucleotide variants that lead to enhanced P-gp ATPase activity without increasing ABCB1 RNA and protein levels. In this review, we summarize current knowledge of genetic and epigenetic mechanisms leading to ABCB1 upregulation and P-gp-enhanced ATPase activity in the setting of chemotherapy resistance across a variety of cancers.","container-title":"Cancers","DOI":"10.3390/cancers15174236","ISSN":"2072-6694","issue":"17","journalAbbreviation":"Cancers (Basel)","note":"PMID: 37686513\nPMCID: PMC10487083","page":"4236","source":"PubMed Central","title":"Genetics of ABCB1 in Cancer","volume":"15","author":[{"family":"Skinner","given":"Katie T."},{"family":"Palkar","given":"Antara M."},{"family":"Hong","given":"Andrew L."}],"issued":{"date-parts":[["2023",8,24]]}}}],"schema":"https://github.com/citation-style-language/schema/raw/master/csl-citation.json"} </w:instrText>
      </w:r>
      <w:r w:rsidRPr="00AE5020">
        <w:rPr>
          <w:lang w:val="en-US"/>
        </w:rPr>
        <w:fldChar w:fldCharType="separate"/>
      </w:r>
      <w:r w:rsidR="00C01C95" w:rsidRPr="00C01C95">
        <w:rPr>
          <w:rFonts w:ascii="Calibri" w:cs="Calibri"/>
          <w:vertAlign w:val="superscript"/>
        </w:rPr>
        <w:t>32</w:t>
      </w:r>
      <w:r w:rsidRPr="00AE5020">
        <w:rPr>
          <w:lang w:val="en-US"/>
        </w:rPr>
        <w:fldChar w:fldCharType="end"/>
      </w:r>
      <w:r w:rsidRPr="00AE5020">
        <w:rPr>
          <w:lang w:val="en-US"/>
        </w:rPr>
        <w:t xml:space="preserve">. A lack of variation in </w:t>
      </w:r>
      <w:r w:rsidRPr="00AE5020">
        <w:rPr>
          <w:i/>
          <w:lang w:val="en-US"/>
        </w:rPr>
        <w:t>ABCB1</w:t>
      </w:r>
      <w:r w:rsidRPr="00AE5020">
        <w:rPr>
          <w:lang w:val="en-US"/>
        </w:rPr>
        <w:t xml:space="preserve"> could suggest </w:t>
      </w:r>
      <w:r w:rsidRPr="00AE5020">
        <w:rPr>
          <w:bCs/>
          <w:lang w:val="en-US"/>
        </w:rPr>
        <w:t>a homogeneous drug response profile in this Peruvian cohort</w:t>
      </w:r>
      <w:r w:rsidRPr="00AE5020">
        <w:rPr>
          <w:lang w:val="en-US"/>
        </w:rPr>
        <w:t>, reducing the likelihood of altered drug absorption or resistance.</w:t>
      </w:r>
    </w:p>
    <w:p w14:paraId="5C3283DC" w14:textId="77777777" w:rsidR="000F7F55" w:rsidRPr="00AE5020" w:rsidRDefault="000F7F55" w:rsidP="000F7F55">
      <w:pPr>
        <w:jc w:val="both"/>
        <w:rPr>
          <w:lang w:val="en-US"/>
        </w:rPr>
      </w:pPr>
    </w:p>
    <w:p w14:paraId="18F9671D" w14:textId="3EFFDCA4" w:rsidR="000F7F55" w:rsidRPr="00AE5020" w:rsidRDefault="000F7F55" w:rsidP="000F7F55">
      <w:pPr>
        <w:jc w:val="both"/>
        <w:rPr>
          <w:lang w:val="en-US"/>
        </w:rPr>
      </w:pPr>
      <w:r w:rsidRPr="00AE5020">
        <w:rPr>
          <w:lang w:val="en-US"/>
        </w:rPr>
        <w:t xml:space="preserve">A significant portion of the dataset exhibits </w:t>
      </w:r>
      <w:r w:rsidRPr="00AE5020">
        <w:rPr>
          <w:bCs/>
          <w:lang w:val="en-US"/>
        </w:rPr>
        <w:t>low-frequency genotypes</w:t>
      </w:r>
      <w:r w:rsidRPr="00AE5020">
        <w:rPr>
          <w:lang w:val="en-US"/>
        </w:rPr>
        <w:t xml:space="preserve">, with 75% of genotypes appearing in </w:t>
      </w:r>
      <w:r w:rsidRPr="00AE5020">
        <w:rPr>
          <w:bCs/>
          <w:lang w:val="en-US"/>
        </w:rPr>
        <w:t>≤32% of individuals for a given gene (</w:t>
      </w:r>
      <w:r w:rsidRPr="00AE5020">
        <w:rPr>
          <w:b/>
          <w:bCs/>
          <w:lang w:val="en-US"/>
        </w:rPr>
        <w:t>Fig</w:t>
      </w:r>
      <w:r w:rsidR="00831720">
        <w:rPr>
          <w:b/>
          <w:bCs/>
          <w:lang w:val="en-US"/>
        </w:rPr>
        <w:t>.</w:t>
      </w:r>
      <w:r w:rsidRPr="00AE5020">
        <w:rPr>
          <w:b/>
          <w:bCs/>
          <w:lang w:val="en-US"/>
        </w:rPr>
        <w:t xml:space="preserve"> </w:t>
      </w:r>
      <w:r w:rsidR="00831720">
        <w:rPr>
          <w:b/>
          <w:bCs/>
          <w:lang w:val="en-US"/>
        </w:rPr>
        <w:t>2</w:t>
      </w:r>
      <w:r w:rsidRPr="00AE5020">
        <w:rPr>
          <w:b/>
          <w:bCs/>
          <w:lang w:val="en-US"/>
        </w:rPr>
        <w:t>B</w:t>
      </w:r>
      <w:r w:rsidRPr="00AE5020">
        <w:rPr>
          <w:bCs/>
          <w:lang w:val="en-US"/>
        </w:rPr>
        <w:t>)</w:t>
      </w:r>
      <w:r w:rsidRPr="00AE5020">
        <w:rPr>
          <w:lang w:val="en-US"/>
        </w:rPr>
        <w:t xml:space="preserve">. This suggests that while a few genotypes dominate specific genes, </w:t>
      </w:r>
      <w:r w:rsidRPr="00AE5020">
        <w:rPr>
          <w:bCs/>
          <w:lang w:val="en-US"/>
        </w:rPr>
        <w:t>many rare variants exist that could influence individual drug responses</w:t>
      </w:r>
      <w:r w:rsidRPr="00AE5020">
        <w:rPr>
          <w:lang w:val="en-US"/>
        </w:rPr>
        <w:t>. This pattern is consistent with pharmacogenomic studies where rare, functionally significant variants may have outsized clinical effects despite their low population frequency.</w:t>
      </w:r>
    </w:p>
    <w:p w14:paraId="32F5955C" w14:textId="77777777" w:rsidR="000F7F55" w:rsidRPr="00AE5020" w:rsidRDefault="000F7F55" w:rsidP="000F7F55">
      <w:pPr>
        <w:jc w:val="both"/>
        <w:rPr>
          <w:lang w:val="en-US"/>
        </w:rPr>
      </w:pPr>
    </w:p>
    <w:p w14:paraId="126FAB63" w14:textId="77777777" w:rsidR="000F7F55" w:rsidRPr="00AE5020" w:rsidRDefault="000F7F55" w:rsidP="000F7F55">
      <w:pPr>
        <w:jc w:val="both"/>
        <w:rPr>
          <w:lang w:val="en-US"/>
        </w:rPr>
      </w:pPr>
      <w:r w:rsidRPr="00AE5020">
        <w:rPr>
          <w:noProof/>
          <w:lang w:val="en-US"/>
        </w:rPr>
        <w:drawing>
          <wp:inline distT="0" distB="0" distL="0" distR="0" wp14:anchorId="1A035468" wp14:editId="3F9E2D52">
            <wp:extent cx="5727700" cy="3510280"/>
            <wp:effectExtent l="0" t="0" r="0" b="0"/>
            <wp:docPr id="17" name="Picture 17" descr="A graph of a number of pharmacoge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aph of a number of pharmacogenes&#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7700" cy="3510280"/>
                    </a:xfrm>
                    <a:prstGeom prst="rect">
                      <a:avLst/>
                    </a:prstGeom>
                  </pic:spPr>
                </pic:pic>
              </a:graphicData>
            </a:graphic>
          </wp:inline>
        </w:drawing>
      </w:r>
    </w:p>
    <w:p w14:paraId="610EBAF2" w14:textId="77777777" w:rsidR="000F7F55" w:rsidRPr="00AE5020" w:rsidRDefault="000F7F55" w:rsidP="000F7F55">
      <w:pPr>
        <w:jc w:val="both"/>
        <w:rPr>
          <w:lang w:val="en-US"/>
        </w:rPr>
      </w:pPr>
      <w:r w:rsidRPr="00AE5020">
        <w:rPr>
          <w:noProof/>
          <w:lang w:val="en-US"/>
        </w:rPr>
        <w:lastRenderedPageBreak/>
        <w:drawing>
          <wp:inline distT="0" distB="0" distL="0" distR="0" wp14:anchorId="35A32557" wp14:editId="323D7E47">
            <wp:extent cx="5727700" cy="3171825"/>
            <wp:effectExtent l="0" t="0" r="0" b="3175"/>
            <wp:docPr id="18" name="Picture 18" descr="A graph of a number of genoty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aph of a number of genotypes&#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7700" cy="3171825"/>
                    </a:xfrm>
                    <a:prstGeom prst="rect">
                      <a:avLst/>
                    </a:prstGeom>
                  </pic:spPr>
                </pic:pic>
              </a:graphicData>
            </a:graphic>
          </wp:inline>
        </w:drawing>
      </w:r>
    </w:p>
    <w:p w14:paraId="0D26C8C8" w14:textId="77777777" w:rsidR="000F7F55" w:rsidRPr="00AE5020" w:rsidRDefault="000F7F55" w:rsidP="000F7F55">
      <w:pPr>
        <w:jc w:val="both"/>
        <w:rPr>
          <w:lang w:val="en-US"/>
        </w:rPr>
      </w:pPr>
      <w:r w:rsidRPr="00AE5020">
        <w:rPr>
          <w:noProof/>
          <w:lang w:val="en-US"/>
        </w:rPr>
        <w:lastRenderedPageBreak/>
        <w:drawing>
          <wp:inline distT="0" distB="0" distL="0" distR="0" wp14:anchorId="71565C7C" wp14:editId="7C223B50">
            <wp:extent cx="5727700" cy="6925310"/>
            <wp:effectExtent l="0" t="0" r="0" b="0"/>
            <wp:docPr id="19" name="Picture 19" descr="A chart of a number of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chart of a number of numbers&#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7700" cy="6925310"/>
                    </a:xfrm>
                    <a:prstGeom prst="rect">
                      <a:avLst/>
                    </a:prstGeom>
                  </pic:spPr>
                </pic:pic>
              </a:graphicData>
            </a:graphic>
          </wp:inline>
        </w:drawing>
      </w:r>
    </w:p>
    <w:p w14:paraId="23F16598" w14:textId="77777777" w:rsidR="000F7F55" w:rsidRPr="00AE5020" w:rsidRDefault="000F7F55" w:rsidP="000F7F55">
      <w:pPr>
        <w:jc w:val="both"/>
        <w:rPr>
          <w:b/>
          <w:bCs/>
          <w:sz w:val="20"/>
          <w:lang w:val="en-US"/>
        </w:rPr>
      </w:pPr>
    </w:p>
    <w:p w14:paraId="7ED32FE3" w14:textId="2396483A" w:rsidR="000F7F55" w:rsidRPr="00AE5020" w:rsidRDefault="000F7F55" w:rsidP="000F7F55">
      <w:pPr>
        <w:jc w:val="both"/>
        <w:rPr>
          <w:bCs/>
          <w:sz w:val="20"/>
          <w:lang w:val="en-US"/>
        </w:rPr>
      </w:pPr>
      <w:r w:rsidRPr="00AE5020">
        <w:rPr>
          <w:b/>
          <w:bCs/>
          <w:sz w:val="20"/>
          <w:lang w:val="en-US"/>
        </w:rPr>
        <w:t xml:space="preserve">Figure </w:t>
      </w:r>
      <w:r w:rsidR="00831720">
        <w:rPr>
          <w:b/>
          <w:bCs/>
          <w:sz w:val="20"/>
          <w:lang w:val="en-US"/>
        </w:rPr>
        <w:t>2</w:t>
      </w:r>
      <w:r w:rsidRPr="00AE5020">
        <w:rPr>
          <w:bCs/>
          <w:sz w:val="20"/>
          <w:lang w:val="en-US"/>
        </w:rPr>
        <w:t>: Pharmacogenomic Diversity and Phenotypic Distribution Across Peruvian Pharmacogenes. (</w:t>
      </w:r>
      <w:r w:rsidRPr="00831720">
        <w:rPr>
          <w:b/>
          <w:sz w:val="20"/>
          <w:lang w:val="en-US"/>
        </w:rPr>
        <w:t>A</w:t>
      </w:r>
      <w:r w:rsidRPr="00AE5020">
        <w:rPr>
          <w:bCs/>
          <w:sz w:val="20"/>
          <w:lang w:val="en-US"/>
        </w:rPr>
        <w:t xml:space="preserve">) </w:t>
      </w:r>
      <w:r w:rsidRPr="00AE5020">
        <w:rPr>
          <w:bCs/>
          <w:i/>
          <w:sz w:val="20"/>
          <w:lang w:val="en-US"/>
        </w:rPr>
        <w:t>Top 20 Pharmacogenes by Genotypic Diversity</w:t>
      </w:r>
      <w:r w:rsidRPr="00AE5020">
        <w:rPr>
          <w:sz w:val="20"/>
          <w:lang w:val="en-US"/>
        </w:rPr>
        <w:t xml:space="preserve">. This panel displays the </w:t>
      </w:r>
      <w:r w:rsidRPr="00AE5020">
        <w:rPr>
          <w:bCs/>
          <w:sz w:val="20"/>
          <w:lang w:val="en-US"/>
        </w:rPr>
        <w:t>20 pharmacogenes with the highest number of unique genotypes</w:t>
      </w:r>
      <w:r w:rsidRPr="00AE5020">
        <w:rPr>
          <w:sz w:val="20"/>
          <w:lang w:val="en-US"/>
        </w:rPr>
        <w:t xml:space="preserve"> in the dataset. Genes such as </w:t>
      </w:r>
      <w:r w:rsidRPr="00AE5020">
        <w:rPr>
          <w:bCs/>
          <w:i/>
          <w:sz w:val="20"/>
          <w:lang w:val="en-US"/>
        </w:rPr>
        <w:t>DPYD</w:t>
      </w:r>
      <w:r w:rsidRPr="00AE5020">
        <w:rPr>
          <w:bCs/>
          <w:sz w:val="20"/>
          <w:lang w:val="en-US"/>
        </w:rPr>
        <w:t xml:space="preserve">, </w:t>
      </w:r>
      <w:r w:rsidRPr="00AE5020">
        <w:rPr>
          <w:bCs/>
          <w:i/>
          <w:sz w:val="20"/>
          <w:lang w:val="en-US"/>
        </w:rPr>
        <w:t>CYP4A22</w:t>
      </w:r>
      <w:r w:rsidRPr="00AE5020">
        <w:rPr>
          <w:bCs/>
          <w:sz w:val="20"/>
          <w:lang w:val="en-US"/>
        </w:rPr>
        <w:t xml:space="preserve">, and </w:t>
      </w:r>
      <w:r w:rsidRPr="00AE5020">
        <w:rPr>
          <w:bCs/>
          <w:i/>
          <w:sz w:val="20"/>
          <w:lang w:val="en-US"/>
        </w:rPr>
        <w:t>NAT2</w:t>
      </w:r>
      <w:r w:rsidRPr="00AE5020">
        <w:rPr>
          <w:sz w:val="20"/>
          <w:lang w:val="en-US"/>
        </w:rPr>
        <w:t xml:space="preserve"> exhibit the greatest allelic diversity, suggesting significant inter-individual variability in drug metabolism and response. The number of unique genotypes per pharmacogene is a proxy for potential pharmacogenomic variability, with high-diversity genes requiring greater attention in precision medicine applications.</w:t>
      </w:r>
      <w:r w:rsidRPr="00AE5020">
        <w:rPr>
          <w:bCs/>
          <w:sz w:val="20"/>
          <w:lang w:val="en-US"/>
        </w:rPr>
        <w:t xml:space="preserve"> (</w:t>
      </w:r>
      <w:r w:rsidRPr="00831720">
        <w:rPr>
          <w:b/>
          <w:sz w:val="20"/>
          <w:lang w:val="en-US"/>
        </w:rPr>
        <w:t>B</w:t>
      </w:r>
      <w:r w:rsidRPr="00AE5020">
        <w:rPr>
          <w:bCs/>
          <w:sz w:val="20"/>
          <w:lang w:val="en-US"/>
        </w:rPr>
        <w:t xml:space="preserve">) </w:t>
      </w:r>
      <w:r w:rsidRPr="00AE5020">
        <w:rPr>
          <w:bCs/>
          <w:i/>
          <w:sz w:val="20"/>
          <w:lang w:val="en-US"/>
        </w:rPr>
        <w:t>Distribution of Genotype Frequencies Across Pharmacogenes</w:t>
      </w:r>
      <w:r w:rsidRPr="00AE5020">
        <w:rPr>
          <w:sz w:val="20"/>
          <w:lang w:val="en-US"/>
        </w:rPr>
        <w:t xml:space="preserve">. This panel illustrates the </w:t>
      </w:r>
      <w:r w:rsidRPr="00AE5020">
        <w:rPr>
          <w:bCs/>
          <w:sz w:val="20"/>
          <w:lang w:val="en-US"/>
        </w:rPr>
        <w:t>frequency distribution of genotypes</w:t>
      </w:r>
      <w:r w:rsidRPr="00AE5020">
        <w:rPr>
          <w:sz w:val="20"/>
          <w:lang w:val="en-US"/>
        </w:rPr>
        <w:t xml:space="preserve"> observed across all pharmacogenes. </w:t>
      </w:r>
      <w:proofErr w:type="gramStart"/>
      <w:r w:rsidRPr="00AE5020">
        <w:rPr>
          <w:sz w:val="20"/>
          <w:lang w:val="en-US"/>
        </w:rPr>
        <w:t>The majority of</w:t>
      </w:r>
      <w:proofErr w:type="gramEnd"/>
      <w:r w:rsidRPr="00AE5020">
        <w:rPr>
          <w:sz w:val="20"/>
          <w:lang w:val="en-US"/>
        </w:rPr>
        <w:t xml:space="preserve"> genotypes occur at </w:t>
      </w:r>
      <w:r w:rsidRPr="00AE5020">
        <w:rPr>
          <w:bCs/>
          <w:sz w:val="20"/>
          <w:lang w:val="en-US"/>
        </w:rPr>
        <w:t>low frequencies</w:t>
      </w:r>
      <w:r w:rsidRPr="00AE5020">
        <w:rPr>
          <w:sz w:val="20"/>
          <w:lang w:val="en-US"/>
        </w:rPr>
        <w:t xml:space="preserve">, with a right-skewed distribution indicating that a small number of genotypes dominate within certain genes. This pattern suggests that while most pharmacogenes exhibit some degree of allelic heterogeneity, a subset is characterized by one or a few common genotypes. The presence of rare genotypes underscores the potential for </w:t>
      </w:r>
      <w:r w:rsidRPr="00AE5020">
        <w:rPr>
          <w:bCs/>
          <w:sz w:val="20"/>
          <w:lang w:val="en-US"/>
        </w:rPr>
        <w:t xml:space="preserve">individualized dosing strategies in </w:t>
      </w:r>
      <w:r w:rsidRPr="00AE5020">
        <w:rPr>
          <w:bCs/>
          <w:sz w:val="20"/>
          <w:lang w:val="en-US"/>
        </w:rPr>
        <w:lastRenderedPageBreak/>
        <w:t>clinical pharmacogenomics</w:t>
      </w:r>
      <w:r w:rsidRPr="00AE5020">
        <w:rPr>
          <w:sz w:val="20"/>
          <w:lang w:val="en-US"/>
        </w:rPr>
        <w:t>.</w:t>
      </w:r>
      <w:r w:rsidRPr="00AE5020">
        <w:rPr>
          <w:bCs/>
          <w:sz w:val="20"/>
          <w:lang w:val="en-US"/>
        </w:rPr>
        <w:t xml:space="preserve"> (</w:t>
      </w:r>
      <w:r w:rsidRPr="00831720">
        <w:rPr>
          <w:b/>
          <w:sz w:val="20"/>
          <w:lang w:val="en-US"/>
        </w:rPr>
        <w:t>C</w:t>
      </w:r>
      <w:r w:rsidRPr="00AE5020">
        <w:rPr>
          <w:bCs/>
          <w:sz w:val="20"/>
          <w:lang w:val="en-US"/>
        </w:rPr>
        <w:t xml:space="preserve">) </w:t>
      </w:r>
      <w:r w:rsidRPr="00AE5020">
        <w:rPr>
          <w:bCs/>
          <w:i/>
          <w:sz w:val="20"/>
          <w:lang w:val="en-US"/>
        </w:rPr>
        <w:t>Phenotype Distribution by Pharmacogene</w:t>
      </w:r>
      <w:r w:rsidRPr="00AE5020">
        <w:rPr>
          <w:sz w:val="20"/>
          <w:lang w:val="en-US"/>
        </w:rPr>
        <w:t xml:space="preserve">. This panel provides a </w:t>
      </w:r>
      <w:r w:rsidRPr="00AE5020">
        <w:rPr>
          <w:bCs/>
          <w:sz w:val="20"/>
          <w:lang w:val="en-US"/>
        </w:rPr>
        <w:t>stacked bar representation</w:t>
      </w:r>
      <w:r w:rsidRPr="00AE5020">
        <w:rPr>
          <w:sz w:val="20"/>
          <w:lang w:val="en-US"/>
        </w:rPr>
        <w:t xml:space="preserve"> of pharmacogenomic phenotypes across different pharmacogenes. Each bar represents a pharmacogene, with color-coded segments indicating the proportion of individuals exhibiting different metabolizer statuses or functional classifications (e.g., </w:t>
      </w:r>
      <w:r w:rsidRPr="00AE5020">
        <w:rPr>
          <w:bCs/>
          <w:sz w:val="20"/>
          <w:lang w:val="en-US"/>
        </w:rPr>
        <w:t>poor metabolizer, normal metabolizer, intermediate metabolizer</w:t>
      </w:r>
      <w:r w:rsidRPr="00AE5020">
        <w:rPr>
          <w:sz w:val="20"/>
          <w:lang w:val="en-US"/>
        </w:rPr>
        <w:t>).</w:t>
      </w:r>
      <w:r w:rsidRPr="00AE5020">
        <w:rPr>
          <w:bCs/>
          <w:sz w:val="20"/>
          <w:lang w:val="en-US"/>
        </w:rPr>
        <w:t xml:space="preserve"> Genes with a high proportion of poor metabolizers (e.g., </w:t>
      </w:r>
      <w:r w:rsidRPr="00AE5020">
        <w:rPr>
          <w:bCs/>
          <w:i/>
          <w:sz w:val="20"/>
          <w:lang w:val="en-US"/>
        </w:rPr>
        <w:t>CYP2C19</w:t>
      </w:r>
      <w:r w:rsidRPr="00AE5020">
        <w:rPr>
          <w:bCs/>
          <w:sz w:val="20"/>
          <w:lang w:val="en-US"/>
        </w:rPr>
        <w:t xml:space="preserve">, </w:t>
      </w:r>
      <w:r w:rsidRPr="00AE5020">
        <w:rPr>
          <w:bCs/>
          <w:i/>
          <w:sz w:val="20"/>
          <w:lang w:val="en-US"/>
        </w:rPr>
        <w:t>CYP2B6</w:t>
      </w:r>
      <w:r w:rsidRPr="00AE5020">
        <w:rPr>
          <w:bCs/>
          <w:sz w:val="20"/>
          <w:lang w:val="en-US"/>
        </w:rPr>
        <w:t>) indicate a greater need for pharmacogenetic testing</w:t>
      </w:r>
      <w:r w:rsidRPr="00AE5020">
        <w:rPr>
          <w:sz w:val="20"/>
          <w:lang w:val="en-US"/>
        </w:rPr>
        <w:t>, as altered metabolism may impact drug efficacy or toxicity risk.</w:t>
      </w:r>
      <w:r w:rsidRPr="00AE5020">
        <w:rPr>
          <w:bCs/>
          <w:sz w:val="20"/>
          <w:lang w:val="en-US"/>
        </w:rPr>
        <w:t xml:space="preserve"> Genes with a predominance of normal metabolizers (e.g., </w:t>
      </w:r>
      <w:r w:rsidRPr="00AE5020">
        <w:rPr>
          <w:bCs/>
          <w:i/>
          <w:sz w:val="20"/>
          <w:lang w:val="en-US"/>
        </w:rPr>
        <w:t>ABCB1</w:t>
      </w:r>
      <w:r w:rsidRPr="00AE5020">
        <w:rPr>
          <w:bCs/>
          <w:sz w:val="20"/>
          <w:lang w:val="en-US"/>
        </w:rPr>
        <w:t>) suggest lower variability in drug response within this dataset</w:t>
      </w:r>
      <w:r w:rsidRPr="00AE5020">
        <w:rPr>
          <w:sz w:val="20"/>
          <w:lang w:val="en-US"/>
        </w:rPr>
        <w:t>.</w:t>
      </w:r>
      <w:r w:rsidRPr="00AE5020">
        <w:rPr>
          <w:bCs/>
          <w:sz w:val="20"/>
          <w:lang w:val="en-US"/>
        </w:rPr>
        <w:t xml:space="preserve"> </w:t>
      </w:r>
      <w:r w:rsidRPr="00AE5020">
        <w:rPr>
          <w:sz w:val="20"/>
          <w:lang w:val="en-US"/>
        </w:rPr>
        <w:t xml:space="preserve">The large number of </w:t>
      </w:r>
      <w:r w:rsidRPr="00AE5020">
        <w:rPr>
          <w:bCs/>
          <w:sz w:val="20"/>
          <w:lang w:val="en-US"/>
        </w:rPr>
        <w:t>"Indeterminate" classifications</w:t>
      </w:r>
      <w:r w:rsidRPr="00AE5020">
        <w:rPr>
          <w:sz w:val="20"/>
          <w:lang w:val="en-US"/>
        </w:rPr>
        <w:t xml:space="preserve"> suggests either limited genotype resolution or the presence of variants of uncertain significance, warranting further investigation.</w:t>
      </w:r>
    </w:p>
    <w:p w14:paraId="06E11619" w14:textId="77777777" w:rsidR="000F7F55" w:rsidRPr="00AE5020" w:rsidRDefault="000F7F55" w:rsidP="000F7F55">
      <w:pPr>
        <w:jc w:val="both"/>
        <w:rPr>
          <w:lang w:val="en-US"/>
        </w:rPr>
      </w:pPr>
    </w:p>
    <w:p w14:paraId="04196F83" w14:textId="77777777" w:rsidR="000F7F55" w:rsidRPr="00AE5020" w:rsidRDefault="000F7F55" w:rsidP="000F7F55">
      <w:pPr>
        <w:jc w:val="both"/>
        <w:rPr>
          <w:lang w:val="en-US"/>
        </w:rPr>
      </w:pPr>
    </w:p>
    <w:p w14:paraId="5ED7B16E" w14:textId="3B13A676" w:rsidR="000F7F55" w:rsidRPr="00AE5020" w:rsidRDefault="000F7F55" w:rsidP="000F7F55">
      <w:pPr>
        <w:jc w:val="both"/>
        <w:rPr>
          <w:lang w:val="en-US"/>
        </w:rPr>
      </w:pPr>
      <w:r w:rsidRPr="00AE5020">
        <w:rPr>
          <w:b/>
          <w:lang w:val="en-US"/>
        </w:rPr>
        <w:t xml:space="preserve">Figure </w:t>
      </w:r>
      <w:r w:rsidR="00831720">
        <w:rPr>
          <w:b/>
          <w:lang w:val="en-US"/>
        </w:rPr>
        <w:t>2</w:t>
      </w:r>
      <w:r w:rsidRPr="00AE5020">
        <w:rPr>
          <w:b/>
          <w:lang w:val="en-US"/>
        </w:rPr>
        <w:t>C</w:t>
      </w:r>
      <w:r w:rsidRPr="00AE5020">
        <w:rPr>
          <w:lang w:val="en-US"/>
        </w:rPr>
        <w:t xml:space="preserve"> presents the distribution of pharmacogenomic phenotypes across pharmacogenes, illustrating the diversity in metabolizer statuses and functional classifications observed within the sequenced cohort. The stacked bar plot displays the proportion of individuals classified under different phenotypic categories, such as </w:t>
      </w:r>
      <w:r w:rsidRPr="00AE5020">
        <w:rPr>
          <w:bCs/>
          <w:lang w:val="en-US"/>
        </w:rPr>
        <w:t>normal metabolizer, poor metabolizer, intermediate metabolizer, and other functional annotations</w:t>
      </w:r>
      <w:r w:rsidRPr="00AE5020">
        <w:rPr>
          <w:lang w:val="en-US"/>
        </w:rPr>
        <w:t xml:space="preserve">. </w:t>
      </w:r>
      <w:r w:rsidRPr="00AE5020">
        <w:rPr>
          <w:bCs/>
          <w:lang w:val="en-US"/>
        </w:rPr>
        <w:t>This dataset includes a total of 8,400 phenotype observations across 56 pharmacogenes, with significant variability in phenotype prevalence. The most common phenotype classification is “Indeterminate”, which accounts for 74.6% of all observations (n = 6,270). This suggests that for many pharmacogenes, genotypic data alone may be insufficient to confidently assign a functional metabolizer status. Reasons for indeterminate phenotype include (a) limited clinical annotations or incomplete genotype interpretation, (b) variants of uncertain significance (VUS) and (c) structural or rare variants not captured in standard genotyping panels.</w:t>
      </w:r>
    </w:p>
    <w:p w14:paraId="13BEB5AF" w14:textId="77777777" w:rsidR="000F7F55" w:rsidRPr="00AE5020" w:rsidRDefault="000F7F55" w:rsidP="000F7F55">
      <w:pPr>
        <w:jc w:val="both"/>
        <w:rPr>
          <w:bCs/>
          <w:lang w:val="en-US"/>
        </w:rPr>
      </w:pPr>
    </w:p>
    <w:p w14:paraId="164CC38F" w14:textId="77777777" w:rsidR="000F7F55" w:rsidRPr="00AE5020" w:rsidRDefault="000F7F55" w:rsidP="000F7F55">
      <w:pPr>
        <w:jc w:val="both"/>
        <w:rPr>
          <w:bCs/>
          <w:lang w:val="en-US"/>
        </w:rPr>
      </w:pPr>
      <w:r w:rsidRPr="00AE5020">
        <w:rPr>
          <w:bCs/>
          <w:lang w:val="en-US"/>
        </w:rPr>
        <w:t>Among classified phenotypes, “Normal Metabolizer” (10.4%) is the most prevalent, followed by “Uncertain Susceptibility” (3.6%) and “Intermediate Metabolizer” (2.4%). The rarer classifications include “Poor Metabolizer” (1.9%), “Rapid Metabolizer” (0.05%), and “Poor Function” (0.04%), suggesting that high-risk pharmacogenomic variants may be less frequent in this population.</w:t>
      </w:r>
    </w:p>
    <w:p w14:paraId="19F6F548" w14:textId="77777777" w:rsidR="000F7F55" w:rsidRPr="00AE5020" w:rsidRDefault="000F7F55" w:rsidP="000F7F55">
      <w:pPr>
        <w:jc w:val="both"/>
        <w:rPr>
          <w:bCs/>
          <w:lang w:val="en-US"/>
        </w:rPr>
      </w:pPr>
    </w:p>
    <w:p w14:paraId="322C84B4" w14:textId="5E8D7C2B" w:rsidR="000F7F55" w:rsidRPr="00AE5020" w:rsidRDefault="000F7F55" w:rsidP="000F7F55">
      <w:pPr>
        <w:jc w:val="both"/>
        <w:rPr>
          <w:bCs/>
          <w:lang w:val="en-US"/>
        </w:rPr>
      </w:pPr>
      <w:r w:rsidRPr="00AE5020">
        <w:rPr>
          <w:bCs/>
          <w:lang w:val="en-US"/>
        </w:rPr>
        <w:t xml:space="preserve">Pharmacogenes with the greatest number of distinct phenotype classifications observed per gene include </w:t>
      </w:r>
      <w:r w:rsidRPr="00AE5020">
        <w:rPr>
          <w:bCs/>
          <w:i/>
          <w:lang w:val="en-US"/>
        </w:rPr>
        <w:t>CYP2B6</w:t>
      </w:r>
      <w:r w:rsidRPr="00AE5020">
        <w:rPr>
          <w:bCs/>
          <w:lang w:val="en-US"/>
        </w:rPr>
        <w:t xml:space="preserve"> and </w:t>
      </w:r>
      <w:r w:rsidRPr="00AE5020">
        <w:rPr>
          <w:bCs/>
          <w:i/>
          <w:lang w:val="en-US"/>
        </w:rPr>
        <w:t>CYP2C19</w:t>
      </w:r>
      <w:r w:rsidRPr="00AE5020">
        <w:rPr>
          <w:bCs/>
          <w:lang w:val="en-US"/>
        </w:rPr>
        <w:t xml:space="preserve"> (4 distinct phenotypes each). This aligns with their well-characterized functional variability, affecting drugs like efavirenz (</w:t>
      </w:r>
      <w:r w:rsidRPr="00AE5020">
        <w:rPr>
          <w:bCs/>
          <w:i/>
          <w:lang w:val="en-US"/>
        </w:rPr>
        <w:t>CYP2B6</w:t>
      </w:r>
      <w:r w:rsidRPr="00AE5020">
        <w:rPr>
          <w:bCs/>
          <w:lang w:val="en-US"/>
        </w:rPr>
        <w:t>) and clopidogrel (</w:t>
      </w:r>
      <w:r w:rsidRPr="00AE5020">
        <w:rPr>
          <w:bCs/>
          <w:i/>
          <w:lang w:val="en-US"/>
        </w:rPr>
        <w:t>CYP2C19</w:t>
      </w:r>
      <w:r w:rsidRPr="00AE5020">
        <w:rPr>
          <w:bCs/>
          <w:lang w:val="en-US"/>
        </w:rPr>
        <w:t xml:space="preserve">). </w:t>
      </w:r>
      <w:r w:rsidRPr="00AE5020">
        <w:rPr>
          <w:bCs/>
          <w:i/>
          <w:lang w:val="en-US"/>
        </w:rPr>
        <w:t>CYP2D6</w:t>
      </w:r>
      <w:r w:rsidRPr="00AE5020">
        <w:rPr>
          <w:bCs/>
          <w:lang w:val="en-US"/>
        </w:rPr>
        <w:t xml:space="preserve">, </w:t>
      </w:r>
      <w:r w:rsidRPr="00AE5020">
        <w:rPr>
          <w:bCs/>
          <w:i/>
          <w:lang w:val="en-US"/>
        </w:rPr>
        <w:t>CYP3A5</w:t>
      </w:r>
      <w:r w:rsidRPr="00AE5020">
        <w:rPr>
          <w:bCs/>
          <w:lang w:val="en-US"/>
        </w:rPr>
        <w:t xml:space="preserve">, and </w:t>
      </w:r>
      <w:r w:rsidRPr="00AE5020">
        <w:rPr>
          <w:bCs/>
          <w:i/>
          <w:lang w:val="en-US"/>
        </w:rPr>
        <w:t>SLCO1B1</w:t>
      </w:r>
      <w:r w:rsidRPr="00AE5020">
        <w:rPr>
          <w:bCs/>
          <w:lang w:val="en-US"/>
        </w:rPr>
        <w:t xml:space="preserve"> (3 phenotypes each) are also highly variable, reflecting their key roles in drug metabolism and transport. </w:t>
      </w:r>
      <w:r w:rsidRPr="00AE5020">
        <w:rPr>
          <w:bCs/>
          <w:i/>
          <w:lang w:val="en-US"/>
        </w:rPr>
        <w:t>NUDT15</w:t>
      </w:r>
      <w:r w:rsidRPr="00AE5020">
        <w:rPr>
          <w:bCs/>
          <w:lang w:val="en-US"/>
        </w:rPr>
        <w:t xml:space="preserve"> and </w:t>
      </w:r>
      <w:r w:rsidRPr="00AE5020">
        <w:rPr>
          <w:bCs/>
          <w:i/>
          <w:lang w:val="en-US"/>
        </w:rPr>
        <w:t>TPMT</w:t>
      </w:r>
      <w:r w:rsidRPr="00AE5020">
        <w:rPr>
          <w:bCs/>
          <w:lang w:val="en-US"/>
        </w:rPr>
        <w:t xml:space="preserve"> (3 phenotypes each) are also known for their impact on </w:t>
      </w:r>
      <w:bookmarkStart w:id="21" w:name="OLE_LINK63"/>
      <w:bookmarkStart w:id="22" w:name="OLE_LINK64"/>
      <w:r w:rsidRPr="00AE5020">
        <w:rPr>
          <w:bCs/>
          <w:lang w:val="en-US"/>
        </w:rPr>
        <w:t>thiopurine metabolism, where poor metabolizers experience severe myelosuppression</w:t>
      </w:r>
      <w:bookmarkEnd w:id="21"/>
      <w:bookmarkEnd w:id="22"/>
      <w:r w:rsidRPr="00AE5020">
        <w:rPr>
          <w:bCs/>
          <w:lang w:val="en-US"/>
        </w:rPr>
        <w:t xml:space="preserve"> </w:t>
      </w:r>
      <w:r w:rsidRPr="00AE5020">
        <w:rPr>
          <w:bCs/>
          <w:lang w:val="en-US"/>
        </w:rPr>
        <w:fldChar w:fldCharType="begin"/>
      </w:r>
      <w:r w:rsidR="00C01C95">
        <w:rPr>
          <w:bCs/>
          <w:lang w:val="en-US"/>
        </w:rPr>
        <w:instrText xml:space="preserve"> ADDIN ZOTERO_ITEM CSL_CITATION {"citationID":"7lcNEPVN","properties":{"formattedCitation":"\\super 33\\nosupersub{}","plainCitation":"33","noteIndex":0},"citationItems":[{"id":614,"uris":["http://zotero.org/users/16405780/items/U4CV4RUX"],"itemData":{"id":614,"type":"chapter","abstract":"Azathioprine (brand names Imuran, Azasan) is an immunosuppressant that belongs to the drug class of thiopurines. It is used with other drugs to prevent kidney transplant rejection and to manage autoimmune and inflammatory conditions such as systemic lupus erythematosus, inflammatory bowel disease, systemic vasculitis, and rheumatoid arthritis. Azathioprine is a prodrug that must first be activated to form thioguanine nucleotides (TGNs), the major active metabolites. The active metabolites are metabolized and inactivated by the enzyme thiopurine methyltransferase (TPMT) and the enzyme nudix hydrolase 15 (NUDT15). Thus, individuals with reduced activity of either enzyme are exposed to higher levels of thioguanine and have a higher risk of toxicity side effects, including severe bone marrow suppression (myelosuppression). The FDA-approved drug label states that testing for TPMT and NUDT15 deficiency should be considered in individuals who experience severe bone marrow toxicities or repeated episodes of myelosuppression. The FDA recommends considering an alternative therapy for individuals who are known to have homozygous TPMT or NUDT15 deficiency, or both, and to reduce dosages for individuals who have a no function allele, cautioning that a more substantial dose reduction may be required for individuals who are either TPMT or NUDT15 poor metabolizers (Table 1) (1). Dosing recommendations for thioguanine based on TPMT and NUDT15 genotype have also been published by the Clinical Pharmacogenetics Implementation Consortium (CPIC, Table 2, Table 3) and the Dutch Pharmacogenetics Working Group (DPWG). Both the CPIC and DPWG guidelines recommend specific dose reductions for individuals who have low or deficient enzyme activity, including starting dose and more information on how and when to adjust the dose e.g., the time allowed to reach steady state after each dose adjustment (2-4).","call-number":"NBK100661","container-title":"Medical Genetics Summaries","event-place":"Bethesda (MD)","language":"eng","note":"PMID: 28520349","publisher":"National Center for Biotechnology Information (US)","publisher-place":"Bethesda (MD)","source":"PubMed","title":"Azathioprine Therapy and TPMT and NUDT15 Genotype","URL":"http://www.ncbi.nlm.nih.gov/books/NBK100661/","author":[{"family":"Dean","given":"Laura"}],"editor":[{"family":"Pratt","given":"Victoria M."},{"family":"Scott","given":"Stuart A."},{"family":"Pirmohamed","given":"Munir"},{"family":"Esquivel","given":"Bernard"},{"family":"Kattman","given":"Brandi L."},{"family":"Malheiro","given":"Adriana J."}],"accessed":{"date-parts":[["2025",3,20]]},"issued":{"date-parts":[["2012"]]}}}],"schema":"https://github.com/citation-style-language/schema/raw/master/csl-citation.json"} </w:instrText>
      </w:r>
      <w:r w:rsidRPr="00AE5020">
        <w:rPr>
          <w:bCs/>
          <w:lang w:val="en-US"/>
        </w:rPr>
        <w:fldChar w:fldCharType="separate"/>
      </w:r>
      <w:r w:rsidR="00C01C95" w:rsidRPr="00C01C95">
        <w:rPr>
          <w:rFonts w:ascii="Calibri" w:cs="Calibri"/>
          <w:vertAlign w:val="superscript"/>
        </w:rPr>
        <w:t>33</w:t>
      </w:r>
      <w:r w:rsidRPr="00AE5020">
        <w:rPr>
          <w:bCs/>
          <w:lang w:val="en-US"/>
        </w:rPr>
        <w:fldChar w:fldCharType="end"/>
      </w:r>
      <w:r w:rsidRPr="00AE5020">
        <w:rPr>
          <w:bCs/>
          <w:lang w:val="en-US"/>
        </w:rPr>
        <w:t xml:space="preserve">, necessitating precise dose adjustments. Conversely, some pharmacogenes exhibit minimal phenotypic variation, indicating little functional diversity in this dataset. </w:t>
      </w:r>
      <w:r w:rsidRPr="00AE5020">
        <w:rPr>
          <w:bCs/>
          <w:i/>
          <w:lang w:val="en-US"/>
        </w:rPr>
        <w:t>CYP3A4</w:t>
      </w:r>
      <w:r w:rsidRPr="00AE5020">
        <w:rPr>
          <w:bCs/>
          <w:lang w:val="en-US"/>
        </w:rPr>
        <w:t xml:space="preserve">, </w:t>
      </w:r>
      <w:r w:rsidRPr="00AE5020">
        <w:rPr>
          <w:bCs/>
          <w:i/>
          <w:lang w:val="en-US"/>
        </w:rPr>
        <w:t>CYP2R1</w:t>
      </w:r>
      <w:r w:rsidRPr="00AE5020">
        <w:rPr>
          <w:bCs/>
          <w:lang w:val="en-US"/>
        </w:rPr>
        <w:t xml:space="preserve">, and </w:t>
      </w:r>
      <w:r w:rsidRPr="00AE5020">
        <w:rPr>
          <w:bCs/>
          <w:i/>
          <w:lang w:val="en-US"/>
        </w:rPr>
        <w:t>CACNA1S</w:t>
      </w:r>
      <w:r w:rsidRPr="00AE5020">
        <w:rPr>
          <w:bCs/>
          <w:lang w:val="en-US"/>
        </w:rPr>
        <w:t xml:space="preserve"> each have a single phenotype classification, suggesting that genetic variation in these genes may have limited clinical relevance in this cohort.</w:t>
      </w:r>
    </w:p>
    <w:p w14:paraId="70EBB40C" w14:textId="77777777" w:rsidR="000F7F55" w:rsidRPr="00AE5020" w:rsidRDefault="000F7F55" w:rsidP="000F7F55">
      <w:pPr>
        <w:jc w:val="both"/>
        <w:rPr>
          <w:bCs/>
          <w:lang w:val="en-US"/>
        </w:rPr>
      </w:pPr>
    </w:p>
    <w:p w14:paraId="1D671537" w14:textId="57E697CC" w:rsidR="000F7F55" w:rsidRPr="00AE5020" w:rsidRDefault="000F7F55" w:rsidP="000F7F55">
      <w:pPr>
        <w:jc w:val="both"/>
        <w:rPr>
          <w:bCs/>
          <w:lang w:val="en-US"/>
        </w:rPr>
      </w:pPr>
      <w:r w:rsidRPr="00AE5020">
        <w:rPr>
          <w:bCs/>
          <w:lang w:val="en-US"/>
        </w:rPr>
        <w:t xml:space="preserve">Genes with high prevalence of poor or intermediate metabolizers include </w:t>
      </w:r>
      <w:r w:rsidRPr="00AE5020">
        <w:rPr>
          <w:bCs/>
          <w:i/>
          <w:lang w:val="en-US"/>
        </w:rPr>
        <w:t>CYP2C19</w:t>
      </w:r>
      <w:r w:rsidRPr="00AE5020">
        <w:rPr>
          <w:bCs/>
          <w:lang w:val="en-US"/>
        </w:rPr>
        <w:t xml:space="preserve">, which has one of the highest frequencies of poor metabolizers, reinforcing its clinical importance for clopidogrel response. </w:t>
      </w:r>
      <w:r w:rsidRPr="00AE5020">
        <w:rPr>
          <w:bCs/>
          <w:i/>
          <w:lang w:val="en-US"/>
        </w:rPr>
        <w:t>CYP2B6</w:t>
      </w:r>
      <w:r w:rsidRPr="00AE5020">
        <w:rPr>
          <w:bCs/>
          <w:lang w:val="en-US"/>
        </w:rPr>
        <w:t xml:space="preserve"> poor metabolizers are also well-represented, suggesting potential risks for efavirenz neurotoxicity in affected individuals. </w:t>
      </w:r>
      <w:bookmarkStart w:id="23" w:name="OLE_LINK65"/>
      <w:bookmarkStart w:id="24" w:name="OLE_LINK66"/>
      <w:r w:rsidRPr="00AE5020">
        <w:rPr>
          <w:bCs/>
          <w:i/>
          <w:lang w:val="en-US"/>
        </w:rPr>
        <w:t>SLCO1B1</w:t>
      </w:r>
      <w:r w:rsidRPr="00AE5020">
        <w:rPr>
          <w:bCs/>
          <w:lang w:val="en-US"/>
        </w:rPr>
        <w:t xml:space="preserve"> intermediate function variants are common, indicating that a subset of individuals may be at increased risk for statin-induced myopathy</w:t>
      </w:r>
      <w:bookmarkEnd w:id="23"/>
      <w:bookmarkEnd w:id="24"/>
      <w:r w:rsidRPr="00AE5020">
        <w:rPr>
          <w:bCs/>
          <w:lang w:val="en-US"/>
        </w:rPr>
        <w:t xml:space="preserve"> </w:t>
      </w:r>
      <w:r w:rsidRPr="00AE5020">
        <w:rPr>
          <w:bCs/>
          <w:lang w:val="en-US"/>
        </w:rPr>
        <w:fldChar w:fldCharType="begin"/>
      </w:r>
      <w:r w:rsidR="00C01C95">
        <w:rPr>
          <w:bCs/>
          <w:lang w:val="en-US"/>
        </w:rPr>
        <w:instrText xml:space="preserve"> ADDIN ZOTERO_ITEM CSL_CITATION {"citationID":"JfiGPkbM","properties":{"formattedCitation":"\\super 34\\nosupersub{}","plainCitation":"34","noteIndex":0},"citationItems":[{"id":617,"uris":["http://zotero.org/users/16405780/items/5BT797Z8"],"itemData":{"id":617,"type":"article-journal","abstract":"BACKGROUND: Lowering low-density lipoprotein cholesterol with statin therapy results in substantial reductions in cardiovascular events, and larger reductions in cholesterol may produce larger benefits. In rare cases, myopathy occurs in association with statin therapy, especially when the statins are administered at higher doses and with certain other medications.\nMETHODS: We carried out a genomewide association study using approximately 300,000 markers (and additional fine-mapping) in 85 subjects with definite or incipient myopathy and 90 controls, all of whom were taking 80 mg of simvastatin daily as part of a trial involving 12,000 participants. Replication was tested in a trial of 40 mg of simvastatin daily involving 20,000 participants.\nRESULTS: The genomewide scan yielded a single strong association of myopathy with the rs4363657 single-nucleotide polymorphism (SNP) located within SLCO1B1 on chromosome 12 (P=4x10(-9)). SLCO1B1 encodes the organic anion-transporting polypeptide OATP1B1, which has been shown to regulate the hepatic uptake of statins. The noncoding rs4363657 SNP was in nearly complete linkage disequilibrium with the nonsynonymous rs4149056 SNP (r(2)=0.97), which has been linked to statin metabolism. The prevalence of the rs4149056 C allele in the population was 15%. The odds ratio for myopathy was 4.5 (95% confidence interval [CI], 2.6 to 7.7) per copy of the C allele, and 16.9 (95% CI, 4.7 to 61.1) in CC as compared with TT homozygotes. More than 60% of these myopathy cases could be attributed to the C variant. The association of rs4149056 with myopathy was replicated in the trial of 40 mg of simvastatin daily, which also showed an association between rs4149056 and the cholesterol-lowering effects of simvastatin. No SNPs in any other region were clearly associated with myopathy.\nCONCLUSIONS: We have identified common variants in SLCO1B1 that are strongly associated with an increased risk of statin-induced myopathy. Genotyping these variants may help to achieve the benefits of statin therapy more safely and effectively. (Current Controlled Trials number, ISRCTN74348595.)","container-title":"The New England Journal of Medicine","DOI":"10.1056/NEJMoa0801936","ISSN":"1533-4406","issue":"8","journalAbbreviation":"N Engl J Med","language":"eng","note":"PMID: 18650507","page":"789-799","source":"PubMed","title":"SLCO1B1 variants and statin-induced myopathy--a genomewide study","volume":"359","author":[{"literal":"SEARCH Collaborative Group"},{"family":"Link","given":"E."},{"family":"Parish","given":"S."},{"family":"Armitage","given":"J."},{"family":"Bowman","given":"L."},{"family":"Heath","given":"S."},{"family":"Matsuda","given":"F."},{"family":"Gut","given":"I."},{"family":"Lathrop","given":"M."},{"family":"Collins","given":"R."}],"issued":{"date-parts":[["2008",8,21]]}}}],"schema":"https://github.com/citation-style-language/schema/raw/master/csl-citation.json"} </w:instrText>
      </w:r>
      <w:r w:rsidRPr="00AE5020">
        <w:rPr>
          <w:bCs/>
          <w:lang w:val="en-US"/>
        </w:rPr>
        <w:fldChar w:fldCharType="separate"/>
      </w:r>
      <w:r w:rsidR="00C01C95" w:rsidRPr="00C01C95">
        <w:rPr>
          <w:rFonts w:ascii="Calibri" w:cs="Calibri"/>
          <w:vertAlign w:val="superscript"/>
        </w:rPr>
        <w:t>34</w:t>
      </w:r>
      <w:r w:rsidRPr="00AE5020">
        <w:rPr>
          <w:bCs/>
          <w:lang w:val="en-US"/>
        </w:rPr>
        <w:fldChar w:fldCharType="end"/>
      </w:r>
      <w:r w:rsidRPr="00AE5020">
        <w:rPr>
          <w:bCs/>
          <w:lang w:val="en-US"/>
        </w:rPr>
        <w:t>.</w:t>
      </w:r>
    </w:p>
    <w:p w14:paraId="16A5A531" w14:textId="77777777" w:rsidR="000F7F55" w:rsidRPr="00AE5020" w:rsidRDefault="000F7F55" w:rsidP="000F7F55">
      <w:pPr>
        <w:jc w:val="both"/>
        <w:rPr>
          <w:bCs/>
          <w:lang w:val="en-US"/>
        </w:rPr>
      </w:pPr>
    </w:p>
    <w:p w14:paraId="6BBF03D8" w14:textId="3B57C16E" w:rsidR="000F7F55" w:rsidRPr="00AE5020" w:rsidRDefault="000F7F55" w:rsidP="000F7F55">
      <w:pPr>
        <w:jc w:val="both"/>
        <w:rPr>
          <w:bCs/>
          <w:lang w:val="en-US"/>
        </w:rPr>
      </w:pPr>
      <w:r w:rsidRPr="00AE5020">
        <w:rPr>
          <w:bCs/>
          <w:lang w:val="en-US"/>
        </w:rPr>
        <w:lastRenderedPageBreak/>
        <w:t xml:space="preserve">There were rare phenotypes as well. “Rapid Metabolizer” (n = 4, 0.05%) was the least frequent classification, suggesting that ultrarapid drug metabolism is uncommon in this dataset. This has clinical implications for opioids and antidepressants, where ultrarapid metabolism can lead to subtherapeutic drug levels. “Poor Function” (n = 3, 0.04%) was observed in only a few cases, indicating that genes with severe loss-of-function variants may be underrepresented or rare. Malignant hyperthermia susceptibility (n = 1) was the rarest functional classification, reinforcing that </w:t>
      </w:r>
      <w:r w:rsidRPr="00AE5020">
        <w:rPr>
          <w:bCs/>
          <w:i/>
          <w:lang w:val="en-US"/>
        </w:rPr>
        <w:t>RYR1</w:t>
      </w:r>
      <w:r w:rsidRPr="00AE5020">
        <w:rPr>
          <w:bCs/>
          <w:lang w:val="en-US"/>
        </w:rPr>
        <w:t xml:space="preserve"> variants conferring susceptibility to malignant hyperthermia </w:t>
      </w:r>
      <w:r w:rsidRPr="00AE5020">
        <w:rPr>
          <w:bCs/>
          <w:lang w:val="en-US"/>
        </w:rPr>
        <w:fldChar w:fldCharType="begin"/>
      </w:r>
      <w:r w:rsidR="00C01C95">
        <w:rPr>
          <w:bCs/>
          <w:lang w:val="en-US"/>
        </w:rPr>
        <w:instrText xml:space="preserve"> ADDIN ZOTERO_ITEM CSL_CITATION {"citationID":"HkkHpEyl","properties":{"formattedCitation":"\\super 35\\nosupersub{}","plainCitation":"35","noteIndex":0},"citationItems":[{"id":620,"uris":["http://zotero.org/users/16405780/items/94REMEDL"],"itemData":{"id":620,"type":"chapter","abstract":"Malignant hyperthermia susceptibility (MHS) is a pharmacogenetic disorder of skeletal muscle calcium regulation associated with uncontrolled skeletal muscle hypermetabolism. Manifestations of malignant hyperthermia (MH) are precipitated by certain volatile anesthetics (i.e., halothane, isoflurane, sevoflurane, desflurane, enflurane), either alone or in conjunction with a depolarizing muscle relaxant (specifically, succinylcholine). The triggering substances cause uncontrolled release of calcium from the sarcoplasmic reticulum and may promote entry of extracellular calcium into the myoplasm, causing contracture of skeletal muscles, glycogenolysis, and increased cellular metabolism, resulting in production of heat and excess lactate. Affected individuals experience acidosis, hypercapnia, tachycardia, hyperthermia, muscle rigidity, compartment syndrome, rhabdomyolysis with subsequent increase in serum creatine kinase (CK) concentration, hyperkalemia with a risk for cardiac arrhythmia or even cardiac arrest, and myoglobinuria with a risk for renal failure. In nearly all cases, the first manifestations of MH (tachycardia and tachypnea) occur in the operating room; however, MH may also occur in the early postoperative period. There is mounting evidence that some individuals with MHS will also develop MH with exercise and/or on exposure to hot environments. Without proper and prompt treatment with dantrolene sodium, mortality is extremely high., The diagnosis of MHS is established with in vitro muscle contracture testing by measuring the contracture responses of biopsied muscle samples to halothane and graded concentrations of caffeine. The diagnosis of MHS can also be established by identification of a pathogenic variant in CACNA1S, RYR1, or STAC3 on molecular genetic testing., Treatment of manifestations: Early diagnosis of an MH episode is essential. Successful treatment of an acute episode of MH includes: discontinuation of potent inhalation agents and succinylcholine; increase in minute ventilation to lower end-tidal CO2; use of MHAUS helpline; administration of dantrolene sodium intravenously; cooling measures if body temperature is &gt;38.5° C; treatment of cardiac arrhythmias if needed (do not use calcium channel blockers); monitoring blood gases, serum concentrations of electrolytes and CK, blood and urine for myoglobin, and coagulation profile; treatment of metabolic abnormalities. Prevention of primary manifestations: Individuals with MHS should not be exposed to potent volatile agents and succinylcholine. Individuals undergoing general anesthetics that exceed 30 minutes in duration should have their temperature monitored using an electronic temperature probe. Individuals with MHS should carry proper identification as to their susceptibility. Agents/circumstances to avoid: Avoid potent inhalation anesthetics and succinylcholine. Calcium channel blockers should not be given together with dantrolene because of a potential cardiac depressant effect. Serotonin antagonist (5HT3-antagonist) antiemetics should be used cautiously. Individuals with MHS should avoid extremes of heat, but not restrict athletic activity unless there is a history of overt rhabdomyolysis and/or heat stroke. Strenuous activities at high ambient temperatures should be avoided or performed with caution. In individuals with MH undergoing cardiac bypass surgery, aggressive rewarming should be avoided, as it may be associated with development of clinical signs of MH. Evaluation of relatives at risk: If the MHS-causative pathogenic variant in the family is known, molecular genetic testing can be used to established increased risk of MH in a heterozygous individual; molecular genetic testing alone cannot be used to identify family members who are not at increased risk for MH because of other possible genetic risk factors. If the pathogenic variant in the family is not known or if an at-risk relative is found to be negative for a familial pathogenic variant, muscle contracture testing can be used to assess susceptibility to MH. Pregnancy management: If a pregnant woman with MHS requires a non-emergent surgery, a non-triggering anesthetic (local, nerve block, epidural, spinal anesthesia, or a total intravenous general anesthetic) should be administered. Continuous epidural analgesia is highly recommended for labor and delivery. If a cesarean delivery is indicated in a woman who does not have an epidural catheter in place, neuraxial (spinal, epidural, or combined spinal-epidural) anesthesia is recommended (if not otherwise contraindicated). If a general anesthetic is indicated, a total intravenous anesthetic technique should be administered, with an anesthesia machine that has been prepared for an MH-susceptible individual., Malignant hyperthermia susceptibility (MHS) is an autosomal dominant disorder. Most individuals diagnosed with MHS have a parent with MHS, although the parent may not have experienced an episode of MH. The proportion of individuals with MHS caused by a de novo pathogenic variant is unknown. Each child of an individual with MHS has a 50% chance of inheriting a causative pathogenic variant. Prenatal testing for a pregnancy at increased risk is possible if there is a known MH pathogenic variant in the family.","call-number":"NBK1146","container-title":"GeneReviews®","event-place":"Seattle (WA)","language":"eng","license":"Copyright © 1993-2025, University of Washington, Seattle. GeneReviews is a registered trademark of the University of Washington, Seattle. All rights reserved.","note":"PMID: 20301325","publisher":"University of Washington, Seattle","publisher-place":"Seattle (WA)","source":"PubMed","title":"Malignant Hyperthermia Susceptibility","URL":"http://www.ncbi.nlm.nih.gov/books/NBK1146/","author":[{"family":"Rosenberg","given":"Henry"},{"family":"Sambuughin","given":"Nyamkhishig"},{"family":"Riazi","given":"Sheila"},{"family":"Dirksen","given":"Robert"}],"editor":[{"family":"Adam","given":"Margaret P."},{"family":"Feldman","given":"Jerry"},{"family":"Mirzaa","given":"Ghayda M."},{"family":"Pagon","given":"Roberta A."},{"family":"Wallace","given":"Stephanie E."},{"family":"Amemiya","given":"Anne"}],"accessed":{"date-parts":[["2025",3,20]]},"issued":{"date-parts":[["1993"]]}}}],"schema":"https://github.com/citation-style-language/schema/raw/master/csl-citation.json"} </w:instrText>
      </w:r>
      <w:r w:rsidRPr="00AE5020">
        <w:rPr>
          <w:bCs/>
          <w:lang w:val="en-US"/>
        </w:rPr>
        <w:fldChar w:fldCharType="separate"/>
      </w:r>
      <w:r w:rsidR="00C01C95" w:rsidRPr="00C01C95">
        <w:rPr>
          <w:rFonts w:ascii="Calibri" w:cs="Calibri"/>
          <w:vertAlign w:val="superscript"/>
        </w:rPr>
        <w:t>35</w:t>
      </w:r>
      <w:r w:rsidRPr="00AE5020">
        <w:rPr>
          <w:bCs/>
          <w:lang w:val="en-US"/>
        </w:rPr>
        <w:fldChar w:fldCharType="end"/>
      </w:r>
      <w:r w:rsidRPr="00AE5020">
        <w:rPr>
          <w:bCs/>
          <w:lang w:val="en-US"/>
        </w:rPr>
        <w:t xml:space="preserve"> are infrequent in this cohort.</w:t>
      </w:r>
    </w:p>
    <w:p w14:paraId="3069EA5D" w14:textId="77777777" w:rsidR="001312EF" w:rsidRPr="00AE5020" w:rsidRDefault="001312EF" w:rsidP="000F7F55">
      <w:pPr>
        <w:jc w:val="both"/>
        <w:rPr>
          <w:bCs/>
          <w:lang w:val="en-US"/>
        </w:rPr>
      </w:pPr>
    </w:p>
    <w:p w14:paraId="5AD7B642" w14:textId="77777777" w:rsidR="001312EF" w:rsidRPr="00AE5020" w:rsidRDefault="001312EF" w:rsidP="001312EF">
      <w:pPr>
        <w:jc w:val="both"/>
        <w:rPr>
          <w:lang w:val="en-US"/>
        </w:rPr>
      </w:pPr>
      <w:r w:rsidRPr="00AE5020">
        <w:rPr>
          <w:lang w:val="en-US"/>
        </w:rPr>
        <w:t xml:space="preserve">Notable genotype frequency differences between sequenced populations were observed in several genes. </w:t>
      </w:r>
      <w:r w:rsidRPr="00AE5020">
        <w:rPr>
          <w:bCs/>
          <w:i/>
          <w:lang w:val="en-US"/>
        </w:rPr>
        <w:t>CYP2W1</w:t>
      </w:r>
      <w:r w:rsidRPr="00AE5020">
        <w:rPr>
          <w:bCs/>
          <w:lang w:val="en-US"/>
        </w:rPr>
        <w:t>.</w:t>
      </w:r>
      <w:r w:rsidRPr="00AE5020">
        <w:rPr>
          <w:lang w:val="en-US"/>
        </w:rPr>
        <w:t xml:space="preserve"> This gene showed the most pronounced heterogeneity (</w:t>
      </w:r>
      <w:r w:rsidRPr="00AE5020">
        <w:rPr>
          <w:i/>
          <w:iCs/>
          <w:lang w:val="en-US"/>
        </w:rPr>
        <w:t>p</w:t>
      </w:r>
      <w:r w:rsidRPr="00AE5020">
        <w:rPr>
          <w:lang w:val="en-US"/>
        </w:rPr>
        <w:t xml:space="preserve"> = 4.8×10⁻⁸). The </w:t>
      </w:r>
      <w:r w:rsidRPr="00AE5020">
        <w:rPr>
          <w:i/>
          <w:iCs/>
          <w:lang w:val="en-US"/>
        </w:rPr>
        <w:t>CYP2W1</w:t>
      </w:r>
      <w:r w:rsidRPr="00AE5020">
        <w:rPr>
          <w:lang w:val="en-US"/>
        </w:rPr>
        <w:t xml:space="preserve"> *6 allele was exceptionally frequent in the Uros population, where </w:t>
      </w:r>
      <w:r w:rsidRPr="00AE5020">
        <w:rPr>
          <w:bCs/>
          <w:lang w:val="en-US"/>
        </w:rPr>
        <w:t>56.7%</w:t>
      </w:r>
      <w:r w:rsidRPr="00AE5020">
        <w:rPr>
          <w:lang w:val="en-US"/>
        </w:rPr>
        <w:t xml:space="preserve"> of individuals were homozygous *6/*6 (and ~90% carried at least one *6 allele). In contrast, other groups had much lower *6 allele frequencies (approximately 10–30% of alleles), highlighting a significant genetic divergence in </w:t>
      </w:r>
      <w:r w:rsidRPr="00AE5020">
        <w:rPr>
          <w:i/>
          <w:iCs/>
          <w:lang w:val="en-US"/>
        </w:rPr>
        <w:t>CYP2W1</w:t>
      </w:r>
      <w:r w:rsidRPr="00AE5020">
        <w:rPr>
          <w:lang w:val="en-US"/>
        </w:rPr>
        <w:t xml:space="preserve"> for Uros versus the others.</w:t>
      </w:r>
      <w:r w:rsidRPr="00AE5020">
        <w:rPr>
          <w:b/>
          <w:bCs/>
          <w:lang w:val="en-US"/>
        </w:rPr>
        <w:t xml:space="preserve"> </w:t>
      </w:r>
      <w:r w:rsidRPr="00AE5020">
        <w:rPr>
          <w:lang w:val="en-US"/>
        </w:rPr>
        <w:t xml:space="preserve">The glutathione S-transferase </w:t>
      </w:r>
      <w:r w:rsidRPr="00AE5020">
        <w:rPr>
          <w:i/>
          <w:iCs/>
          <w:lang w:val="en-US"/>
        </w:rPr>
        <w:t>M1</w:t>
      </w:r>
      <w:r w:rsidRPr="00AE5020">
        <w:rPr>
          <w:lang w:val="en-US"/>
        </w:rPr>
        <w:t xml:space="preserve"> gene (</w:t>
      </w:r>
      <w:r w:rsidRPr="00AE5020">
        <w:rPr>
          <w:bCs/>
          <w:i/>
          <w:lang w:val="en-US"/>
        </w:rPr>
        <w:t>GSTM1</w:t>
      </w:r>
      <w:r w:rsidRPr="00AE5020">
        <w:rPr>
          <w:bCs/>
          <w:lang w:val="en-US"/>
        </w:rPr>
        <w:t xml:space="preserve">) </w:t>
      </w:r>
      <w:r w:rsidRPr="00AE5020">
        <w:rPr>
          <w:lang w:val="en-US"/>
        </w:rPr>
        <w:t>also varied markedly among populations (</w:t>
      </w:r>
      <w:r w:rsidRPr="00AE5020">
        <w:rPr>
          <w:i/>
          <w:iCs/>
          <w:lang w:val="en-US"/>
        </w:rPr>
        <w:t>p</w:t>
      </w:r>
      <w:r w:rsidRPr="00AE5020">
        <w:rPr>
          <w:lang w:val="en-US"/>
        </w:rPr>
        <w:t xml:space="preserve"> = 2.3×10⁻⁴). The Amazonian </w:t>
      </w:r>
      <w:r w:rsidRPr="00AE5020">
        <w:rPr>
          <w:bCs/>
          <w:lang w:val="en-US"/>
        </w:rPr>
        <w:t>Matzes</w:t>
      </w:r>
      <w:r w:rsidRPr="00AE5020">
        <w:rPr>
          <w:lang w:val="en-US"/>
        </w:rPr>
        <w:t xml:space="preserve"> were predominantly </w:t>
      </w:r>
      <w:r w:rsidRPr="00AE5020">
        <w:rPr>
          <w:i/>
          <w:iCs/>
          <w:lang w:val="en-US"/>
        </w:rPr>
        <w:t>GSTM1</w:t>
      </w:r>
      <w:r w:rsidRPr="00AE5020">
        <w:rPr>
          <w:lang w:val="en-US"/>
        </w:rPr>
        <w:t xml:space="preserve"> *A/*A (≈92% of individuals), whereas highland groups like </w:t>
      </w:r>
      <w:proofErr w:type="spellStart"/>
      <w:r w:rsidRPr="00AE5020">
        <w:rPr>
          <w:bCs/>
          <w:lang w:val="en-US"/>
        </w:rPr>
        <w:t>Chopccas</w:t>
      </w:r>
      <w:proofErr w:type="spellEnd"/>
      <w:r w:rsidRPr="00AE5020">
        <w:rPr>
          <w:lang w:val="en-US"/>
        </w:rPr>
        <w:t xml:space="preserve"> and </w:t>
      </w:r>
      <w:r w:rsidRPr="00AE5020">
        <w:rPr>
          <w:bCs/>
          <w:lang w:val="en-US"/>
        </w:rPr>
        <w:t>Cusco</w:t>
      </w:r>
      <w:r w:rsidRPr="00AE5020">
        <w:rPr>
          <w:lang w:val="en-US"/>
        </w:rPr>
        <w:t xml:space="preserve"> were mostly *B/*B homozygotes (~70–75%). Other populations (e.g., </w:t>
      </w:r>
      <w:proofErr w:type="spellStart"/>
      <w:r w:rsidRPr="00AE5020">
        <w:rPr>
          <w:bCs/>
          <w:lang w:val="en-US"/>
        </w:rPr>
        <w:t>Moches</w:t>
      </w:r>
      <w:proofErr w:type="spellEnd"/>
      <w:r w:rsidRPr="00AE5020">
        <w:rPr>
          <w:lang w:val="en-US"/>
        </w:rPr>
        <w:t xml:space="preserve"> and </w:t>
      </w:r>
      <w:r w:rsidRPr="00AE5020">
        <w:rPr>
          <w:bCs/>
          <w:lang w:val="en-US"/>
        </w:rPr>
        <w:t>Uros</w:t>
      </w:r>
      <w:r w:rsidRPr="00AE5020">
        <w:rPr>
          <w:lang w:val="en-US"/>
        </w:rPr>
        <w:t xml:space="preserve">) showed intermediate or mixed genotypes (with some *A/*B heterozygotes), indicating distinct allele frequency landscapes across regions. The </w:t>
      </w:r>
      <w:r w:rsidRPr="00AE5020">
        <w:rPr>
          <w:bCs/>
          <w:i/>
          <w:lang w:val="en-US"/>
        </w:rPr>
        <w:t>CYP2C19</w:t>
      </w:r>
      <w:r w:rsidRPr="00AE5020">
        <w:rPr>
          <w:lang w:val="en-US"/>
        </w:rPr>
        <w:t xml:space="preserve"> pharmacogene displayed significant frequency differences (</w:t>
      </w:r>
      <w:r w:rsidRPr="00AE5020">
        <w:rPr>
          <w:i/>
          <w:iCs/>
          <w:lang w:val="en-US"/>
        </w:rPr>
        <w:t>p</w:t>
      </w:r>
      <w:r w:rsidRPr="00AE5020">
        <w:rPr>
          <w:lang w:val="en-US"/>
        </w:rPr>
        <w:t xml:space="preserve"> = 0.0030). Notably, variant </w:t>
      </w:r>
      <w:r w:rsidRPr="00AE5020">
        <w:rPr>
          <w:i/>
          <w:iCs/>
          <w:lang w:val="en-US"/>
        </w:rPr>
        <w:t>CYP2C19</w:t>
      </w:r>
      <w:r w:rsidRPr="00AE5020">
        <w:rPr>
          <w:lang w:val="en-US"/>
        </w:rPr>
        <w:t xml:space="preserve"> alleles (e.g., *2 or *3 haplotypes) had higher prevalence in certain groups; for instance, one coastal population (Trujillo) showed a greater proportion of non-reference genotypes compared to the Andean groups (reflected in an overall uneven genotype distribution). Several additional loci involved in drug metabolism exhibited significant heterogeneity. These included </w:t>
      </w:r>
      <w:r w:rsidRPr="00AE5020">
        <w:rPr>
          <w:bCs/>
          <w:i/>
          <w:lang w:val="en-US"/>
        </w:rPr>
        <w:t>CYP2B6</w:t>
      </w:r>
      <w:r w:rsidRPr="00AE5020">
        <w:rPr>
          <w:lang w:val="en-US"/>
        </w:rPr>
        <w:t xml:space="preserve"> (</w:t>
      </w:r>
      <w:r w:rsidRPr="00AE5020">
        <w:rPr>
          <w:i/>
          <w:iCs/>
          <w:lang w:val="en-US"/>
        </w:rPr>
        <w:t>p</w:t>
      </w:r>
      <w:r w:rsidRPr="00AE5020">
        <w:rPr>
          <w:lang w:val="en-US"/>
        </w:rPr>
        <w:t xml:space="preserve"> = 0.0039), </w:t>
      </w:r>
      <w:r w:rsidRPr="00AE5020">
        <w:rPr>
          <w:bCs/>
          <w:i/>
          <w:lang w:val="en-US"/>
        </w:rPr>
        <w:t>NAT2</w:t>
      </w:r>
      <w:r w:rsidRPr="00AE5020">
        <w:rPr>
          <w:lang w:val="en-US"/>
        </w:rPr>
        <w:t xml:space="preserve"> (</w:t>
      </w:r>
      <w:r w:rsidRPr="00AE5020">
        <w:rPr>
          <w:i/>
          <w:iCs/>
          <w:lang w:val="en-US"/>
        </w:rPr>
        <w:t>p</w:t>
      </w:r>
      <w:r w:rsidRPr="00AE5020">
        <w:rPr>
          <w:lang w:val="en-US"/>
        </w:rPr>
        <w:t xml:space="preserve"> = 0.0039), </w:t>
      </w:r>
      <w:r w:rsidRPr="00AE5020">
        <w:rPr>
          <w:bCs/>
          <w:i/>
          <w:lang w:val="en-US"/>
        </w:rPr>
        <w:t>UGT1A1</w:t>
      </w:r>
      <w:r w:rsidRPr="00AE5020">
        <w:rPr>
          <w:lang w:val="en-US"/>
        </w:rPr>
        <w:t xml:space="preserve"> (</w:t>
      </w:r>
      <w:r w:rsidRPr="00AE5020">
        <w:rPr>
          <w:i/>
          <w:iCs/>
          <w:lang w:val="en-US"/>
        </w:rPr>
        <w:t>p</w:t>
      </w:r>
      <w:r w:rsidRPr="00AE5020">
        <w:rPr>
          <w:lang w:val="en-US"/>
        </w:rPr>
        <w:t xml:space="preserve"> = 3.9×10⁻⁴), </w:t>
      </w:r>
      <w:r w:rsidRPr="00AE5020">
        <w:rPr>
          <w:bCs/>
          <w:i/>
          <w:lang w:val="en-US"/>
        </w:rPr>
        <w:t>GSTP1</w:t>
      </w:r>
      <w:r w:rsidRPr="00AE5020">
        <w:rPr>
          <w:lang w:val="en-US"/>
        </w:rPr>
        <w:t xml:space="preserve"> (</w:t>
      </w:r>
      <w:r w:rsidRPr="00AE5020">
        <w:rPr>
          <w:i/>
          <w:iCs/>
          <w:lang w:val="en-US"/>
        </w:rPr>
        <w:t>p</w:t>
      </w:r>
      <w:r w:rsidRPr="00AE5020">
        <w:rPr>
          <w:lang w:val="en-US"/>
        </w:rPr>
        <w:t xml:space="preserve"> = 0.0013), and </w:t>
      </w:r>
      <w:r w:rsidRPr="00AE5020">
        <w:rPr>
          <w:bCs/>
          <w:i/>
          <w:lang w:val="en-US"/>
        </w:rPr>
        <w:t>CYP1A1</w:t>
      </w:r>
      <w:r w:rsidRPr="00AE5020">
        <w:rPr>
          <w:lang w:val="en-US"/>
        </w:rPr>
        <w:t xml:space="preserve"> (</w:t>
      </w:r>
      <w:r w:rsidRPr="00AE5020">
        <w:rPr>
          <w:i/>
          <w:iCs/>
          <w:lang w:val="en-US"/>
        </w:rPr>
        <w:t>p</w:t>
      </w:r>
      <w:r w:rsidRPr="00AE5020">
        <w:rPr>
          <w:lang w:val="en-US"/>
        </w:rPr>
        <w:t xml:space="preserve"> = 0.0053), among others. In each case, the seven populations showed different genotype frequency profiles, underscoring substantial genetic structure even within Peru. For example, </w:t>
      </w:r>
      <w:r w:rsidRPr="00AE5020">
        <w:rPr>
          <w:bCs/>
          <w:i/>
          <w:lang w:val="en-US"/>
        </w:rPr>
        <w:t>NAT2</w:t>
      </w:r>
      <w:r w:rsidRPr="00AE5020">
        <w:rPr>
          <w:lang w:val="en-US"/>
        </w:rPr>
        <w:t xml:space="preserve"> haplotype combinations differed across groups (with varying proportions of *4, *5, *6, *</w:t>
      </w:r>
      <w:r w:rsidRPr="00AE5020">
        <w:rPr>
          <w:iCs/>
          <w:lang w:val="en-US"/>
        </w:rPr>
        <w:t>7 alleles in each population</w:t>
      </w:r>
      <w:r w:rsidRPr="00AE5020">
        <w:rPr>
          <w:i/>
          <w:iCs/>
          <w:lang w:val="en-US"/>
        </w:rPr>
        <w:t xml:space="preserve">), </w:t>
      </w:r>
      <w:r w:rsidRPr="00AE5020">
        <w:rPr>
          <w:iCs/>
          <w:lang w:val="en-US"/>
        </w:rPr>
        <w:t>and</w:t>
      </w:r>
      <w:r w:rsidRPr="00AE5020">
        <w:rPr>
          <w:i/>
          <w:iCs/>
          <w:lang w:val="en-US"/>
        </w:rPr>
        <w:t xml:space="preserve"> </w:t>
      </w:r>
      <w:r w:rsidRPr="00AE5020">
        <w:rPr>
          <w:bCs/>
          <w:i/>
          <w:iCs/>
          <w:lang w:val="en-US"/>
        </w:rPr>
        <w:t>UGT1A1</w:t>
      </w:r>
      <w:r w:rsidRPr="00AE5020">
        <w:rPr>
          <w:lang w:val="en-US"/>
        </w:rPr>
        <w:t xml:space="preserve"> variant frequency was elevated in some coastal samples relative to the highland groups. </w:t>
      </w:r>
    </w:p>
    <w:p w14:paraId="371C7C42" w14:textId="77777777" w:rsidR="001312EF" w:rsidRPr="00AE5020" w:rsidRDefault="001312EF" w:rsidP="000F7F55">
      <w:pPr>
        <w:jc w:val="both"/>
        <w:rPr>
          <w:bCs/>
          <w:lang w:val="en-US"/>
        </w:rPr>
      </w:pPr>
    </w:p>
    <w:p w14:paraId="0A4426BD" w14:textId="3977ECC5" w:rsidR="000F7F55" w:rsidRPr="00AE5020" w:rsidRDefault="001312EF" w:rsidP="001312EF">
      <w:pPr>
        <w:jc w:val="both"/>
        <w:rPr>
          <w:lang w:val="en-US"/>
        </w:rPr>
      </w:pPr>
      <w:r w:rsidRPr="00AE5020">
        <w:rPr>
          <w:lang w:val="en-US"/>
        </w:rPr>
        <w:t xml:space="preserve">The </w:t>
      </w:r>
      <w:r w:rsidRPr="00AE5020">
        <w:rPr>
          <w:bCs/>
          <w:i/>
          <w:lang w:val="en-US"/>
        </w:rPr>
        <w:t>CYP2B6</w:t>
      </w:r>
      <w:r w:rsidRPr="00AE5020">
        <w:rPr>
          <w:lang w:val="en-US"/>
        </w:rPr>
        <w:t xml:space="preserve"> gene was the most frequently implicated in pharmacogenomic associations (</w:t>
      </w:r>
      <w:r w:rsidRPr="00AE5020">
        <w:rPr>
          <w:bCs/>
          <w:lang w:val="en-US"/>
        </w:rPr>
        <w:t>n = 38</w:t>
      </w:r>
      <w:r w:rsidRPr="00AE5020">
        <w:rPr>
          <w:lang w:val="en-US"/>
        </w:rPr>
        <w:t xml:space="preserve">), with </w:t>
      </w:r>
      <w:r w:rsidRPr="00AE5020">
        <w:rPr>
          <w:bCs/>
          <w:lang w:val="en-US"/>
        </w:rPr>
        <w:t>Efavirenz</w:t>
      </w:r>
      <w:r w:rsidRPr="00AE5020">
        <w:rPr>
          <w:lang w:val="en-US"/>
        </w:rPr>
        <w:t xml:space="preserve"> being the most frequently matched drug (</w:t>
      </w:r>
      <w:r w:rsidRPr="00AE5020">
        <w:rPr>
          <w:bCs/>
          <w:lang w:val="en-US"/>
        </w:rPr>
        <w:t>n = 38</w:t>
      </w:r>
      <w:r w:rsidRPr="00AE5020">
        <w:rPr>
          <w:lang w:val="en-US"/>
        </w:rPr>
        <w:t xml:space="preserve">). </w:t>
      </w:r>
      <w:proofErr w:type="gramStart"/>
      <w:r w:rsidRPr="00AE5020">
        <w:rPr>
          <w:lang w:val="en-US"/>
        </w:rPr>
        <w:t>The majority of</w:t>
      </w:r>
      <w:proofErr w:type="gramEnd"/>
      <w:r w:rsidRPr="00AE5020">
        <w:rPr>
          <w:lang w:val="en-US"/>
        </w:rPr>
        <w:t xml:space="preserve"> identified cases (</w:t>
      </w:r>
      <w:r w:rsidRPr="00AE5020">
        <w:rPr>
          <w:bCs/>
          <w:lang w:val="en-US"/>
        </w:rPr>
        <w:t>56 out of 73, 76.7%</w:t>
      </w:r>
      <w:r w:rsidRPr="00AE5020">
        <w:rPr>
          <w:lang w:val="en-US"/>
        </w:rPr>
        <w:t xml:space="preserve">) involved individuals classified as </w:t>
      </w:r>
      <w:r w:rsidRPr="00AE5020">
        <w:rPr>
          <w:bCs/>
          <w:lang w:val="en-US"/>
        </w:rPr>
        <w:t>poor metabolizers</w:t>
      </w:r>
      <w:r w:rsidRPr="00AE5020">
        <w:rPr>
          <w:lang w:val="en-US"/>
        </w:rPr>
        <w:t xml:space="preserve">, highlighting a population at increased risk for altered drug metabolism and potential toxicity. Substantial variability in pharmacogenomic associations was observed across populations. </w:t>
      </w:r>
      <w:r w:rsidRPr="00AE5020">
        <w:rPr>
          <w:bCs/>
          <w:lang w:val="en-US"/>
        </w:rPr>
        <w:t>Trujillo</w:t>
      </w:r>
      <w:r w:rsidRPr="00AE5020">
        <w:rPr>
          <w:lang w:val="en-US"/>
        </w:rPr>
        <w:t xml:space="preserve"> had the highest number of matches (</w:t>
      </w:r>
      <w:r w:rsidRPr="00AE5020">
        <w:rPr>
          <w:bCs/>
          <w:lang w:val="en-US"/>
        </w:rPr>
        <w:t>n = 23</w:t>
      </w:r>
      <w:r w:rsidRPr="00AE5020">
        <w:rPr>
          <w:lang w:val="en-US"/>
        </w:rPr>
        <w:t xml:space="preserve">), with a predominant representation of </w:t>
      </w:r>
      <w:r w:rsidRPr="00AE5020">
        <w:rPr>
          <w:bCs/>
          <w:i/>
          <w:lang w:val="en-US"/>
        </w:rPr>
        <w:t>CYP2C19</w:t>
      </w:r>
      <w:r w:rsidRPr="00AE5020">
        <w:rPr>
          <w:bCs/>
          <w:lang w:val="en-US"/>
        </w:rPr>
        <w:t xml:space="preserve"> poor metabolizers</w:t>
      </w:r>
      <w:r w:rsidRPr="00AE5020">
        <w:rPr>
          <w:lang w:val="en-US"/>
        </w:rPr>
        <w:t xml:space="preserve"> linked to drugs such as </w:t>
      </w:r>
      <w:r w:rsidRPr="00AE5020">
        <w:rPr>
          <w:bCs/>
          <w:lang w:val="en-US"/>
        </w:rPr>
        <w:t>Clopidogrel</w:t>
      </w:r>
      <w:r w:rsidRPr="00AE5020">
        <w:rPr>
          <w:lang w:val="en-US"/>
        </w:rPr>
        <w:t xml:space="preserve">, </w:t>
      </w:r>
      <w:r w:rsidRPr="00AE5020">
        <w:rPr>
          <w:bCs/>
          <w:lang w:val="en-US"/>
        </w:rPr>
        <w:t>Citalopram</w:t>
      </w:r>
      <w:r w:rsidRPr="00AE5020">
        <w:rPr>
          <w:lang w:val="en-US"/>
        </w:rPr>
        <w:t xml:space="preserve">, and </w:t>
      </w:r>
      <w:r w:rsidRPr="00AE5020">
        <w:rPr>
          <w:bCs/>
          <w:lang w:val="en-US"/>
        </w:rPr>
        <w:t>Pantoprazole</w:t>
      </w:r>
      <w:r w:rsidRPr="00AE5020">
        <w:rPr>
          <w:lang w:val="en-US"/>
        </w:rPr>
        <w:t xml:space="preserve">—all of which have FDA recommendations suggesting dose adjustments or </w:t>
      </w:r>
      <w:proofErr w:type="spellStart"/>
      <w:r w:rsidRPr="00AE5020">
        <w:rPr>
          <w:lang w:val="en-US"/>
        </w:rPr>
        <w:t>alter</w:t>
      </w:r>
      <w:r w:rsidR="0091087F">
        <w:rPr>
          <w:lang w:val="en-US"/>
        </w:rPr>
        <w:t>indigenous</w:t>
      </w:r>
      <w:proofErr w:type="spellEnd"/>
      <w:r w:rsidRPr="00AE5020">
        <w:rPr>
          <w:lang w:val="en-US"/>
        </w:rPr>
        <w:t xml:space="preserve"> therapy to mitigate adverse drug reactions. Similarly, individuals from the </w:t>
      </w:r>
      <w:proofErr w:type="spellStart"/>
      <w:r w:rsidRPr="00AE5020">
        <w:rPr>
          <w:bCs/>
          <w:lang w:val="en-US"/>
        </w:rPr>
        <w:t>Moches</w:t>
      </w:r>
      <w:proofErr w:type="spellEnd"/>
      <w:r w:rsidRPr="00AE5020">
        <w:rPr>
          <w:lang w:val="en-US"/>
        </w:rPr>
        <w:t xml:space="preserve"> and </w:t>
      </w:r>
      <w:r w:rsidRPr="00AE5020">
        <w:rPr>
          <w:bCs/>
          <w:lang w:val="en-US"/>
        </w:rPr>
        <w:t>Uros</w:t>
      </w:r>
      <w:r w:rsidRPr="00AE5020">
        <w:rPr>
          <w:lang w:val="en-US"/>
        </w:rPr>
        <w:t xml:space="preserve"> populations were commonly identified as </w:t>
      </w:r>
      <w:r w:rsidRPr="00AE5020">
        <w:rPr>
          <w:bCs/>
          <w:i/>
          <w:lang w:val="en-US"/>
        </w:rPr>
        <w:t>CYP2B6</w:t>
      </w:r>
      <w:r w:rsidRPr="00AE5020">
        <w:rPr>
          <w:bCs/>
          <w:lang w:val="en-US"/>
        </w:rPr>
        <w:t xml:space="preserve"> poor metabolizers</w:t>
      </w:r>
      <w:r w:rsidRPr="00AE5020">
        <w:rPr>
          <w:lang w:val="en-US"/>
        </w:rPr>
        <w:t xml:space="preserve">, primarily associated with </w:t>
      </w:r>
      <w:r w:rsidRPr="00AE5020">
        <w:rPr>
          <w:bCs/>
          <w:lang w:val="en-US"/>
        </w:rPr>
        <w:t>Efavirenz</w:t>
      </w:r>
      <w:r w:rsidRPr="00AE5020">
        <w:rPr>
          <w:lang w:val="en-US"/>
        </w:rPr>
        <w:t xml:space="preserve">, for which FDA guidelines highlight increased systemic drug concentrations and the associated risk of toxicity. The </w:t>
      </w:r>
      <w:r w:rsidRPr="00AE5020">
        <w:rPr>
          <w:bCs/>
          <w:lang w:val="en-US"/>
        </w:rPr>
        <w:t>frequent occurrence of poor metabolizer phenotypes</w:t>
      </w:r>
      <w:r w:rsidRPr="00AE5020">
        <w:rPr>
          <w:lang w:val="en-US"/>
        </w:rPr>
        <w:t xml:space="preserve"> within our dataset suggests an increased risk for drug toxicity or suboptimal therapeutic outcomes if standard dosing guidelines are applied without genetic consideration.</w:t>
      </w:r>
    </w:p>
    <w:p w14:paraId="7A027E12" w14:textId="150BC162" w:rsidR="006E3BC3" w:rsidRPr="00AE5020" w:rsidRDefault="00D52863" w:rsidP="007D7472">
      <w:pPr>
        <w:jc w:val="both"/>
        <w:rPr>
          <w:lang w:val="en-US"/>
        </w:rPr>
      </w:pPr>
      <w:r w:rsidRPr="00AE5020">
        <w:rPr>
          <w:lang w:val="en-US"/>
        </w:rPr>
        <w:lastRenderedPageBreak/>
        <w:t xml:space="preserve">The </w:t>
      </w:r>
      <w:r w:rsidRPr="00AE5020">
        <w:rPr>
          <w:bCs/>
          <w:i/>
          <w:lang w:val="en-US"/>
        </w:rPr>
        <w:t>CYP2D6</w:t>
      </w:r>
      <w:r w:rsidRPr="00AE5020">
        <w:rPr>
          <w:bCs/>
          <w:lang w:val="en-US"/>
        </w:rPr>
        <w:t xml:space="preserve"> gene</w:t>
      </w:r>
      <w:r w:rsidRPr="00AE5020">
        <w:rPr>
          <w:lang w:val="en-US"/>
        </w:rPr>
        <w:t xml:space="preserve"> – notorious for its high level of polymorphism – displayed multiple allelic variants in our cohort corresponding to indeterminate metabolizer, intermediate metabolizer and normal metabolizer. We identified known null alleles like </w:t>
      </w:r>
      <w:r w:rsidRPr="00AE5020">
        <w:rPr>
          <w:i/>
          <w:iCs/>
          <w:lang w:val="en-US"/>
        </w:rPr>
        <w:t>CYP2D6</w:t>
      </w:r>
      <w:r w:rsidRPr="00AE5020">
        <w:rPr>
          <w:lang w:val="en-US"/>
        </w:rPr>
        <w:t xml:space="preserve"> *4 (the most common poor metabolizer allele in Europeans) in some individuals, as well as reduced-function alleles like </w:t>
      </w:r>
      <w:r w:rsidRPr="00AE5020">
        <w:rPr>
          <w:i/>
          <w:iCs/>
          <w:lang w:val="en-US"/>
        </w:rPr>
        <w:t>CYP2D6</w:t>
      </w:r>
      <w:r w:rsidRPr="00AE5020">
        <w:rPr>
          <w:lang w:val="en-US"/>
        </w:rPr>
        <w:t xml:space="preserve"> *10 (common in East Asians) and *17 (common in Africans). The </w:t>
      </w:r>
      <w:bookmarkStart w:id="25" w:name="OLE_LINK49"/>
      <w:bookmarkStart w:id="26" w:name="OLE_LINK50"/>
      <w:r w:rsidRPr="00AE5020">
        <w:rPr>
          <w:lang w:val="en-US"/>
        </w:rPr>
        <w:t xml:space="preserve">frequency of </w:t>
      </w:r>
      <w:r w:rsidRPr="00AE5020">
        <w:rPr>
          <w:bCs/>
          <w:i/>
          <w:lang w:val="en-US"/>
        </w:rPr>
        <w:t>CYP2D6</w:t>
      </w:r>
      <w:r w:rsidRPr="00AE5020">
        <w:rPr>
          <w:bCs/>
          <w:lang w:val="en-US"/>
        </w:rPr>
        <w:t xml:space="preserve"> poor metabolizer</w:t>
      </w:r>
      <w:bookmarkEnd w:id="25"/>
      <w:bookmarkEnd w:id="26"/>
      <w:r w:rsidRPr="00AE5020">
        <w:rPr>
          <w:bCs/>
          <w:lang w:val="en-US"/>
        </w:rPr>
        <w:t xml:space="preserve"> phenotype</w:t>
      </w:r>
      <w:r w:rsidRPr="00AE5020">
        <w:rPr>
          <w:lang w:val="en-US"/>
        </w:rPr>
        <w:t xml:space="preserve"> in our sample (those carrying two null or severely reduced alleles) was on the order of ~5%, which is within the range observed in many populations </w:t>
      </w:r>
      <w:r w:rsidRPr="00AE5020">
        <w:rPr>
          <w:lang w:val="en-US"/>
        </w:rPr>
        <w:fldChar w:fldCharType="begin"/>
      </w:r>
      <w:r w:rsidR="00C01C95">
        <w:rPr>
          <w:lang w:val="en-US"/>
        </w:rPr>
        <w:instrText xml:space="preserve"> ADDIN ZOTERO_ITEM CSL_CITATION {"citationID":"mH9CoYiH","properties":{"formattedCitation":"\\super 36\\nosupersub{}","plainCitation":"36","noteIndex":0},"citationItems":[{"id":576,"uris":["http://zotero.org/users/16405780/items/K8JWAJDF"],"itemData":{"id":576,"type":"article-journal","abstract":"Purpose\nOwing to its highly polymorphic nature and major contribution to the metabolism and bioactivation of numerous clinically used drugs, CYP2D6 is one of the most extensively studied drug-metabolizing enzymes and pharmacogenes. CYP2D6 alleles confer no, decreased, normal, or increased activity and cause a wide range of activity among individuals and between populations. However, there is no standard approach to translate diplotypes into predicted phenotype.\nMethods\nWe exploited CYP2D6 allele-frequency data that have been compiled for Clinical Pharmacogenetics Implementation Consortium (CPIC) guidelines (&gt;60,000 subjects, 173 reports) in order to estimate genotype-predicted phenotype status across major world populations based on activity score (AS) assignments.\nResults\nAllele frequencies vary considerably across the major ethnic groups predicting poor metabolizer status (AS = 0) between 0.4 and 5.4% across world populations. The prevalence of genotypic intermediate (AS = 0.5) and normal (AS = 1, 1.5, or 2) metabolizers ranges between 0.4 and 11% and between 67 and 90%, respectively. Finally, 1 to 21% of subjects (AS &gt;2) are predicted to have ultrarapid metabolizer status.\nConclusions\nThis comprehensive study summarizes allele frequencies, diplotypes, and predicted phenotype across major populations, providing a rich data resource for clinicians and researchers. Challenges of phenotype prediction from genotype data are highlighted and discussed.","container-title":"Genetics in Medicine","DOI":"10.1038/gim.2016.80","ISSN":"1098-3600","issue":"1","journalAbbreviation":"Genetics in Medicine","page":"69-76","source":"ScienceDirect","title":"Prediction of CYP2D6 phenotype from genotype across world populations","volume":"19","author":[{"family":"Gaedigk","given":"Andrea"},{"family":"Sangkuhl","given":"Katrin"},{"family":"Whirl-Carrillo","given":"Michelle"},{"family":"Klein","given":"Teri"},{"family":"Leeder","given":"J. Steven"}],"issued":{"date-parts":[["2017",1,1]]}}}],"schema":"https://github.com/citation-style-language/schema/raw/master/csl-citation.json"} </w:instrText>
      </w:r>
      <w:r w:rsidRPr="00AE5020">
        <w:rPr>
          <w:lang w:val="en-US"/>
        </w:rPr>
        <w:fldChar w:fldCharType="separate"/>
      </w:r>
      <w:r w:rsidR="00C01C95" w:rsidRPr="00C01C95">
        <w:rPr>
          <w:rFonts w:ascii="Calibri" w:cs="Calibri"/>
          <w:vertAlign w:val="superscript"/>
        </w:rPr>
        <w:t>36</w:t>
      </w:r>
      <w:r w:rsidRPr="00AE5020">
        <w:rPr>
          <w:lang w:val="en-US"/>
        </w:rPr>
        <w:fldChar w:fldCharType="end"/>
      </w:r>
      <w:r w:rsidRPr="00AE5020">
        <w:rPr>
          <w:lang w:val="en-US"/>
        </w:rPr>
        <w:t xml:space="preserve">. Based on these genotype counts, the </w:t>
      </w:r>
      <w:proofErr w:type="spellStart"/>
      <w:r w:rsidRPr="00AE5020">
        <w:rPr>
          <w:bCs/>
          <w:lang w:val="en-US"/>
        </w:rPr>
        <w:t>Chopccas</w:t>
      </w:r>
      <w:proofErr w:type="spellEnd"/>
      <w:r w:rsidRPr="00AE5020">
        <w:rPr>
          <w:lang w:val="en-US"/>
        </w:rPr>
        <w:t xml:space="preserve"> have a notably higher combined frequency of the </w:t>
      </w:r>
      <w:r w:rsidRPr="00AE5020">
        <w:rPr>
          <w:iCs/>
          <w:lang w:val="en-US"/>
        </w:rPr>
        <w:t>CYP2D6 *</w:t>
      </w:r>
      <w:r w:rsidRPr="00AE5020">
        <w:rPr>
          <w:lang w:val="en-US"/>
        </w:rPr>
        <w:t xml:space="preserve">4 allele—which is a well‐known non‐functional (loss‐of‐function) variant—than would typically be expected in broader reference populations. In the partial table shown, 4 out of the 30 </w:t>
      </w:r>
      <w:proofErr w:type="spellStart"/>
      <w:r w:rsidRPr="00AE5020">
        <w:rPr>
          <w:lang w:val="en-US"/>
        </w:rPr>
        <w:t>Chopccas</w:t>
      </w:r>
      <w:proofErr w:type="spellEnd"/>
      <w:r w:rsidRPr="00AE5020">
        <w:rPr>
          <w:lang w:val="en-US"/>
        </w:rPr>
        <w:t xml:space="preserve"> individuals carry *4 (as *1/*4 or *2/*4), amounting to a *4‐allele frequency of approximately 13%. While Cusco individuals also harbor *4, the overall *4‐allele frequency in </w:t>
      </w:r>
      <w:proofErr w:type="spellStart"/>
      <w:r w:rsidRPr="00AE5020">
        <w:rPr>
          <w:lang w:val="en-US"/>
        </w:rPr>
        <w:t>Chopccas</w:t>
      </w:r>
      <w:proofErr w:type="spellEnd"/>
      <w:r w:rsidRPr="00AE5020">
        <w:rPr>
          <w:lang w:val="en-US"/>
        </w:rPr>
        <w:t xml:space="preserve"> is slightly higher, consistent with a localized founder effect in this </w:t>
      </w:r>
      <w:proofErr w:type="gramStart"/>
      <w:r w:rsidRPr="00AE5020">
        <w:rPr>
          <w:lang w:val="en-US"/>
        </w:rPr>
        <w:t>particular highland</w:t>
      </w:r>
      <w:proofErr w:type="gramEnd"/>
      <w:r w:rsidRPr="00AE5020">
        <w:rPr>
          <w:lang w:val="en-US"/>
        </w:rPr>
        <w:t xml:space="preserve"> group. This heterogeneity in </w:t>
      </w:r>
      <w:r w:rsidRPr="00AE5020">
        <w:rPr>
          <w:i/>
          <w:iCs/>
          <w:lang w:val="en-US"/>
        </w:rPr>
        <w:t>CYP2D6</w:t>
      </w:r>
      <w:r w:rsidRPr="00AE5020">
        <w:rPr>
          <w:lang w:val="en-US"/>
        </w:rPr>
        <w:t xml:space="preserve"> aligns with global observations that it’s a highly variable gene; our data contribute information from a population (</w:t>
      </w:r>
      <w:r w:rsidR="0091087F">
        <w:rPr>
          <w:lang w:val="en-US"/>
        </w:rPr>
        <w:t>Indigenous</w:t>
      </w:r>
      <w:r w:rsidRPr="00AE5020">
        <w:rPr>
          <w:lang w:val="en-US"/>
        </w:rPr>
        <w:t xml:space="preserve">/admixed Americans from Peru) that is usually not represented in such surveys​ </w:t>
      </w:r>
      <w:r w:rsidRPr="00AE5020">
        <w:rPr>
          <w:lang w:val="en-US"/>
        </w:rPr>
        <w:fldChar w:fldCharType="begin"/>
      </w:r>
      <w:r w:rsidR="00C01C95">
        <w:rPr>
          <w:lang w:val="en-US"/>
        </w:rPr>
        <w:instrText xml:space="preserve"> ADDIN ZOTERO_ITEM CSL_CITATION {"citationID":"zBwOSrWQ","properties":{"formattedCitation":"\\super 37\\nosupersub{}","plainCitation":"37","noteIndex":0},"citationItems":[{"id":503,"uris":["http://zotero.org/users/16405780/items/75LT3RPG"],"itemData":{"id":503,"type":"article-journal","abstract":"&lt;p&gt;The identification and characterization of pharmacogenetic variants in Latin American populations is still an ongoing endeavor. Here, we investigated SNVs on genes listed by the Pharmacogenomics Knowledge Base in 1284 Mestizos and 94 Natives from Mexico. Five institutional cohorts with NGS data were retrieved from different research projects at INMEGEN, sequencing files were filtered for 55 pharmacogenes present in all cohorts to identify novel and known variation. Bioinformatic tools VEP, PROVEAN, and FATHMM were used to assess, &lt;italic&gt;in silico&lt;/italic&gt;, the functional impact of this variation. Next, we focused on 17 genes with actionable variants that have been clinically implemented. Allele frequencies were compared with major continental groups and differences discussed in the scope of a pharmacogenomic impact. We observed a wide genetic variability for known and novel SNVs, the largest variation was on &lt;italic&gt;UGT1A &amp;gt; ACE &amp;gt; COMT &amp;gt; ABCB1&lt;/italic&gt; and the lowest on &lt;italic&gt;APOE&lt;/italic&gt; and &lt;italic&gt;NAT2&lt;/italic&gt;. Although with allele frequencies around 1%, novel variation was observed in 16 of 17 PGKB genes. In Natives we identified 59 variants and 58 in Mestizos. Several genes did not show novel variation, on &lt;italic&gt;CYP2B6&lt;/italic&gt;, &lt;italic&gt;CYP2D6&lt;/italic&gt;, and &lt;italic&gt;CYP3A4&lt;/italic&gt; in Natives; and &lt;italic&gt;APOE&lt;/italic&gt;, &lt;italic&gt;UGT1A&lt;/italic&gt;, and &lt;italic&gt;VKORC1&lt;/italic&gt; in Mestizos. Similarities in allele frequency, comparing major continental groups for VIP pharmacogenes, hint towards a comparable PGx for drugs metabolized by &lt;italic&gt;UGT1A1&lt;/italic&gt;, &lt;italic&gt;DPYD&lt;/italic&gt;, &lt;italic&gt;ABCB1&lt;/italic&gt;, &lt;italic&gt;CBR3&lt;/italic&gt;, &lt;italic&gt;COMT&lt;/italic&gt;, and &lt;italic&gt;TPMT&lt;/italic&gt;; in contrast to variants on &lt;italic&gt;CYP3A5&lt;/italic&gt; and &lt;italic&gt;CYP2B6&lt;/italic&gt; for which significant MAF differences were identified. Our observations offer some discernment into the extent of pharmacogenetic variation registered up-to-date in Mexicans and contribute to quantitatively dissect actionable pharmacogenetic variants in Natives and Mestizos.&lt;/p&gt;","container-title":"Frontiers in Pharmacology","DOI":"10.3389/fphar.2019.01169","ISSN":"1663-9812","journalAbbreviation":"Front. Pharmacol.","language":"English","note":"publisher: Frontiers","source":"Frontiers","title":"Variation in Actionable Pharmacogenetic Markers in Natives and Mestizos From Mexico","URL":"https://www.frontiersin.org/journals/pharmacology/articles/10.3389/fphar.2019.01169/full","volume":"10","author":[{"family":"Gonzalez-Covarrubias","given":"Vanessa"},{"family":"Morales-Franco","given":"Marlet"},{"family":"Cruz-Correa","given":"Omar F."},{"family":"Martínez-Hernández","given":"Angélica"},{"family":"García-Ortíz","given":"Humberto"},{"family":"Barajas-Olmos","given":"Francisco"},{"family":"Genis-Mendoza","given":"Alma Delia"},{"family":"Martínez-Magaña","given":"José Jaime"},{"family":"Nicolini","given":"Humberto"},{"family":"Orozco","given":"Lorena"},{"family":"Soberón","given":"Xavier"}],"accessed":{"date-parts":[["2025",3,10]]},"issued":{"date-parts":[["2019",10,10]]}}}],"schema":"https://github.com/citation-style-language/schema/raw/master/csl-citation.json"} </w:instrText>
      </w:r>
      <w:r w:rsidRPr="00AE5020">
        <w:rPr>
          <w:lang w:val="en-US"/>
        </w:rPr>
        <w:fldChar w:fldCharType="separate"/>
      </w:r>
      <w:r w:rsidR="00C01C95" w:rsidRPr="00C01C95">
        <w:rPr>
          <w:rFonts w:ascii="Calibri" w:cs="Calibri"/>
          <w:vertAlign w:val="superscript"/>
        </w:rPr>
        <w:t>37</w:t>
      </w:r>
      <w:r w:rsidRPr="00AE5020">
        <w:rPr>
          <w:lang w:val="en-US"/>
        </w:rPr>
        <w:fldChar w:fldCharType="end"/>
      </w:r>
      <w:r w:rsidRPr="00AE5020">
        <w:rPr>
          <w:lang w:val="en-US"/>
        </w:rPr>
        <w:t>.</w:t>
      </w:r>
    </w:p>
    <w:p w14:paraId="220C4DA4" w14:textId="77777777" w:rsidR="0020106F" w:rsidRPr="00AE5020" w:rsidRDefault="0020106F" w:rsidP="007D7472">
      <w:pPr>
        <w:pStyle w:val="Heading1"/>
        <w:rPr>
          <w:lang w:val="en-US"/>
        </w:rPr>
      </w:pPr>
      <w:r w:rsidRPr="00AE5020">
        <w:rPr>
          <w:lang w:val="en-US"/>
        </w:rPr>
        <w:t>Genotype Frequency Differences in Peruvian Pharmacogenes vs. Global Populations</w:t>
      </w:r>
    </w:p>
    <w:p w14:paraId="4D0B4B71" w14:textId="74334127" w:rsidR="0020106F" w:rsidRPr="00AE5020" w:rsidRDefault="0020106F" w:rsidP="0020106F">
      <w:pPr>
        <w:jc w:val="both"/>
        <w:rPr>
          <w:lang w:val="en-US"/>
        </w:rPr>
      </w:pPr>
      <w:r w:rsidRPr="00AE5020">
        <w:rPr>
          <w:lang w:val="en-US"/>
        </w:rPr>
        <w:t xml:space="preserve">When comparing allele frequencies in the Peruvian populations to global reference populations, we focused on pharmacogenes with notable inter-population differences – </w:t>
      </w:r>
      <w:r w:rsidRPr="00AE5020">
        <w:rPr>
          <w:i/>
          <w:lang w:val="en-US"/>
        </w:rPr>
        <w:t>CYP2W1</w:t>
      </w:r>
      <w:r w:rsidRPr="00AE5020">
        <w:rPr>
          <w:lang w:val="en-US"/>
        </w:rPr>
        <w:t xml:space="preserve">, </w:t>
      </w:r>
      <w:r w:rsidRPr="00AE5020">
        <w:rPr>
          <w:i/>
          <w:lang w:val="en-US"/>
        </w:rPr>
        <w:t>GSTM1</w:t>
      </w:r>
      <w:r w:rsidRPr="00AE5020">
        <w:rPr>
          <w:lang w:val="en-US"/>
        </w:rPr>
        <w:t xml:space="preserve">, </w:t>
      </w:r>
      <w:r w:rsidRPr="00AE5020">
        <w:rPr>
          <w:i/>
          <w:lang w:val="en-US"/>
        </w:rPr>
        <w:t>CYP2C19</w:t>
      </w:r>
      <w:r w:rsidRPr="00AE5020">
        <w:rPr>
          <w:lang w:val="en-US"/>
        </w:rPr>
        <w:t xml:space="preserve">, </w:t>
      </w:r>
      <w:r w:rsidRPr="00AE5020">
        <w:rPr>
          <w:i/>
          <w:lang w:val="en-US"/>
        </w:rPr>
        <w:t>NAT2</w:t>
      </w:r>
      <w:r w:rsidRPr="00AE5020">
        <w:rPr>
          <w:lang w:val="en-US"/>
        </w:rPr>
        <w:t xml:space="preserve">. We highlight unique allele frequency patterns and consider implications for pharmacogenomics and population history. For a complete breakdown of genotype frequencies of genotype frequencies see </w:t>
      </w:r>
      <w:r w:rsidR="00737667" w:rsidRPr="00737667">
        <w:rPr>
          <w:b/>
          <w:bCs/>
          <w:lang w:val="en-US"/>
        </w:rPr>
        <w:t>Excel</w:t>
      </w:r>
      <w:r w:rsidR="00737667">
        <w:rPr>
          <w:lang w:val="en-US"/>
        </w:rPr>
        <w:t xml:space="preserve"> </w:t>
      </w:r>
      <w:r w:rsidRPr="00AE5020">
        <w:rPr>
          <w:b/>
          <w:lang w:val="en-US"/>
        </w:rPr>
        <w:t>Supplementary Table 2</w:t>
      </w:r>
      <w:r w:rsidRPr="00AE5020">
        <w:rPr>
          <w:lang w:val="en-US"/>
        </w:rPr>
        <w:t>.</w:t>
      </w:r>
    </w:p>
    <w:p w14:paraId="455A171A" w14:textId="77777777" w:rsidR="0020106F" w:rsidRPr="00AE5020" w:rsidRDefault="0020106F" w:rsidP="0020106F">
      <w:pPr>
        <w:jc w:val="both"/>
        <w:rPr>
          <w:lang w:val="en-US"/>
        </w:rPr>
      </w:pPr>
    </w:p>
    <w:p w14:paraId="2C350D40" w14:textId="3A233066" w:rsidR="0020106F" w:rsidRPr="00AE5020" w:rsidRDefault="0020106F" w:rsidP="0020106F">
      <w:pPr>
        <w:jc w:val="both"/>
        <w:rPr>
          <w:lang w:val="en-US"/>
        </w:rPr>
      </w:pPr>
      <w:r w:rsidRPr="00AE5020">
        <w:rPr>
          <w:i/>
          <w:iCs/>
          <w:lang w:val="en-US"/>
        </w:rPr>
        <w:t>CYP2W1</w:t>
      </w:r>
      <w:r w:rsidRPr="00AE5020">
        <w:rPr>
          <w:lang w:val="en-US"/>
        </w:rPr>
        <w:t xml:space="preserve"> showed marked heterogeneity among the Peruvian groups. For example, one Amazonian group had an elevated frequency of the </w:t>
      </w:r>
      <w:r w:rsidRPr="00AE5020">
        <w:rPr>
          <w:i/>
          <w:iCs/>
          <w:lang w:val="en-US"/>
        </w:rPr>
        <w:t>CYP2W1</w:t>
      </w:r>
      <w:r w:rsidRPr="00AE5020">
        <w:rPr>
          <w:rFonts w:ascii="Cambria Math" w:hAnsi="Cambria Math" w:cs="Cambria Math"/>
          <w:lang w:val="en-US"/>
        </w:rPr>
        <w:t>∗</w:t>
      </w:r>
      <w:r w:rsidRPr="00AE5020">
        <w:rPr>
          <w:lang w:val="en-US"/>
        </w:rPr>
        <w:t xml:space="preserve">6 allele (Pro488Leu variant) whereas highland groups had more of the </w:t>
      </w:r>
      <w:r w:rsidRPr="00AE5020">
        <w:rPr>
          <w:i/>
          <w:iCs/>
          <w:lang w:val="en-US"/>
        </w:rPr>
        <w:t>CYP2W1</w:t>
      </w:r>
      <w:r w:rsidRPr="00AE5020">
        <w:rPr>
          <w:rFonts w:ascii="Cambria Math" w:hAnsi="Cambria Math" w:cs="Cambria Math"/>
          <w:lang w:val="en-US"/>
        </w:rPr>
        <w:t>∗</w:t>
      </w:r>
      <w:r w:rsidRPr="00AE5020">
        <w:rPr>
          <w:lang w:val="en-US"/>
        </w:rPr>
        <w:t xml:space="preserve">2 allele (Ala181Thr). These differences suggest diverse ancestral contributions or genetic drift in Peru. Notably, the </w:t>
      </w:r>
      <w:r w:rsidRPr="00AE5020">
        <w:rPr>
          <w:i/>
          <w:iCs/>
          <w:lang w:val="en-US"/>
        </w:rPr>
        <w:t>CYP2W1</w:t>
      </w:r>
      <w:r w:rsidRPr="00AE5020">
        <w:rPr>
          <w:rFonts w:ascii="Cambria Math" w:hAnsi="Cambria Math" w:cs="Cambria Math"/>
          <w:lang w:val="en-US"/>
        </w:rPr>
        <w:t>*</w:t>
      </w:r>
      <w:r w:rsidRPr="00AE5020">
        <w:rPr>
          <w:lang w:val="en-US"/>
        </w:rPr>
        <w:t xml:space="preserve">6 allele is much more common in East Asians (allele frequency ~36–37% in Japanese) but rare in Europeans (~6%)​ </w:t>
      </w:r>
      <w:r w:rsidRPr="00AE5020">
        <w:rPr>
          <w:lang w:val="en-US"/>
        </w:rPr>
        <w:fldChar w:fldCharType="begin"/>
      </w:r>
      <w:r w:rsidR="00C01C95">
        <w:rPr>
          <w:lang w:val="en-US"/>
        </w:rPr>
        <w:instrText xml:space="preserve"> ADDIN ZOTERO_ITEM CSL_CITATION {"citationID":"uyjfft6O","properties":{"formattedCitation":"\\super 38\\nosupersub{}","plainCitation":"38","noteIndex":0},"citationItems":[{"id":575,"uris":["http://zotero.org/users/16405780/items/KFD74C2R"],"itemData":{"id":575,"type":"article-journal","abstract":"PDF | To detect differences in the frequency of the known nonsynonymous CYP2W1 polymorphisms between colorectal cancer patients and healthy... | Find, read and cite all the research you need on ResearchGate","container-title":"ResearchGate","DOI":"10.2217/pgs.10.66","language":"en","source":"www.researchgate.net","title":"(PDF) CYP2W1 Variant Alleles in Caucasians and Association of the CYP2W1 G541A (Ala181Thr) Polymorphism with Increased Colorectal Cancer Risk","URL":"https://www.researchgate.net/publication/45093680_CYP2W1_variant_alleles_in_Caucasians_and_association_of_the_CYP2W1_G541A_Ala181Thr_polymorphism_with_increased_colorectal_cancer_risk","accessed":{"date-parts":[["2025",3,16]]},"issued":{"date-parts":[["2025",2,22]]}}}],"schema":"https://github.com/citation-style-language/schema/raw/master/csl-citation.json"} </w:instrText>
      </w:r>
      <w:r w:rsidRPr="00AE5020">
        <w:rPr>
          <w:lang w:val="en-US"/>
        </w:rPr>
        <w:fldChar w:fldCharType="separate"/>
      </w:r>
      <w:r w:rsidR="00C01C95" w:rsidRPr="00C01C95">
        <w:rPr>
          <w:rFonts w:ascii="Calibri" w:cs="Calibri"/>
          <w:vertAlign w:val="superscript"/>
        </w:rPr>
        <w:t>38</w:t>
      </w:r>
      <w:r w:rsidRPr="00AE5020">
        <w:rPr>
          <w:lang w:val="en-US"/>
        </w:rPr>
        <w:fldChar w:fldCharType="end"/>
      </w:r>
      <w:r w:rsidRPr="00AE5020">
        <w:rPr>
          <w:lang w:val="en-US"/>
        </w:rPr>
        <w:t xml:space="preserve">. In contrast, the </w:t>
      </w:r>
      <w:r w:rsidRPr="00AE5020">
        <w:rPr>
          <w:i/>
          <w:iCs/>
          <w:lang w:val="en-US"/>
        </w:rPr>
        <w:t>CYP2W1</w:t>
      </w:r>
      <w:r w:rsidRPr="00AE5020">
        <w:rPr>
          <w:rFonts w:ascii="Cambria Math" w:hAnsi="Cambria Math" w:cs="Cambria Math"/>
          <w:lang w:val="en-US"/>
        </w:rPr>
        <w:t>*</w:t>
      </w:r>
      <w:r w:rsidRPr="00AE5020">
        <w:rPr>
          <w:lang w:val="en-US"/>
        </w:rPr>
        <w:t xml:space="preserve">2 allele is prevalent in Europeans (~21%) and almost absent in East Asians (~1.4%)​ </w:t>
      </w:r>
      <w:r w:rsidRPr="00AE5020">
        <w:rPr>
          <w:lang w:val="en-US"/>
        </w:rPr>
        <w:fldChar w:fldCharType="begin"/>
      </w:r>
      <w:r w:rsidR="00C01C95">
        <w:rPr>
          <w:lang w:val="en-US"/>
        </w:rPr>
        <w:instrText xml:space="preserve"> ADDIN ZOTERO_ITEM CSL_CITATION {"citationID":"dCQXG3Yl","properties":{"formattedCitation":"\\super 38\\nosupersub{}","plainCitation":"38","noteIndex":0},"citationItems":[{"id":575,"uris":["http://zotero.org/users/16405780/items/KFD74C2R"],"itemData":{"id":575,"type":"article-journal","abstract":"PDF | To detect differences in the frequency of the known nonsynonymous CYP2W1 polymorphisms between colorectal cancer patients and healthy... | Find, read and cite all the research you need on ResearchGate","container-title":"ResearchGate","DOI":"10.2217/pgs.10.66","language":"en","source":"www.researchgate.net","title":"(PDF) CYP2W1 Variant Alleles in Caucasians and Association of the CYP2W1 G541A (Ala181Thr) Polymorphism with Increased Colorectal Cancer Risk","URL":"https://www.researchgate.net/publication/45093680_CYP2W1_variant_alleles_in_Caucasians_and_association_of_the_CYP2W1_G541A_Ala181Thr_polymorphism_with_increased_colorectal_cancer_risk","accessed":{"date-parts":[["2025",3,16]]},"issued":{"date-parts":[["2025",2,22]]}}}],"schema":"https://github.com/citation-style-language/schema/raw/master/csl-citation.json"} </w:instrText>
      </w:r>
      <w:r w:rsidRPr="00AE5020">
        <w:rPr>
          <w:lang w:val="en-US"/>
        </w:rPr>
        <w:fldChar w:fldCharType="separate"/>
      </w:r>
      <w:r w:rsidR="00C01C95" w:rsidRPr="00C01C95">
        <w:rPr>
          <w:rFonts w:ascii="Calibri" w:cs="Calibri"/>
          <w:vertAlign w:val="superscript"/>
        </w:rPr>
        <w:t>38</w:t>
      </w:r>
      <w:r w:rsidRPr="00AE5020">
        <w:rPr>
          <w:lang w:val="en-US"/>
        </w:rPr>
        <w:fldChar w:fldCharType="end"/>
      </w:r>
      <w:r w:rsidRPr="00AE5020">
        <w:rPr>
          <w:lang w:val="en-US"/>
        </w:rPr>
        <w:t xml:space="preserve">. The Peruvian findings suggests that groups with higher Indigenous American ancestry (genetically closer to East Asians) carry more </w:t>
      </w:r>
      <w:r w:rsidRPr="00AE5020">
        <w:rPr>
          <w:rFonts w:ascii="Cambria Math" w:hAnsi="Cambria Math" w:cs="Cambria Math"/>
          <w:iCs/>
          <w:lang w:val="en-US"/>
        </w:rPr>
        <w:t>*</w:t>
      </w:r>
      <w:r w:rsidRPr="00AE5020">
        <w:rPr>
          <w:iCs/>
          <w:lang w:val="en-US"/>
        </w:rPr>
        <w:t>6</w:t>
      </w:r>
      <w:r w:rsidRPr="00AE5020">
        <w:rPr>
          <w:lang w:val="en-US"/>
        </w:rPr>
        <w:t xml:space="preserve">, whereas those with more </w:t>
      </w:r>
      <w:proofErr w:type="gramStart"/>
      <w:r w:rsidRPr="00AE5020">
        <w:rPr>
          <w:lang w:val="en-US"/>
        </w:rPr>
        <w:t>Spanish-European</w:t>
      </w:r>
      <w:proofErr w:type="gramEnd"/>
      <w:r w:rsidRPr="00AE5020">
        <w:rPr>
          <w:lang w:val="en-US"/>
        </w:rPr>
        <w:t xml:space="preserve"> admixture show higher </w:t>
      </w:r>
      <w:r w:rsidRPr="00AE5020">
        <w:rPr>
          <w:rFonts w:ascii="Cambria Math" w:hAnsi="Cambria Math" w:cs="Cambria Math"/>
          <w:iCs/>
          <w:lang w:val="en-US"/>
        </w:rPr>
        <w:t>*</w:t>
      </w:r>
      <w:r w:rsidRPr="00AE5020">
        <w:rPr>
          <w:iCs/>
          <w:lang w:val="en-US"/>
        </w:rPr>
        <w:t>2</w:t>
      </w:r>
      <w:r w:rsidRPr="00AE5020">
        <w:rPr>
          <w:lang w:val="en-US"/>
        </w:rPr>
        <w:t xml:space="preserve">. These inter-population differences underscore how </w:t>
      </w:r>
      <w:r w:rsidRPr="00AE5020">
        <w:rPr>
          <w:i/>
          <w:iCs/>
          <w:lang w:val="en-US"/>
        </w:rPr>
        <w:t>CYP2W1</w:t>
      </w:r>
      <w:r w:rsidRPr="00AE5020">
        <w:rPr>
          <w:lang w:val="en-US"/>
        </w:rPr>
        <w:t xml:space="preserve"> allele distributions track with ancestry​ </w:t>
      </w:r>
      <w:r w:rsidRPr="00AE5020">
        <w:rPr>
          <w:lang w:val="en-US"/>
        </w:rPr>
        <w:fldChar w:fldCharType="begin"/>
      </w:r>
      <w:r w:rsidR="00C01C95">
        <w:rPr>
          <w:lang w:val="en-US"/>
        </w:rPr>
        <w:instrText xml:space="preserve"> ADDIN ZOTERO_ITEM CSL_CITATION {"citationID":"xN7iQBki","properties":{"formattedCitation":"\\super 38\\nosupersub{}","plainCitation":"38","noteIndex":0},"citationItems":[{"id":575,"uris":["http://zotero.org/users/16405780/items/KFD74C2R"],"itemData":{"id":575,"type":"article-journal","abstract":"PDF | To detect differences in the frequency of the known nonsynonymous CYP2W1 polymorphisms between colorectal cancer patients and healthy... | Find, read and cite all the research you need on ResearchGate","container-title":"ResearchGate","DOI":"10.2217/pgs.10.66","language":"en","source":"www.researchgate.net","title":"(PDF) CYP2W1 Variant Alleles in Caucasians and Association of the CYP2W1 G541A (Ala181Thr) Polymorphism with Increased Colorectal Cancer Risk","URL":"https://www.researchgate.net/publication/45093680_CYP2W1_variant_alleles_in_Caucasians_and_association_of_the_CYP2W1_G541A_Ala181Thr_polymorphism_with_increased_colorectal_cancer_risk","accessed":{"date-parts":[["2025",3,16]]},"issued":{"date-parts":[["2025",2,22]]}}}],"schema":"https://github.com/citation-style-language/schema/raw/master/csl-citation.json"} </w:instrText>
      </w:r>
      <w:r w:rsidRPr="00AE5020">
        <w:rPr>
          <w:lang w:val="en-US"/>
        </w:rPr>
        <w:fldChar w:fldCharType="separate"/>
      </w:r>
      <w:r w:rsidR="00C01C95" w:rsidRPr="00C01C95">
        <w:rPr>
          <w:rFonts w:ascii="Calibri" w:cs="Calibri"/>
          <w:vertAlign w:val="superscript"/>
        </w:rPr>
        <w:t>38</w:t>
      </w:r>
      <w:r w:rsidRPr="00AE5020">
        <w:rPr>
          <w:lang w:val="en-US"/>
        </w:rPr>
        <w:fldChar w:fldCharType="end"/>
      </w:r>
      <w:r w:rsidRPr="00AE5020">
        <w:rPr>
          <w:lang w:val="en-US"/>
        </w:rPr>
        <w:t xml:space="preserve">. Populations enriched for the </w:t>
      </w:r>
      <w:r w:rsidRPr="00AE5020">
        <w:rPr>
          <w:rFonts w:ascii="Cambria Math" w:hAnsi="Cambria Math" w:cs="Cambria Math"/>
          <w:iCs/>
          <w:lang w:val="en-US"/>
        </w:rPr>
        <w:t>*</w:t>
      </w:r>
      <w:r w:rsidRPr="00AE5020">
        <w:rPr>
          <w:iCs/>
          <w:lang w:val="en-US"/>
        </w:rPr>
        <w:t>6</w:t>
      </w:r>
      <w:r w:rsidRPr="00AE5020">
        <w:rPr>
          <w:lang w:val="en-US"/>
        </w:rPr>
        <w:t xml:space="preserve"> variant (e.g. East Asians and some Peruvian Amerindian groups) might have altered enzyme activity, potentially affecting responses to experimental CYP2W1-activated prodrugs. Conversely, groups with mostly </w:t>
      </w:r>
      <w:r w:rsidRPr="00AE5020">
        <w:rPr>
          <w:rFonts w:ascii="Cambria Math" w:hAnsi="Cambria Math" w:cs="Cambria Math"/>
          <w:iCs/>
          <w:lang w:val="en-US"/>
        </w:rPr>
        <w:t>*</w:t>
      </w:r>
      <w:r w:rsidRPr="00AE5020">
        <w:rPr>
          <w:iCs/>
          <w:lang w:val="en-US"/>
        </w:rPr>
        <w:t>1/</w:t>
      </w:r>
      <w:r w:rsidRPr="00AE5020">
        <w:rPr>
          <w:rFonts w:ascii="Cambria Math" w:hAnsi="Cambria Math" w:cs="Cambria Math"/>
          <w:lang w:val="en-US"/>
        </w:rPr>
        <w:t>*</w:t>
      </w:r>
      <w:r w:rsidRPr="00AE5020">
        <w:rPr>
          <w:lang w:val="en-US"/>
        </w:rPr>
        <w:t xml:space="preserve">2 haplotypes (Europeans or mestizo Peruvians) may have different baseline activity. </w:t>
      </w:r>
    </w:p>
    <w:p w14:paraId="0A4A0AB3" w14:textId="77777777" w:rsidR="0020106F" w:rsidRPr="00AE5020" w:rsidRDefault="0020106F" w:rsidP="0020106F">
      <w:pPr>
        <w:jc w:val="both"/>
        <w:rPr>
          <w:lang w:val="en-US"/>
        </w:rPr>
      </w:pPr>
    </w:p>
    <w:p w14:paraId="55891C37" w14:textId="31932690" w:rsidR="0020106F" w:rsidRPr="00AE5020" w:rsidRDefault="0020106F" w:rsidP="0020106F">
      <w:pPr>
        <w:jc w:val="both"/>
        <w:rPr>
          <w:lang w:val="en-US"/>
        </w:rPr>
      </w:pPr>
      <w:r w:rsidRPr="00AE5020">
        <w:rPr>
          <w:lang w:val="en-US"/>
        </w:rPr>
        <w:t xml:space="preserve">The </w:t>
      </w:r>
      <w:r w:rsidRPr="00AE5020">
        <w:rPr>
          <w:i/>
          <w:lang w:val="en-US"/>
        </w:rPr>
        <w:t>GSTM1</w:t>
      </w:r>
      <w:r w:rsidRPr="00AE5020">
        <w:rPr>
          <w:lang w:val="en-US"/>
        </w:rPr>
        <w:t xml:space="preserve"> gene deletion (</w:t>
      </w:r>
      <w:r w:rsidRPr="00AE5020">
        <w:rPr>
          <w:i/>
          <w:iCs/>
          <w:lang w:val="en-US"/>
        </w:rPr>
        <w:t>null</w:t>
      </w:r>
      <w:r w:rsidRPr="00AE5020">
        <w:rPr>
          <w:lang w:val="en-US"/>
        </w:rPr>
        <w:t xml:space="preserve"> allele, which abolishes enzyme activity) varied in frequency across Peru’s groups. Some Andean communities showed over 50% null genotype frequency, while others had moderately lower rates, possibly reflecting historical gene flow (e.g. African or European alleles lowering the null frequency in coastal populations). The overall trend was a high prevalence of the </w:t>
      </w:r>
      <w:bookmarkStart w:id="27" w:name="OLE_LINK67"/>
      <w:bookmarkStart w:id="28" w:name="OLE_LINK68"/>
      <w:r w:rsidRPr="00AE5020">
        <w:rPr>
          <w:i/>
          <w:iCs/>
          <w:lang w:val="en-US"/>
        </w:rPr>
        <w:t>GSTM1</w:t>
      </w:r>
      <w:r w:rsidRPr="00AE5020">
        <w:rPr>
          <w:lang w:val="en-US"/>
        </w:rPr>
        <w:t xml:space="preserve"> deletion in most Peruvian populations. The high null frequencies observed in Peruvians are consistent with global patterns – likely reflecting their </w:t>
      </w:r>
      <w:r w:rsidRPr="00AE5020">
        <w:rPr>
          <w:lang w:val="en-US"/>
        </w:rPr>
        <w:lastRenderedPageBreak/>
        <w:t xml:space="preserve">predominantly East Asian/European ancestry mix (both components carrying high </w:t>
      </w:r>
      <w:r w:rsidRPr="00AE5020">
        <w:rPr>
          <w:i/>
          <w:lang w:val="en-US"/>
        </w:rPr>
        <w:t>GSTM1</w:t>
      </w:r>
      <w:r w:rsidRPr="00AE5020">
        <w:rPr>
          <w:lang w:val="en-US"/>
        </w:rPr>
        <w:t xml:space="preserve"> deletion rates) </w:t>
      </w:r>
      <w:bookmarkEnd w:id="27"/>
      <w:bookmarkEnd w:id="28"/>
      <w:r w:rsidRPr="00AE5020">
        <w:rPr>
          <w:lang w:val="en-US"/>
        </w:rPr>
        <w:fldChar w:fldCharType="begin"/>
      </w:r>
      <w:r w:rsidR="00C01C95">
        <w:rPr>
          <w:lang w:val="en-US"/>
        </w:rPr>
        <w:instrText xml:space="preserve"> ADDIN ZOTERO_ITEM CSL_CITATION {"citationID":"sCyhgxPn","properties":{"formattedCitation":"\\super 39\\nosupersub{}","plainCitation":"39","noteIndex":0},"citationItems":[{"id":624,"uris":["http://zotero.org/users/16405780/items/SRWHN37N"],"itemData":{"id":624,"type":"article-journal","abstract":"The deletion of the metabolizing Glutathione S-transferase Mu 1 (GSTM1) gene has been associated with multiple cancers, metabolic and autoimmune disorders, as well as drug response. It is unusually common, with allele frequency reaching up to 75% in some human populations. Such high allele frequency of a derived allele with apparent impact on an otherwise conserved gene is a rare phenomenon. To investigate the evolutionary history of this locus, we analyzed 310 genomes using population genetics tools. Our analysis revealed a surprising lack of linkage disequilibrium between the deletion and the flanking single nucleotide variants in this locus. Tests that measure extended homozygosity and rapid change in allele frequency revealed signatures of an incomplete sweep in the locus. Using empirical approaches, we identified the Tanuki haplogroup, which carries the GSTM1 deletion and is found in approximately 70% of East Asian chromosomes. This haplogroup has rapidly increased in frequency in East Asian populations, contributing to a high population differentiation among continental human groups. We showed that extended homozygosity and population differentiation for this haplogroup is incompatible with simulated neutral expectations in East Asian populations. In parallel, we found that the Tanuki haplogroup is significantly associated with the expression levels of other GSTM genes. Collectively, our results suggest that standing variation in this locus has likely undergone an incomplete sweep in East Asia with regulatory impact on multiple GSTM genes. Our study provides the necessary framework for further studies to elucidate the evolutionary reasons that maintain disease-susceptibility variants in the GSTM1 locus.","container-title":"G3: Genes|Genomes|Genetics","DOI":"10.1534/g3.118.200462","ISSN":"2160-1836","issue":"9","journalAbbreviation":"G3 (Bethesda)","note":"PMID: 30061374\nPMCID: PMC6118300","page":"2953-2966","source":"PubMed Central","title":"Complex Haplotypes of GSTM1 Gene Deletions Harbor Signatures of a Selective Sweep in East Asian Populations","volume":"8","author":[{"family":"Saitou","given":"M."},{"family":"Satta","given":"Y."},{"family":"Gokcumen","given":"O."}],"issued":{"date-parts":[["2018",7,30]]}}}],"schema":"https://github.com/citation-style-language/schema/raw/master/csl-citation.json"} </w:instrText>
      </w:r>
      <w:r w:rsidRPr="00AE5020">
        <w:rPr>
          <w:lang w:val="en-US"/>
        </w:rPr>
        <w:fldChar w:fldCharType="separate"/>
      </w:r>
      <w:r w:rsidR="00C01C95" w:rsidRPr="00C01C95">
        <w:rPr>
          <w:rFonts w:ascii="Calibri" w:cs="Calibri"/>
          <w:vertAlign w:val="superscript"/>
        </w:rPr>
        <w:t>39</w:t>
      </w:r>
      <w:r w:rsidRPr="00AE5020">
        <w:rPr>
          <w:lang w:val="en-US"/>
        </w:rPr>
        <w:fldChar w:fldCharType="end"/>
      </w:r>
      <w:r w:rsidRPr="00AE5020">
        <w:rPr>
          <w:lang w:val="en-US"/>
        </w:rPr>
        <w:t xml:space="preserve">. Any </w:t>
      </w:r>
      <w:bookmarkStart w:id="29" w:name="OLE_LINK69"/>
      <w:bookmarkStart w:id="30" w:name="OLE_LINK70"/>
      <w:r w:rsidRPr="00AE5020">
        <w:rPr>
          <w:lang w:val="en-US"/>
        </w:rPr>
        <w:t xml:space="preserve">African genetic contribution (where </w:t>
      </w:r>
      <w:r w:rsidRPr="00AE5020">
        <w:rPr>
          <w:i/>
          <w:lang w:val="en-US"/>
        </w:rPr>
        <w:t>GSTM1</w:t>
      </w:r>
      <w:r w:rsidRPr="00AE5020">
        <w:rPr>
          <w:lang w:val="en-US"/>
        </w:rPr>
        <w:t xml:space="preserve"> deletion can be lower </w:t>
      </w:r>
      <w:bookmarkEnd w:id="29"/>
      <w:bookmarkEnd w:id="30"/>
      <w:r w:rsidRPr="00AE5020">
        <w:rPr>
          <w:lang w:val="en-US"/>
        </w:rPr>
        <w:fldChar w:fldCharType="begin"/>
      </w:r>
      <w:r w:rsidR="00C01C95">
        <w:rPr>
          <w:lang w:val="en-US"/>
        </w:rPr>
        <w:instrText xml:space="preserve"> ADDIN ZOTERO_ITEM CSL_CITATION {"citationID":"HeL5Wq4P","properties":{"formattedCitation":"\\super 39\\nosupersub{}","plainCitation":"39","noteIndex":0},"citationItems":[{"id":624,"uris":["http://zotero.org/users/16405780/items/SRWHN37N"],"itemData":{"id":624,"type":"article-journal","abstract":"The deletion of the metabolizing Glutathione S-transferase Mu 1 (GSTM1) gene has been associated with multiple cancers, metabolic and autoimmune disorders, as well as drug response. It is unusually common, with allele frequency reaching up to 75% in some human populations. Such high allele frequency of a derived allele with apparent impact on an otherwise conserved gene is a rare phenomenon. To investigate the evolutionary history of this locus, we analyzed 310 genomes using population genetics tools. Our analysis revealed a surprising lack of linkage disequilibrium between the deletion and the flanking single nucleotide variants in this locus. Tests that measure extended homozygosity and rapid change in allele frequency revealed signatures of an incomplete sweep in the locus. Using empirical approaches, we identified the Tanuki haplogroup, which carries the GSTM1 deletion and is found in approximately 70% of East Asian chromosomes. This haplogroup has rapidly increased in frequency in East Asian populations, contributing to a high population differentiation among continental human groups. We showed that extended homozygosity and population differentiation for this haplogroup is incompatible with simulated neutral expectations in East Asian populations. In parallel, we found that the Tanuki haplogroup is significantly associated with the expression levels of other GSTM genes. Collectively, our results suggest that standing variation in this locus has likely undergone an incomplete sweep in East Asia with regulatory impact on multiple GSTM genes. Our study provides the necessary framework for further studies to elucidate the evolutionary reasons that maintain disease-susceptibility variants in the GSTM1 locus.","container-title":"G3: Genes|Genomes|Genetics","DOI":"10.1534/g3.118.200462","ISSN":"2160-1836","issue":"9","journalAbbreviation":"G3 (Bethesda)","note":"PMID: 30061374\nPMCID: PMC6118300","page":"2953-2966","source":"PubMed Central","title":"Complex Haplotypes of GSTM1 Gene Deletions Harbor Signatures of a Selective Sweep in East Asian Populations","volume":"8","author":[{"family":"Saitou","given":"M."},{"family":"Satta","given":"Y."},{"family":"Gokcumen","given":"O."}],"issued":{"date-parts":[["2018",7,30]]}}}],"schema":"https://github.com/citation-style-language/schema/raw/master/csl-citation.json"} </w:instrText>
      </w:r>
      <w:r w:rsidRPr="00AE5020">
        <w:rPr>
          <w:lang w:val="en-US"/>
        </w:rPr>
        <w:fldChar w:fldCharType="separate"/>
      </w:r>
      <w:r w:rsidR="00C01C95" w:rsidRPr="00C01C95">
        <w:rPr>
          <w:rFonts w:ascii="Calibri" w:cs="Calibri"/>
          <w:vertAlign w:val="superscript"/>
        </w:rPr>
        <w:t>39</w:t>
      </w:r>
      <w:r w:rsidRPr="00AE5020">
        <w:rPr>
          <w:lang w:val="en-US"/>
        </w:rPr>
        <w:fldChar w:fldCharType="end"/>
      </w:r>
      <w:r w:rsidRPr="00AE5020">
        <w:rPr>
          <w:lang w:val="en-US"/>
        </w:rPr>
        <w:t xml:space="preserve">) is minimal in most Peruvian highland/Amazon groups, so it has limited impact on lowering the null frequency. Therefore, the fact that ~half of many Peruvian individuals are </w:t>
      </w:r>
      <w:r w:rsidRPr="00AE5020">
        <w:rPr>
          <w:i/>
          <w:lang w:val="en-US"/>
        </w:rPr>
        <w:t>GSTM1</w:t>
      </w:r>
      <w:r w:rsidRPr="00AE5020">
        <w:rPr>
          <w:lang w:val="en-US"/>
        </w:rPr>
        <w:t>-null (</w:t>
      </w:r>
      <w:proofErr w:type="gramStart"/>
      <w:r w:rsidRPr="00AE5020">
        <w:rPr>
          <w:lang w:val="en-US"/>
        </w:rPr>
        <w:t>similar to</w:t>
      </w:r>
      <w:proofErr w:type="gramEnd"/>
      <w:r w:rsidRPr="00AE5020">
        <w:rPr>
          <w:lang w:val="en-US"/>
        </w:rPr>
        <w:t xml:space="preserve"> East Asians and Europeans) means they might, for instance, have reduced conjugation of certain chemotherapeutics or environmental chemicals. From a population genetics perspective, the ubiquity of the GSTM1 deletion across continents (with some variation) suggests it arose early and was largely tolerated, with Indigenous Americans retaining the high deletion frequency of their East Asian ancestors​ </w:t>
      </w:r>
      <w:r w:rsidRPr="00AE5020">
        <w:rPr>
          <w:lang w:val="en-US"/>
        </w:rPr>
        <w:fldChar w:fldCharType="begin"/>
      </w:r>
      <w:r w:rsidR="00C01C95">
        <w:rPr>
          <w:lang w:val="en-US"/>
        </w:rPr>
        <w:instrText xml:space="preserve"> ADDIN ZOTERO_ITEM CSL_CITATION {"citationID":"FpcQ4WuI","properties":{"formattedCitation":"\\super 40\\nosupersub{}","plainCitation":"40","noteIndex":0},"citationItems":[{"id":574,"uris":["http://zotero.org/users/16405780/items/L8EAUR4Q"],"itemData":{"id":574,"type":"article-journal","abstract":"Glutathione S-transferases (GSTs) are a class of important Phase II detoxification enzymes that catalyze the conjugation of glutathione and xenobiotic compounds (environmental carcinogens, pollutants and drugs) to protect against oxidative stress. GSTT1 and GSTM1 genetic polymorphisms have been extensively studied, and null genotypes or homozygous deletions have been reported in various populations. Previous studies have suggested that those who are homozygous null at the GSTM1 or GSTT1 loci are more susceptible and have a higher risk of cancers linked to environmental pollutants and drug-induced toxicity. Our study focused on GSTM1 and GSTT1 null allele frequency in the Doon population of Himachal Pradesh (India) with a comparison across other Inter and Intra-Indian ethnic groups to predict variation in the possible susceptible status.","container-title":"Egyptian Journal of Medical Human Genetics","DOI":"10.1186/s43042-022-00298-6","ISSN":"2090-2441","issue":"1","journalAbbreviation":"Egyptian Journal of Medical Human Genetics","page":"86","source":"BioMed Central","title":"Comparative frequency distribution of glutathione S-transferase mu (GSTM1) and theta (GSTT1) allelic forms in Himachal Pradesh population","volume":"23","author":[{"literal":"Hemlata"},{"family":"Singh","given":"Jagphool"},{"family":"Bhardwaj","given":"Anuradha"},{"family":"Kumar","given":"Anil"},{"family":"Singh","given":"Gulab"},{"family":"Priya","given":"Kanu"},{"family":"Giri","given":"Shiv Kumar"}],"issued":{"date-parts":[["2022",5,4]]}}}],"schema":"https://github.com/citation-style-language/schema/raw/master/csl-citation.json"} </w:instrText>
      </w:r>
      <w:r w:rsidRPr="00AE5020">
        <w:rPr>
          <w:lang w:val="en-US"/>
        </w:rPr>
        <w:fldChar w:fldCharType="separate"/>
      </w:r>
      <w:r w:rsidR="00C01C95" w:rsidRPr="00C01C95">
        <w:rPr>
          <w:rFonts w:ascii="Calibri" w:cs="Calibri"/>
          <w:vertAlign w:val="superscript"/>
        </w:rPr>
        <w:t>40</w:t>
      </w:r>
      <w:r w:rsidRPr="00AE5020">
        <w:rPr>
          <w:lang w:val="en-US"/>
        </w:rPr>
        <w:fldChar w:fldCharType="end"/>
      </w:r>
      <w:r w:rsidRPr="00AE5020">
        <w:rPr>
          <w:lang w:val="en-US"/>
        </w:rPr>
        <w:t>.</w:t>
      </w:r>
    </w:p>
    <w:p w14:paraId="080C43C0" w14:textId="77777777" w:rsidR="0020106F" w:rsidRPr="00AE5020" w:rsidRDefault="0020106F" w:rsidP="0020106F">
      <w:pPr>
        <w:jc w:val="both"/>
        <w:rPr>
          <w:lang w:val="en-US"/>
        </w:rPr>
      </w:pPr>
    </w:p>
    <w:p w14:paraId="598FC117" w14:textId="40209105" w:rsidR="0020106F" w:rsidRPr="00AE5020" w:rsidRDefault="0020106F" w:rsidP="0020106F">
      <w:pPr>
        <w:jc w:val="both"/>
        <w:rPr>
          <w:lang w:val="en-US"/>
        </w:rPr>
      </w:pPr>
      <w:r w:rsidRPr="00AE5020">
        <w:rPr>
          <w:lang w:val="en-US"/>
        </w:rPr>
        <w:t xml:space="preserve">We found significant differences in </w:t>
      </w:r>
      <w:r w:rsidRPr="00AE5020">
        <w:rPr>
          <w:i/>
          <w:iCs/>
          <w:lang w:val="en-US"/>
        </w:rPr>
        <w:t>CYP2C19</w:t>
      </w:r>
      <w:r w:rsidRPr="00AE5020">
        <w:rPr>
          <w:lang w:val="en-US"/>
        </w:rPr>
        <w:t xml:space="preserve"> pharmacogenetic allele frequencies among the seven Peruvian groups. The loss-of-function allele </w:t>
      </w:r>
      <w:r w:rsidRPr="00AE5020">
        <w:rPr>
          <w:i/>
          <w:iCs/>
          <w:lang w:val="en-US"/>
        </w:rPr>
        <w:t>CYP2C19</w:t>
      </w:r>
      <w:r w:rsidRPr="00AE5020">
        <w:rPr>
          <w:rFonts w:ascii="Cambria Math" w:hAnsi="Cambria Math" w:cs="Cambria Math"/>
          <w:lang w:val="en-US"/>
        </w:rPr>
        <w:t>*</w:t>
      </w:r>
      <w:r w:rsidRPr="00AE5020">
        <w:rPr>
          <w:lang w:val="en-US"/>
        </w:rPr>
        <w:t xml:space="preserve">2 (c.681G&gt;A, rs4244285) varied widely – for example, an Amazonian group showed a high frequency of </w:t>
      </w:r>
      <w:r w:rsidRPr="00AE5020">
        <w:rPr>
          <w:rFonts w:ascii="Cambria Math" w:hAnsi="Cambria Math" w:cs="Cambria Math"/>
          <w:lang w:val="en-US"/>
        </w:rPr>
        <w:t>*</w:t>
      </w:r>
      <w:r w:rsidRPr="00AE5020">
        <w:rPr>
          <w:lang w:val="en-US"/>
        </w:rPr>
        <w:t xml:space="preserve">2 (contributing to more poor metabolizers of </w:t>
      </w:r>
      <w:r w:rsidRPr="00AE5020">
        <w:rPr>
          <w:i/>
          <w:lang w:val="en-US"/>
        </w:rPr>
        <w:t>CYP2C19</w:t>
      </w:r>
      <w:r w:rsidRPr="00AE5020">
        <w:rPr>
          <w:lang w:val="en-US"/>
        </w:rPr>
        <w:t xml:space="preserve">), whereas a coastal mestizo group (with greater European admixture) had a lower </w:t>
      </w:r>
      <w:r w:rsidRPr="00AE5020">
        <w:rPr>
          <w:rFonts w:ascii="Cambria Math" w:hAnsi="Cambria Math" w:cs="Cambria Math"/>
          <w:lang w:val="en-US"/>
        </w:rPr>
        <w:t>*</w:t>
      </w:r>
      <w:r w:rsidRPr="00AE5020">
        <w:rPr>
          <w:lang w:val="en-US"/>
        </w:rPr>
        <w:t xml:space="preserve">2 frequency. Such disparities impact the predicted rate of metabolizers (e.g. poor vs. extensive metabolizers of drugs like clopidogrel) in each community. The </w:t>
      </w:r>
      <w:r w:rsidRPr="00AE5020">
        <w:rPr>
          <w:i/>
          <w:iCs/>
          <w:lang w:val="en-US"/>
        </w:rPr>
        <w:t>CYP2C19</w:t>
      </w:r>
      <w:r w:rsidRPr="00AE5020">
        <w:rPr>
          <w:rFonts w:ascii="Cambria Math" w:hAnsi="Cambria Math" w:cs="Cambria Math"/>
          <w:lang w:val="en-US"/>
        </w:rPr>
        <w:t>∗</w:t>
      </w:r>
      <w:r w:rsidRPr="00AE5020">
        <w:rPr>
          <w:lang w:val="en-US"/>
        </w:rPr>
        <w:t xml:space="preserve">2 allele exhibits well-known ancestry-associated frequency differences. According to </w:t>
      </w:r>
      <w:proofErr w:type="spellStart"/>
      <w:r w:rsidRPr="00AE5020">
        <w:rPr>
          <w:lang w:val="en-US"/>
        </w:rPr>
        <w:t>gnomAD</w:t>
      </w:r>
      <w:proofErr w:type="spellEnd"/>
      <w:r w:rsidRPr="00AE5020">
        <w:rPr>
          <w:lang w:val="en-US"/>
        </w:rPr>
        <w:t xml:space="preserve"> data, </w:t>
      </w:r>
      <w:r w:rsidRPr="00AE5020">
        <w:rPr>
          <w:rFonts w:ascii="Cambria Math" w:hAnsi="Cambria Math" w:cs="Cambria Math"/>
          <w:lang w:val="en-US"/>
        </w:rPr>
        <w:t>*</w:t>
      </w:r>
      <w:r w:rsidRPr="00AE5020">
        <w:rPr>
          <w:lang w:val="en-US"/>
        </w:rPr>
        <w:t xml:space="preserve">2 is very common in East Asians (~30% allele frequency) but less so in Europeans (~15%)​ </w:t>
      </w:r>
      <w:r w:rsidRPr="00AE5020">
        <w:rPr>
          <w:lang w:val="en-US"/>
        </w:rPr>
        <w:fldChar w:fldCharType="begin"/>
      </w:r>
      <w:r w:rsidR="00C01C95">
        <w:rPr>
          <w:lang w:val="en-US"/>
        </w:rPr>
        <w:instrText xml:space="preserve"> ADDIN ZOTERO_ITEM CSL_CITATION {"citationID":"YDEX7Bky","properties":{"formattedCitation":"\\super 41\\nosupersub{}","plainCitation":"41","noteIndex":0},"citationItems":[{"id":572,"uris":["http://zotero.org/users/16405780/items/AH2UESFM"],"itemData":{"id":572,"type":"article-journal","abstract":"Genome wide association studies have revolutionized our understanding of the genetic underpinnings of cardiometabolic disease (CMD). Yet, the inadequate representation of individuals of diverse ancestral backgrounds in these studies may undercut their ultimate potential for both public health and precision medicine. The goal of this review is to describe the imperativeness of studying the populations who are most affected by CMD, to the aim of better understanding the genetic underpinnings of the disease. We support this premise by describing the current variation in the global burden of CMD and emphasize the importance of building a globally and ancestrally-representative genetics evidence base for the identification of population-specific variants, fine-mapping, and polygenic risk score estimation. We discuss the important ethical, legal, and social implications of increasing ancestral diversity in genetic studies of CMD and the challenges that arise from the 1) lack of diversity in current reference populations and available analytic samples, and the 2) unequal generation of health-associated genomic data and their prediction accuracies. Despite these challenges, we conclude that additional, unprecedented opportunities lie ahead for public health genomics and the realization of precision medicine, provided that the gap in diversity can be systematically addressed. Achieving this goal will require concerted efforts by social, academic, professional and regulatory stakeholders and communities, and these efforts must be based on principles of equity and social justice.","container-title":"Circulation research","DOI":"10.1161/CIRCRESAHA.120.315893","ISSN":"0009-7330","issue":"12","journalAbbreviation":"Circ Res","note":"PMID: 32496918\nPMCID: PMC7285892","page":"1816-1840","source":"PubMed Central","title":"Importance of Genetic Studies of Cardiometabolic Disease in Diverse Populations","volume":"126","author":[{"family":"Fernandez-Rhodes","given":"Lindsay"},{"family":"Young","given":"Kristin L"},{"family":"Lilly","given":"Adam G"},{"family":"Raffield","given":"Laura M"},{"family":"Highland","given":"Heather M"},{"family":"Wojcik","given":"Genevieve L"},{"family":"Agler","given":"Cary"},{"family":"M Love","given":"Shelly-Ann"},{"family":"Okello","given":"Samson"},{"family":"Petty","given":"Lauren E"},{"family":"Graff","given":"Mariaelisa"},{"family":"Below","given":"Jennifer E"},{"family":"Divaris","given":"Kimon"},{"family":"North","given":"Kari E."}],"issued":{"date-parts":[["2020",6,5]]}}}],"schema":"https://github.com/citation-style-language/schema/raw/master/csl-citation.json"} </w:instrText>
      </w:r>
      <w:r w:rsidRPr="00AE5020">
        <w:rPr>
          <w:lang w:val="en-US"/>
        </w:rPr>
        <w:fldChar w:fldCharType="separate"/>
      </w:r>
      <w:r w:rsidR="00C01C95" w:rsidRPr="00C01C95">
        <w:rPr>
          <w:rFonts w:ascii="Calibri" w:cs="Calibri"/>
          <w:vertAlign w:val="superscript"/>
        </w:rPr>
        <w:t>41</w:t>
      </w:r>
      <w:r w:rsidRPr="00AE5020">
        <w:rPr>
          <w:lang w:val="en-US"/>
        </w:rPr>
        <w:fldChar w:fldCharType="end"/>
      </w:r>
      <w:r w:rsidRPr="00AE5020">
        <w:rPr>
          <w:lang w:val="en-US"/>
        </w:rPr>
        <w:t xml:space="preserve">. African populations have intermediate *2 frequencies (~13–18%)​ </w:t>
      </w:r>
      <w:r w:rsidRPr="00AE5020">
        <w:rPr>
          <w:lang w:val="en-US"/>
        </w:rPr>
        <w:fldChar w:fldCharType="begin"/>
      </w:r>
      <w:r w:rsidR="00C01C95">
        <w:rPr>
          <w:lang w:val="en-US"/>
        </w:rPr>
        <w:instrText xml:space="preserve"> ADDIN ZOTERO_ITEM CSL_CITATION {"citationID":"X51snKks","properties":{"formattedCitation":"\\super 41\\nosupersub{}","plainCitation":"41","noteIndex":0},"citationItems":[{"id":572,"uris":["http://zotero.org/users/16405780/items/AH2UESFM"],"itemData":{"id":572,"type":"article-journal","abstract":"Genome wide association studies have revolutionized our understanding of the genetic underpinnings of cardiometabolic disease (CMD). Yet, the inadequate representation of individuals of diverse ancestral backgrounds in these studies may undercut their ultimate potential for both public health and precision medicine. The goal of this review is to describe the imperativeness of studying the populations who are most affected by CMD, to the aim of better understanding the genetic underpinnings of the disease. We support this premise by describing the current variation in the global burden of CMD and emphasize the importance of building a globally and ancestrally-representative genetics evidence base for the identification of population-specific variants, fine-mapping, and polygenic risk score estimation. We discuss the important ethical, legal, and social implications of increasing ancestral diversity in genetic studies of CMD and the challenges that arise from the 1) lack of diversity in current reference populations and available analytic samples, and the 2) unequal generation of health-associated genomic data and their prediction accuracies. Despite these challenges, we conclude that additional, unprecedented opportunities lie ahead for public health genomics and the realization of precision medicine, provided that the gap in diversity can be systematically addressed. Achieving this goal will require concerted efforts by social, academic, professional and regulatory stakeholders and communities, and these efforts must be based on principles of equity and social justice.","container-title":"Circulation research","DOI":"10.1161/CIRCRESAHA.120.315893","ISSN":"0009-7330","issue":"12","journalAbbreviation":"Circ Res","note":"PMID: 32496918\nPMCID: PMC7285892","page":"1816-1840","source":"PubMed Central","title":"Importance of Genetic Studies of Cardiometabolic Disease in Diverse Populations","volume":"126","author":[{"family":"Fernandez-Rhodes","given":"Lindsay"},{"family":"Young","given":"Kristin L"},{"family":"Lilly","given":"Adam G"},{"family":"Raffield","given":"Laura M"},{"family":"Highland","given":"Heather M"},{"family":"Wojcik","given":"Genevieve L"},{"family":"Agler","given":"Cary"},{"family":"M Love","given":"Shelly-Ann"},{"family":"Okello","given":"Samson"},{"family":"Petty","given":"Lauren E"},{"family":"Graff","given":"Mariaelisa"},{"family":"Below","given":"Jennifer E"},{"family":"Divaris","given":"Kimon"},{"family":"North","given":"Kari E."}],"issued":{"date-parts":[["2020",6,5]]}}}],"schema":"https://github.com/citation-style-language/schema/raw/master/csl-citation.json"} </w:instrText>
      </w:r>
      <w:r w:rsidRPr="00AE5020">
        <w:rPr>
          <w:lang w:val="en-US"/>
        </w:rPr>
        <w:fldChar w:fldCharType="separate"/>
      </w:r>
      <w:r w:rsidR="00C01C95" w:rsidRPr="00C01C95">
        <w:rPr>
          <w:rFonts w:ascii="Calibri" w:cs="Calibri"/>
          <w:vertAlign w:val="superscript"/>
        </w:rPr>
        <w:t>41</w:t>
      </w:r>
      <w:r w:rsidRPr="00AE5020">
        <w:rPr>
          <w:lang w:val="en-US"/>
        </w:rPr>
        <w:fldChar w:fldCharType="end"/>
      </w:r>
      <w:r w:rsidRPr="00AE5020">
        <w:rPr>
          <w:lang w:val="en-US"/>
        </w:rPr>
        <w:t xml:space="preserve">. South Asians are around ~16%, and Latino admixed Americans in </w:t>
      </w:r>
      <w:proofErr w:type="spellStart"/>
      <w:r w:rsidRPr="00AE5020">
        <w:rPr>
          <w:lang w:val="en-US"/>
        </w:rPr>
        <w:t>gnomAD</w:t>
      </w:r>
      <w:proofErr w:type="spellEnd"/>
      <w:r w:rsidRPr="00AE5020">
        <w:rPr>
          <w:lang w:val="en-US"/>
        </w:rPr>
        <w:t xml:space="preserve"> show ~10–15% (though this can vary with admixture)​. Notably, </w:t>
      </w:r>
      <w:r w:rsidRPr="007F333F">
        <w:rPr>
          <w:i/>
          <w:lang w:val="en-US"/>
        </w:rPr>
        <w:t>CYP2C19</w:t>
      </w:r>
      <w:r w:rsidR="007F333F">
        <w:rPr>
          <w:rFonts w:ascii="Cambria Math" w:hAnsi="Cambria Math" w:cs="Cambria Math"/>
          <w:lang w:val="en-US"/>
        </w:rPr>
        <w:t>*</w:t>
      </w:r>
      <w:r w:rsidRPr="00AE5020">
        <w:rPr>
          <w:lang w:val="en-US"/>
        </w:rPr>
        <w:t>2 is reported at higher prevalence in Indigenous American and Pacific Islander populations as well</w:t>
      </w:r>
      <w:r w:rsidRPr="00AE5020">
        <w:rPr>
          <w:iCs/>
          <w:lang w:val="en-US"/>
        </w:rPr>
        <w:t>​</w:t>
      </w:r>
      <w:r w:rsidRPr="00AE5020">
        <w:rPr>
          <w:lang w:val="en-US"/>
        </w:rPr>
        <w:t xml:space="preserve"> </w:t>
      </w:r>
      <w:r w:rsidRPr="00AE5020">
        <w:rPr>
          <w:lang w:val="en-US"/>
        </w:rPr>
        <w:fldChar w:fldCharType="begin"/>
      </w:r>
      <w:r w:rsidR="00C01C95">
        <w:rPr>
          <w:lang w:val="en-US"/>
        </w:rPr>
        <w:instrText xml:space="preserve"> ADDIN ZOTERO_ITEM CSL_CITATION {"citationID":"jdZaJbXe","properties":{"formattedCitation":"\\super 41\\nosupersub{}","plainCitation":"41","noteIndex":0},"citationItems":[{"id":572,"uris":["http://zotero.org/users/16405780/items/AH2UESFM"],"itemData":{"id":572,"type":"article-journal","abstract":"Genome wide association studies have revolutionized our understanding of the genetic underpinnings of cardiometabolic disease (CMD). Yet, the inadequate representation of individuals of diverse ancestral backgrounds in these studies may undercut their ultimate potential for both public health and precision medicine. The goal of this review is to describe the imperativeness of studying the populations who are most affected by CMD, to the aim of better understanding the genetic underpinnings of the disease. We support this premise by describing the current variation in the global burden of CMD and emphasize the importance of building a globally and ancestrally-representative genetics evidence base for the identification of population-specific variants, fine-mapping, and polygenic risk score estimation. We discuss the important ethical, legal, and social implications of increasing ancestral diversity in genetic studies of CMD and the challenges that arise from the 1) lack of diversity in current reference populations and available analytic samples, and the 2) unequal generation of health-associated genomic data and their prediction accuracies. Despite these challenges, we conclude that additional, unprecedented opportunities lie ahead for public health genomics and the realization of precision medicine, provided that the gap in diversity can be systematically addressed. Achieving this goal will require concerted efforts by social, academic, professional and regulatory stakeholders and communities, and these efforts must be based on principles of equity and social justice.","container-title":"Circulation research","DOI":"10.1161/CIRCRESAHA.120.315893","ISSN":"0009-7330","issue":"12","journalAbbreviation":"Circ Res","note":"PMID: 32496918\nPMCID: PMC7285892","page":"1816-1840","source":"PubMed Central","title":"Importance of Genetic Studies of Cardiometabolic Disease in Diverse Populations","volume":"126","author":[{"family":"Fernandez-Rhodes","given":"Lindsay"},{"family":"Young","given":"Kristin L"},{"family":"Lilly","given":"Adam G"},{"family":"Raffield","given":"Laura M"},{"family":"Highland","given":"Heather M"},{"family":"Wojcik","given":"Genevieve L"},{"family":"Agler","given":"Cary"},{"family":"M Love","given":"Shelly-Ann"},{"family":"Okello","given":"Samson"},{"family":"Petty","given":"Lauren E"},{"family":"Graff","given":"Mariaelisa"},{"family":"Below","given":"Jennifer E"},{"family":"Divaris","given":"Kimon"},{"family":"North","given":"Kari E."}],"issued":{"date-parts":[["2020",6,5]]}}}],"schema":"https://github.com/citation-style-language/schema/raw/master/csl-citation.json"} </w:instrText>
      </w:r>
      <w:r w:rsidRPr="00AE5020">
        <w:rPr>
          <w:lang w:val="en-US"/>
        </w:rPr>
        <w:fldChar w:fldCharType="separate"/>
      </w:r>
      <w:r w:rsidR="00C01C95" w:rsidRPr="00C01C95">
        <w:rPr>
          <w:rFonts w:ascii="Calibri" w:cs="Calibri"/>
          <w:vertAlign w:val="superscript"/>
        </w:rPr>
        <w:t>41</w:t>
      </w:r>
      <w:r w:rsidRPr="00AE5020">
        <w:rPr>
          <w:lang w:val="en-US"/>
        </w:rPr>
        <w:fldChar w:fldCharType="end"/>
      </w:r>
      <w:r w:rsidRPr="00AE5020">
        <w:rPr>
          <w:iCs/>
          <w:lang w:val="en-US"/>
        </w:rPr>
        <w:t xml:space="preserve">. In contrast, the </w:t>
      </w:r>
      <w:r w:rsidRPr="007F333F">
        <w:rPr>
          <w:i/>
          <w:lang w:val="en-US"/>
        </w:rPr>
        <w:t>CYP2C19</w:t>
      </w:r>
      <w:r w:rsidR="007F333F">
        <w:rPr>
          <w:rFonts w:ascii="Cambria Math" w:hAnsi="Cambria Math" w:cs="Cambria Math"/>
          <w:iCs/>
          <w:lang w:val="en-US"/>
        </w:rPr>
        <w:t>*</w:t>
      </w:r>
      <w:r w:rsidRPr="00AE5020">
        <w:rPr>
          <w:iCs/>
          <w:lang w:val="en-US"/>
        </w:rPr>
        <w:t>3 allele (another loss-of-function variant, c.636G&gt;A) is almost exclusive to East Asia (allele ~6% in EAS, but ~0% in African, ~0.03% in European populations)​</w:t>
      </w:r>
      <w:r w:rsidRPr="00AE5020">
        <w:rPr>
          <w:lang w:val="en-US"/>
        </w:rPr>
        <w:t xml:space="preserve"> </w:t>
      </w:r>
      <w:r w:rsidRPr="00AE5020">
        <w:rPr>
          <w:lang w:val="en-US"/>
        </w:rPr>
        <w:fldChar w:fldCharType="begin"/>
      </w:r>
      <w:r w:rsidR="00C01C95">
        <w:rPr>
          <w:lang w:val="en-US"/>
        </w:rPr>
        <w:instrText xml:space="preserve"> ADDIN ZOTERO_ITEM CSL_CITATION {"citationID":"2Vm6ZI4i","properties":{"formattedCitation":"\\super 41\\nosupersub{}","plainCitation":"41","noteIndex":0},"citationItems":[{"id":572,"uris":["http://zotero.org/users/16405780/items/AH2UESFM"],"itemData":{"id":572,"type":"article-journal","abstract":"Genome wide association studies have revolutionized our understanding of the genetic underpinnings of cardiometabolic disease (CMD). Yet, the inadequate representation of individuals of diverse ancestral backgrounds in these studies may undercut their ultimate potential for both public health and precision medicine. The goal of this review is to describe the imperativeness of studying the populations who are most affected by CMD, to the aim of better understanding the genetic underpinnings of the disease. We support this premise by describing the current variation in the global burden of CMD and emphasize the importance of building a globally and ancestrally-representative genetics evidence base for the identification of population-specific variants, fine-mapping, and polygenic risk score estimation. We discuss the important ethical, legal, and social implications of increasing ancestral diversity in genetic studies of CMD and the challenges that arise from the 1) lack of diversity in current reference populations and available analytic samples, and the 2) unequal generation of health-associated genomic data and their prediction accuracies. Despite these challenges, we conclude that additional, unprecedented opportunities lie ahead for public health genomics and the realization of precision medicine, provided that the gap in diversity can be systematically addressed. Achieving this goal will require concerted efforts by social, academic, professional and regulatory stakeholders and communities, and these efforts must be based on principles of equity and social justice.","container-title":"Circulation research","DOI":"10.1161/CIRCRESAHA.120.315893","ISSN":"0009-7330","issue":"12","journalAbbreviation":"Circ Res","note":"PMID: 32496918\nPMCID: PMC7285892","page":"1816-1840","source":"PubMed Central","title":"Importance of Genetic Studies of Cardiometabolic Disease in Diverse Populations","volume":"126","author":[{"family":"Fernandez-Rhodes","given":"Lindsay"},{"family":"Young","given":"Kristin L"},{"family":"Lilly","given":"Adam G"},{"family":"Raffield","given":"Laura M"},{"family":"Highland","given":"Heather M"},{"family":"Wojcik","given":"Genevieve L"},{"family":"Agler","given":"Cary"},{"family":"M Love","given":"Shelly-Ann"},{"family":"Okello","given":"Samson"},{"family":"Petty","given":"Lauren E"},{"family":"Graff","given":"Mariaelisa"},{"family":"Below","given":"Jennifer E"},{"family":"Divaris","given":"Kimon"},{"family":"North","given":"Kari E."}],"issued":{"date-parts":[["2020",6,5]]}}}],"schema":"https://github.com/citation-style-language/schema/raw/master/csl-citation.json"} </w:instrText>
      </w:r>
      <w:r w:rsidRPr="00AE5020">
        <w:rPr>
          <w:lang w:val="en-US"/>
        </w:rPr>
        <w:fldChar w:fldCharType="separate"/>
      </w:r>
      <w:r w:rsidR="00C01C95" w:rsidRPr="00C01C95">
        <w:rPr>
          <w:rFonts w:ascii="Calibri" w:cs="Calibri"/>
          <w:vertAlign w:val="superscript"/>
        </w:rPr>
        <w:t>41</w:t>
      </w:r>
      <w:r w:rsidRPr="00AE5020">
        <w:rPr>
          <w:lang w:val="en-US"/>
        </w:rPr>
        <w:fldChar w:fldCharType="end"/>
      </w:r>
      <w:r w:rsidRPr="00AE5020">
        <w:rPr>
          <w:iCs/>
          <w:lang w:val="en-US"/>
        </w:rPr>
        <w:t xml:space="preserve">. Thus, East Asian and </w:t>
      </w:r>
      <w:r w:rsidR="0091087F">
        <w:rPr>
          <w:iCs/>
          <w:lang w:val="en-US"/>
        </w:rPr>
        <w:t>Indigenous</w:t>
      </w:r>
      <w:r w:rsidRPr="00AE5020">
        <w:rPr>
          <w:iCs/>
          <w:lang w:val="en-US"/>
        </w:rPr>
        <w:t xml:space="preserve"> American populations tend to have a greater burden of nonfunctional </w:t>
      </w:r>
      <w:r w:rsidRPr="007F333F">
        <w:rPr>
          <w:i/>
          <w:lang w:val="en-US"/>
        </w:rPr>
        <w:t>CYP2C19</w:t>
      </w:r>
      <w:r w:rsidRPr="00AE5020">
        <w:rPr>
          <w:iCs/>
          <w:lang w:val="en-US"/>
        </w:rPr>
        <w:t xml:space="preserve"> alleles (</w:t>
      </w:r>
      <w:r w:rsidRPr="00AE5020">
        <w:rPr>
          <w:rFonts w:ascii="Cambria Math" w:hAnsi="Cambria Math" w:cs="Cambria Math"/>
          <w:lang w:val="en-US"/>
        </w:rPr>
        <w:t>*</w:t>
      </w:r>
      <w:r w:rsidRPr="00AE5020">
        <w:rPr>
          <w:lang w:val="en-US"/>
        </w:rPr>
        <w:t xml:space="preserve">2, </w:t>
      </w:r>
      <w:r w:rsidRPr="00AE5020">
        <w:rPr>
          <w:rFonts w:ascii="Cambria Math" w:hAnsi="Cambria Math" w:cs="Cambria Math"/>
          <w:iCs/>
          <w:lang w:val="en-US"/>
        </w:rPr>
        <w:t>*</w:t>
      </w:r>
      <w:r w:rsidRPr="00AE5020">
        <w:rPr>
          <w:iCs/>
          <w:lang w:val="en-US"/>
        </w:rPr>
        <w:t>3</w:t>
      </w:r>
      <w:r w:rsidRPr="00AE5020">
        <w:rPr>
          <w:lang w:val="en-US"/>
        </w:rPr>
        <w:t xml:space="preserve">), whereas Europeans and Africans have lower frequencies​ </w:t>
      </w:r>
      <w:r w:rsidRPr="00AE5020">
        <w:rPr>
          <w:lang w:val="en-US"/>
        </w:rPr>
        <w:fldChar w:fldCharType="begin"/>
      </w:r>
      <w:r w:rsidR="00C01C95">
        <w:rPr>
          <w:lang w:val="en-US"/>
        </w:rPr>
        <w:instrText xml:space="preserve"> ADDIN ZOTERO_ITEM CSL_CITATION {"citationID":"nY87hnTm","properties":{"formattedCitation":"\\super 41\\nosupersub{}","plainCitation":"41","noteIndex":0},"citationItems":[{"id":572,"uris":["http://zotero.org/users/16405780/items/AH2UESFM"],"itemData":{"id":572,"type":"article-journal","abstract":"Genome wide association studies have revolutionized our understanding of the genetic underpinnings of cardiometabolic disease (CMD). Yet, the inadequate representation of individuals of diverse ancestral backgrounds in these studies may undercut their ultimate potential for both public health and precision medicine. The goal of this review is to describe the imperativeness of studying the populations who are most affected by CMD, to the aim of better understanding the genetic underpinnings of the disease. We support this premise by describing the current variation in the global burden of CMD and emphasize the importance of building a globally and ancestrally-representative genetics evidence base for the identification of population-specific variants, fine-mapping, and polygenic risk score estimation. We discuss the important ethical, legal, and social implications of increasing ancestral diversity in genetic studies of CMD and the challenges that arise from the 1) lack of diversity in current reference populations and available analytic samples, and the 2) unequal generation of health-associated genomic data and their prediction accuracies. Despite these challenges, we conclude that additional, unprecedented opportunities lie ahead for public health genomics and the realization of precision medicine, provided that the gap in diversity can be systematically addressed. Achieving this goal will require concerted efforts by social, academic, professional and regulatory stakeholders and communities, and these efforts must be based on principles of equity and social justice.","container-title":"Circulation research","DOI":"10.1161/CIRCRESAHA.120.315893","ISSN":"0009-7330","issue":"12","journalAbbreviation":"Circ Res","note":"PMID: 32496918\nPMCID: PMC7285892","page":"1816-1840","source":"PubMed Central","title":"Importance of Genetic Studies of Cardiometabolic Disease in Diverse Populations","volume":"126","author":[{"family":"Fernandez-Rhodes","given":"Lindsay"},{"family":"Young","given":"Kristin L"},{"family":"Lilly","given":"Adam G"},{"family":"Raffield","given":"Laura M"},{"family":"Highland","given":"Heather M"},{"family":"Wojcik","given":"Genevieve L"},{"family":"Agler","given":"Cary"},{"family":"M Love","given":"Shelly-Ann"},{"family":"Okello","given":"Samson"},{"family":"Petty","given":"Lauren E"},{"family":"Graff","given":"Mariaelisa"},{"family":"Below","given":"Jennifer E"},{"family":"Divaris","given":"Kimon"},{"family":"North","given":"Kari E."}],"issued":{"date-parts":[["2020",6,5]]}}}],"schema":"https://github.com/citation-style-language/schema/raw/master/csl-citation.json"} </w:instrText>
      </w:r>
      <w:r w:rsidRPr="00AE5020">
        <w:rPr>
          <w:lang w:val="en-US"/>
        </w:rPr>
        <w:fldChar w:fldCharType="separate"/>
      </w:r>
      <w:r w:rsidR="00C01C95" w:rsidRPr="00C01C95">
        <w:rPr>
          <w:rFonts w:ascii="Calibri" w:cs="Calibri"/>
          <w:vertAlign w:val="superscript"/>
        </w:rPr>
        <w:t>41</w:t>
      </w:r>
      <w:r w:rsidRPr="00AE5020">
        <w:rPr>
          <w:lang w:val="en-US"/>
        </w:rPr>
        <w:fldChar w:fldCharType="end"/>
      </w:r>
      <w:r w:rsidRPr="00AE5020">
        <w:rPr>
          <w:lang w:val="en-US"/>
        </w:rPr>
        <w:t xml:space="preserve">. For the Peruvian groups, </w:t>
      </w:r>
      <w:r w:rsidRPr="00AE5020">
        <w:rPr>
          <w:bCs/>
          <w:lang w:val="en-US"/>
        </w:rPr>
        <w:t>Iquitos</w:t>
      </w:r>
      <w:r w:rsidRPr="00AE5020">
        <w:rPr>
          <w:lang w:val="en-US"/>
        </w:rPr>
        <w:t xml:space="preserve"> stands out with the highest proportion of </w:t>
      </w:r>
      <w:r w:rsidRPr="00AE5020">
        <w:rPr>
          <w:i/>
          <w:iCs/>
          <w:lang w:val="en-US"/>
        </w:rPr>
        <w:t>CYP2C19</w:t>
      </w:r>
      <w:r w:rsidRPr="00AE5020">
        <w:rPr>
          <w:rFonts w:ascii="Cambria Math" w:hAnsi="Cambria Math" w:cs="Cambria Math"/>
          <w:lang w:val="en-US"/>
        </w:rPr>
        <w:t>*</w:t>
      </w:r>
      <w:r w:rsidRPr="00AE5020">
        <w:rPr>
          <w:lang w:val="en-US"/>
        </w:rPr>
        <w:t>2 carriers—about 37.5% at the genotype level (</w:t>
      </w:r>
      <w:r w:rsidR="007F333F">
        <w:rPr>
          <w:rFonts w:ascii="Cambria Math" w:hAnsi="Cambria Math" w:cs="Cambria Math"/>
          <w:lang w:val="en-US"/>
        </w:rPr>
        <w:t>*</w:t>
      </w:r>
      <w:r w:rsidRPr="00AE5020">
        <w:rPr>
          <w:lang w:val="en-US"/>
        </w:rPr>
        <w:t>1/</w:t>
      </w:r>
      <w:r w:rsidR="007F333F">
        <w:rPr>
          <w:rFonts w:ascii="Cambria Math" w:hAnsi="Cambria Math" w:cs="Cambria Math"/>
          <w:lang w:val="en-US"/>
        </w:rPr>
        <w:t>*</w:t>
      </w:r>
      <w:r w:rsidRPr="00AE5020">
        <w:rPr>
          <w:lang w:val="en-US"/>
        </w:rPr>
        <w:t xml:space="preserve">2), which translates to roughly 19% of all </w:t>
      </w:r>
      <w:r w:rsidRPr="00AE5020">
        <w:rPr>
          <w:i/>
          <w:iCs/>
          <w:lang w:val="en-US"/>
        </w:rPr>
        <w:t>CYP2C19</w:t>
      </w:r>
      <w:r w:rsidRPr="00AE5020">
        <w:rPr>
          <w:lang w:val="en-US"/>
        </w:rPr>
        <w:t xml:space="preserve"> alleles in that group. Although still below the ~30% often reported in some East Asian populations, Iquitos clearly has the closest “East Asian–like” *2 allele frequency among these Peruvian samples, suggesting a stronger Indigenous‐American contribution that aligns with the higher prevalence of </w:t>
      </w:r>
      <w:r w:rsidRPr="00AE5020">
        <w:rPr>
          <w:i/>
          <w:iCs/>
          <w:lang w:val="en-US"/>
        </w:rPr>
        <w:t>CYP2C19</w:t>
      </w:r>
      <w:r w:rsidRPr="00AE5020">
        <w:rPr>
          <w:lang w:val="en-US"/>
        </w:rPr>
        <w:t xml:space="preserve"> loss‐of‐function alleles. These findings suggest that certain </w:t>
      </w:r>
      <w:bookmarkStart w:id="31" w:name="OLE_LINK71"/>
      <w:bookmarkStart w:id="32" w:name="OLE_LINK72"/>
      <w:r w:rsidRPr="00AE5020">
        <w:rPr>
          <w:lang w:val="en-US"/>
        </w:rPr>
        <w:t xml:space="preserve">Peruvian groups (especially those of Indigenous heritage) might require </w:t>
      </w:r>
      <w:proofErr w:type="spellStart"/>
      <w:r w:rsidRPr="00AE5020">
        <w:rPr>
          <w:lang w:val="en-US"/>
        </w:rPr>
        <w:t>alter</w:t>
      </w:r>
      <w:r w:rsidR="0091087F">
        <w:rPr>
          <w:lang w:val="en-US"/>
        </w:rPr>
        <w:t>indigenous</w:t>
      </w:r>
      <w:proofErr w:type="spellEnd"/>
      <w:r w:rsidRPr="00AE5020">
        <w:rPr>
          <w:lang w:val="en-US"/>
        </w:rPr>
        <w:t xml:space="preserve"> antiplatelet strategies or dose adjustments for </w:t>
      </w:r>
      <w:r w:rsidRPr="00AE5020">
        <w:rPr>
          <w:i/>
          <w:iCs/>
          <w:lang w:val="en-US"/>
        </w:rPr>
        <w:t>CYP2C19</w:t>
      </w:r>
      <w:r w:rsidRPr="00AE5020">
        <w:rPr>
          <w:lang w:val="en-US"/>
        </w:rPr>
        <w:t>-substrates than other groups are closer to the European norm</w:t>
      </w:r>
      <w:bookmarkEnd w:id="31"/>
      <w:bookmarkEnd w:id="32"/>
      <w:r w:rsidRPr="00AE5020">
        <w:rPr>
          <w:lang w:val="en-US"/>
        </w:rPr>
        <w:t xml:space="preserve"> </w:t>
      </w:r>
      <w:r w:rsidRPr="00AE5020">
        <w:rPr>
          <w:lang w:val="en-US"/>
        </w:rPr>
        <w:fldChar w:fldCharType="begin"/>
      </w:r>
      <w:r w:rsidR="00C01C95">
        <w:rPr>
          <w:lang w:val="en-US"/>
        </w:rPr>
        <w:instrText xml:space="preserve"> ADDIN ZOTERO_ITEM CSL_CITATION {"citationID":"sBmi3RsC","properties":{"formattedCitation":"\\super 42\\nosupersub{}","plainCitation":"42","noteIndex":0},"citationItems":[{"id":623,"uris":["http://zotero.org/users/16405780/items/HJTTITSU"],"itemData":{"id":623,"type":"article-journal","abstract":"Dual antiplatelet therapy with a P2Y12 inhibitor (clopidogrel, prasugrel, or ticagrelor) and aspirin remains the standard of care for all patients undergoing percutaneous coronary intervention (PCI). It is well-established that patients carrying CYP2C19 no function alleles have impaired capacity to convert clopidogrel into its active metabolite and thus, are at higher risk of major adverse cardiovascular events (MACE). The metabolism and clinical effectiveness of prasugrel and ticagrelor are not affected by CYP2C19 genotype, and accumulating evidence from multiple randomized and observational studies demonstrates that CYP2C19 genotype-guided antiplatelet therapy following PCI improves clinical outcomes. However, most antiplatelet pharmacogenomic outcome studies to date have lacked racial and ethnic diversity. In this review, we will (1) summarize current guideline recommendations and clinical outcome evidence related to CYP2C19 genotype-guided antiplatelet therapy, (2) evaluate the presence of potential racial and ethnic disparities in the major outcome studies supporting current genotype-guided antiplatelet therapy recommendations, and (3) identify remaining knowledge gaps and future research directions necessary to advance implementation of this precision medicine strategy for dual antiplatelet therapy in diverse, real-world clinical settings.","container-title":"Frontiers in Cardiovascular Medicine","DOI":"10.3389/fcvm.2022.991646","ISSN":"2297-055X","journalAbbreviation":"Front Cardiovasc Med","note":"PMID: 36082121\nPMCID: PMC9445150","page":"991646","source":"PubMed Central","title":"Evaluation of race and ethnicity disparities in outcome studies of CYP2C19 genotype-guided antiplatelet therapy","volume":"9","author":[{"family":"Nguyen","given":"Anh B."},{"family":"Cavallari","given":"Larisa H."},{"family":"Rossi","given":"Joseph S."},{"family":"Stouffer","given":"George A."},{"family":"Lee","given":"Craig R."}],"issued":{"date-parts":[["2022",8,23]]}}}],"schema":"https://github.com/citation-style-language/schema/raw/master/csl-citation.json"} </w:instrText>
      </w:r>
      <w:r w:rsidRPr="00AE5020">
        <w:rPr>
          <w:lang w:val="en-US"/>
        </w:rPr>
        <w:fldChar w:fldCharType="separate"/>
      </w:r>
      <w:r w:rsidR="00C01C95" w:rsidRPr="00C01C95">
        <w:rPr>
          <w:rFonts w:ascii="Calibri" w:cs="Calibri"/>
          <w:vertAlign w:val="superscript"/>
        </w:rPr>
        <w:t>42</w:t>
      </w:r>
      <w:r w:rsidRPr="00AE5020">
        <w:rPr>
          <w:lang w:val="en-US"/>
        </w:rPr>
        <w:fldChar w:fldCharType="end"/>
      </w:r>
      <w:r w:rsidRPr="00AE5020">
        <w:rPr>
          <w:lang w:val="en-US"/>
        </w:rPr>
        <w:t xml:space="preserve">. </w:t>
      </w:r>
    </w:p>
    <w:p w14:paraId="7AEF6CDD" w14:textId="77777777" w:rsidR="0020106F" w:rsidRPr="00AE5020" w:rsidRDefault="0020106F" w:rsidP="0020106F">
      <w:pPr>
        <w:jc w:val="both"/>
        <w:rPr>
          <w:lang w:val="en-US"/>
        </w:rPr>
      </w:pPr>
    </w:p>
    <w:p w14:paraId="4E304E80" w14:textId="20E19C4F" w:rsidR="0020106F" w:rsidRPr="00AE5020" w:rsidRDefault="0020106F" w:rsidP="0020106F">
      <w:pPr>
        <w:jc w:val="both"/>
        <w:rPr>
          <w:lang w:val="en-US"/>
        </w:rPr>
      </w:pPr>
      <w:bookmarkStart w:id="33" w:name="OLE_LINK73"/>
      <w:bookmarkStart w:id="34" w:name="OLE_LINK74"/>
      <w:r w:rsidRPr="00AE5020">
        <w:rPr>
          <w:i/>
          <w:iCs/>
          <w:lang w:val="en-US"/>
        </w:rPr>
        <w:t>NAT2</w:t>
      </w:r>
      <w:r w:rsidRPr="00AE5020">
        <w:rPr>
          <w:lang w:val="en-US"/>
        </w:rPr>
        <w:t xml:space="preserve"> genotype frequencies differed strikingly among the seven Peruvian populations, reflecting variability in slow vs. fast acetylator status</w:t>
      </w:r>
      <w:bookmarkEnd w:id="33"/>
      <w:bookmarkEnd w:id="34"/>
      <w:r w:rsidRPr="00AE5020">
        <w:rPr>
          <w:lang w:val="en-US"/>
        </w:rPr>
        <w:t xml:space="preserve"> </w:t>
      </w:r>
      <w:r w:rsidRPr="00AE5020">
        <w:rPr>
          <w:lang w:val="en-US"/>
        </w:rPr>
        <w:fldChar w:fldCharType="begin"/>
      </w:r>
      <w:r w:rsidR="00C01C95">
        <w:rPr>
          <w:lang w:val="en-US"/>
        </w:rPr>
        <w:instrText xml:space="preserve"> ADDIN ZOTERO_ITEM CSL_CITATION {"citationID":"prv82uJb","properties":{"formattedCitation":"\\super 43\\nosupersub{}","plainCitation":"43","noteIndex":0},"citationItems":[{"id":629,"uris":["http://zotero.org/users/16405780/items/3DB56H6L"],"itemData":{"id":629,"type":"article-journal","abstract":"Arylamine N-acetyltransferase 2 has been related to drug side effects and cancer susceptibility; its protein structure and acetylation capacity results from the polymorphism’s arrays on the NAT2 gene. Absorption, distribution, metabolism, and excretion, cornerstones of the pharmacological effects, have shown diversity patterns across populations, ethnic groups, and even interethnic variation. Although the 1000 Genomes Project database has portrayed the global diversity of the NAT2 polymorphisms, several populations and ethnicities remain underrepresented, limiting the comprehensive picture of its variation. The NAT2 clinical entails require a detailed landscape of its striking diversity. This systematic review spans the genetic and acetylation patterns from 164 articles from October 1992 to October 2020. Descriptive studies and controls from observational studies expanded the NAT2 diversity landscape. Our study included 243 different populations and 101 ethnic minorities, and, for the first time, we presented the global patterns in the Middle Eastern populations. Europeans, including its derived populations, and East Asians have been the most studied genetic backgrounds. Contrary to the popular perception, Africans, Latinos and Native Americans have been significantly represented in recent years. NAT2*4, *5B, and *6A were the most frequent haplotypes globally. Nonetheless, the distribution of *5B and *7B were less and more frequent in Asians, respectively. Regarding the acetylator status, East Asians and Native Americans harboured the highest frequencies of the fast phenotype, followed by South Europeans. Central Asia, the Middle East, and West European populations were the major carriers of the slow acetylator status. The detailed panorama presented herein, expands the knowledge about the diversity patterns to genetic and acetylation levels. These data could help clarify the controversial findings between acetylator states and the susceptibility to diseases and reinforce the utility of NAT2 in precision medicine.","container-title":"PLOS ONE","DOI":"10.1371/journal.pone.0283726","ISSN":"1932-6203","issue":"4","journalAbbreviation":"PLOS ONE","language":"en","note":"publisher: Public Library of Science","page":"e0283726","source":"PLoS Journals","title":"NAT2 global landscape: Genetic diversity and acetylation statuses from a systematic review","title-short":"NAT2 global landscape","volume":"18","author":[{"family":"Gutiérrez-Virgen","given":"Jorge E."},{"family":"Piña-Pozas","given":"Maricela"},{"family":"Hernández-Tobías","given":"Esther A."},{"family":"Taja-Chayeb","given":"Lucia"},{"family":"López-González","given":"Ma de Lourdes"},{"family":"Meraz-Ríos","given":"Marco A."},{"family":"Gómez","given":"Rocío"}],"issued":{"date-parts":[["2023",4,6]]}}}],"schema":"https://github.com/citation-style-language/schema/raw/master/csl-citation.json"} </w:instrText>
      </w:r>
      <w:r w:rsidRPr="00AE5020">
        <w:rPr>
          <w:lang w:val="en-US"/>
        </w:rPr>
        <w:fldChar w:fldCharType="separate"/>
      </w:r>
      <w:r w:rsidR="00C01C95" w:rsidRPr="00C01C95">
        <w:rPr>
          <w:rFonts w:ascii="Calibri" w:cs="Calibri"/>
          <w:vertAlign w:val="superscript"/>
        </w:rPr>
        <w:t>43</w:t>
      </w:r>
      <w:r w:rsidRPr="00AE5020">
        <w:rPr>
          <w:lang w:val="en-US"/>
        </w:rPr>
        <w:fldChar w:fldCharType="end"/>
      </w:r>
      <w:r w:rsidRPr="00AE5020">
        <w:rPr>
          <w:lang w:val="en-US"/>
        </w:rPr>
        <w:t xml:space="preserve">. For example, the Amazonian </w:t>
      </w:r>
      <w:r w:rsidRPr="00AE5020">
        <w:rPr>
          <w:bCs/>
          <w:lang w:val="en-US"/>
        </w:rPr>
        <w:t>Matzes</w:t>
      </w:r>
      <w:r w:rsidRPr="00AE5020">
        <w:rPr>
          <w:lang w:val="en-US"/>
        </w:rPr>
        <w:t xml:space="preserve"> had over 40% of individuals homozygous for the </w:t>
      </w:r>
      <w:r w:rsidRPr="00AE5020">
        <w:rPr>
          <w:i/>
          <w:iCs/>
          <w:lang w:val="en-US"/>
        </w:rPr>
        <w:t>NAT2</w:t>
      </w:r>
      <w:r w:rsidR="00C727FE">
        <w:rPr>
          <w:rFonts w:ascii="Cambria Math" w:hAnsi="Cambria Math" w:cs="Cambria Math"/>
          <w:lang w:val="en-US"/>
        </w:rPr>
        <w:t>*</w:t>
      </w:r>
      <w:r w:rsidRPr="00AE5020">
        <w:rPr>
          <w:lang w:val="en-US"/>
        </w:rPr>
        <w:t>7 allele (</w:t>
      </w:r>
      <w:r w:rsidRPr="00AE5020">
        <w:rPr>
          <w:bCs/>
          <w:lang w:val="en-US"/>
        </w:rPr>
        <w:t>AF=</w:t>
      </w:r>
      <w:r w:rsidRPr="00AE5020">
        <w:rPr>
          <w:lang w:val="en-US"/>
        </w:rPr>
        <w:t>0.625), indicating a very high prevalence of slow acetylators in that group. In contrast, a coastal mestizo group (</w:t>
      </w:r>
      <w:proofErr w:type="spellStart"/>
      <w:r w:rsidRPr="00AE5020">
        <w:rPr>
          <w:bCs/>
          <w:lang w:val="en-US"/>
        </w:rPr>
        <w:t>Moches</w:t>
      </w:r>
      <w:proofErr w:type="spellEnd"/>
      <w:r w:rsidRPr="00AE5020">
        <w:rPr>
          <w:lang w:val="en-US"/>
        </w:rPr>
        <w:t xml:space="preserve">) showed more </w:t>
      </w:r>
      <w:r w:rsidRPr="00AE5020">
        <w:rPr>
          <w:i/>
          <w:iCs/>
          <w:lang w:val="en-US"/>
        </w:rPr>
        <w:t>NAT2</w:t>
      </w:r>
      <w:r w:rsidR="0091087F">
        <w:rPr>
          <w:rFonts w:ascii="Cambria Math" w:hAnsi="Cambria Math" w:cs="Cambria Math"/>
          <w:lang w:val="en-US"/>
        </w:rPr>
        <w:t>*</w:t>
      </w:r>
      <w:r w:rsidRPr="00AE5020">
        <w:rPr>
          <w:lang w:val="en-US"/>
        </w:rPr>
        <w:t>4/</w:t>
      </w:r>
      <w:r w:rsidR="0091087F">
        <w:rPr>
          <w:rFonts w:ascii="Cambria Math" w:hAnsi="Cambria Math" w:cs="Cambria Math"/>
          <w:lang w:val="en-US"/>
        </w:rPr>
        <w:t>*</w:t>
      </w:r>
      <w:r w:rsidRPr="00AE5020">
        <w:rPr>
          <w:lang w:val="en-US"/>
        </w:rPr>
        <w:t xml:space="preserve">5 heterozygotes and fewer *7 alleles, suggesting a faster acetylator profile on average. These differences in </w:t>
      </w:r>
      <w:r w:rsidRPr="00AE5020">
        <w:rPr>
          <w:i/>
          <w:lang w:val="en-US"/>
        </w:rPr>
        <w:t>NAT2</w:t>
      </w:r>
      <w:r w:rsidRPr="00AE5020">
        <w:rPr>
          <w:lang w:val="en-US"/>
        </w:rPr>
        <w:t xml:space="preserve"> haplotype distribution across Peru correlate with each group’s ancestral makeup and isolate history. </w:t>
      </w:r>
      <w:r w:rsidRPr="00AE5020">
        <w:rPr>
          <w:i/>
          <w:iCs/>
          <w:lang w:val="en-US"/>
        </w:rPr>
        <w:t>NAT2</w:t>
      </w:r>
      <w:r w:rsidRPr="00AE5020">
        <w:rPr>
          <w:lang w:val="en-US"/>
        </w:rPr>
        <w:t xml:space="preserve"> alleles show strong geographic structuring due to human migration and possibly local selection. The </w:t>
      </w:r>
      <w:r w:rsidRPr="00AE5020">
        <w:rPr>
          <w:i/>
          <w:iCs/>
          <w:lang w:val="en-US"/>
        </w:rPr>
        <w:t>NAT2</w:t>
      </w:r>
      <w:r w:rsidR="0091087F">
        <w:rPr>
          <w:rFonts w:ascii="Cambria Math" w:hAnsi="Cambria Math" w:cs="Cambria Math"/>
          <w:lang w:val="en-US"/>
        </w:rPr>
        <w:t>*</w:t>
      </w:r>
      <w:r w:rsidRPr="00AE5020">
        <w:rPr>
          <w:lang w:val="en-US"/>
        </w:rPr>
        <w:t xml:space="preserve">7 allele (e.g. *7B defined by 857G&gt;A, rs1799931), which confers a slow-acetylator phenotype (albeit substrate-dependent), is notably more frequent in East Asians and </w:t>
      </w:r>
      <w:r w:rsidR="0091087F">
        <w:rPr>
          <w:lang w:val="en-US"/>
        </w:rPr>
        <w:t>Indigenous</w:t>
      </w:r>
      <w:r w:rsidRPr="00AE5020">
        <w:rPr>
          <w:lang w:val="en-US"/>
        </w:rPr>
        <w:t xml:space="preserve"> Americans than in Europeans​ </w:t>
      </w:r>
      <w:r w:rsidRPr="00AE5020">
        <w:rPr>
          <w:lang w:val="en-US"/>
        </w:rPr>
        <w:fldChar w:fldCharType="begin"/>
      </w:r>
      <w:r w:rsidR="00C01C95">
        <w:rPr>
          <w:lang w:val="en-US"/>
        </w:rPr>
        <w:instrText xml:space="preserve"> ADDIN ZOTERO_ITEM CSL_CITATION {"citationID":"MVKcDiu0","properties":{"formattedCitation":"\\super 44\\nosupersub{}","plainCitation":"44","noteIndex":0},"citationItems":[{"id":571,"uris":["http://zotero.org/users/16405780/items/NEAIJTGN"],"itemData":{"id":571,"type":"article-journal","abstract":"PDF | Throughout history, humanity has referred to reactions occurring with food, plants and, recently, medicines or drugs. The increase in pulmonary... | Find, read and cite all the research you need on ResearchGate","container-title":"ResearchGate","DOI":"10.4236/ojgen.2012.24028","language":"en","source":"www.researchgate.net","title":"(PDF) N-acetyltransferase 2: Slow, intermediate or fast? A booming question of the molecular epidemiology in cancer research","title-short":"(PDF) N-acetyltransferase 2","URL":"https://www.researchgate.net/publication/269792566_N-acetyltransferase_2_Slow_intermediate_or_fast_A_booming_question_of_the_molecular_epidemiology_in_cancer_research","accessed":{"date-parts":[["2025",3,16]]},"issued":{"date-parts":[["2024",10,22]]}}}],"schema":"https://github.com/citation-style-language/schema/raw/master/csl-citation.json"} </w:instrText>
      </w:r>
      <w:r w:rsidRPr="00AE5020">
        <w:rPr>
          <w:lang w:val="en-US"/>
        </w:rPr>
        <w:fldChar w:fldCharType="separate"/>
      </w:r>
      <w:r w:rsidR="00C01C95" w:rsidRPr="00C01C95">
        <w:rPr>
          <w:rFonts w:ascii="Calibri" w:cs="Calibri"/>
          <w:vertAlign w:val="superscript"/>
        </w:rPr>
        <w:t>44</w:t>
      </w:r>
      <w:r w:rsidRPr="00AE5020">
        <w:rPr>
          <w:lang w:val="en-US"/>
        </w:rPr>
        <w:fldChar w:fldCharType="end"/>
      </w:r>
      <w:r w:rsidRPr="00AE5020">
        <w:rPr>
          <w:lang w:val="en-US"/>
        </w:rPr>
        <w:t xml:space="preserve">. In contrast, the </w:t>
      </w:r>
      <w:r w:rsidRPr="00AE5020">
        <w:rPr>
          <w:i/>
          <w:iCs/>
          <w:lang w:val="en-US"/>
        </w:rPr>
        <w:t>NAT2</w:t>
      </w:r>
      <w:r w:rsidR="0091087F">
        <w:rPr>
          <w:rFonts w:ascii="Cambria Math" w:hAnsi="Cambria Math" w:cs="Cambria Math"/>
          <w:lang w:val="en-US"/>
        </w:rPr>
        <w:t>*</w:t>
      </w:r>
      <w:r w:rsidRPr="00AE5020">
        <w:rPr>
          <w:lang w:val="en-US"/>
        </w:rPr>
        <w:t xml:space="preserve">6 allele (590G&gt;A, rs1799930), another </w:t>
      </w:r>
      <w:r w:rsidRPr="00AE5020">
        <w:rPr>
          <w:lang w:val="en-US"/>
        </w:rPr>
        <w:lastRenderedPageBreak/>
        <w:t xml:space="preserve">common slow allele, reaches its highest frequency in West Eurasian populations (Europeans and Near Easterners) and is less common in East Asians​ </w:t>
      </w:r>
      <w:r w:rsidRPr="00AE5020">
        <w:rPr>
          <w:lang w:val="en-US"/>
        </w:rPr>
        <w:fldChar w:fldCharType="begin"/>
      </w:r>
      <w:r w:rsidR="00C01C95">
        <w:rPr>
          <w:lang w:val="en-US"/>
        </w:rPr>
        <w:instrText xml:space="preserve"> ADDIN ZOTERO_ITEM CSL_CITATION {"citationID":"jfoxddmm","properties":{"formattedCitation":"\\super 44\\nosupersub{}","plainCitation":"44","noteIndex":0},"citationItems":[{"id":571,"uris":["http://zotero.org/users/16405780/items/NEAIJTGN"],"itemData":{"id":571,"type":"article-journal","abstract":"PDF | Throughout history, humanity has referred to reactions occurring with food, plants and, recently, medicines or drugs. The increase in pulmonary... | Find, read and cite all the research you need on ResearchGate","container-title":"ResearchGate","DOI":"10.4236/ojgen.2012.24028","language":"en","source":"www.researchgate.net","title":"(PDF) N-acetyltransferase 2: Slow, intermediate or fast? A booming question of the molecular epidemiology in cancer research","title-short":"(PDF) N-acetyltransferase 2","URL":"https://www.researchgate.net/publication/269792566_N-acetyltransferase_2_Slow_intermediate_or_fast_A_booming_question_of_the_molecular_epidemiology_in_cancer_research","accessed":{"date-parts":[["2025",3,16]]},"issued":{"date-parts":[["2024",10,22]]}}}],"schema":"https://github.com/citation-style-language/schema/raw/master/csl-citation.json"} </w:instrText>
      </w:r>
      <w:r w:rsidRPr="00AE5020">
        <w:rPr>
          <w:lang w:val="en-US"/>
        </w:rPr>
        <w:fldChar w:fldCharType="separate"/>
      </w:r>
      <w:r w:rsidR="00C01C95" w:rsidRPr="00C01C95">
        <w:rPr>
          <w:rFonts w:ascii="Calibri" w:cs="Calibri"/>
          <w:vertAlign w:val="superscript"/>
        </w:rPr>
        <w:t>44</w:t>
      </w:r>
      <w:r w:rsidRPr="00AE5020">
        <w:rPr>
          <w:lang w:val="en-US"/>
        </w:rPr>
        <w:fldChar w:fldCharType="end"/>
      </w:r>
      <w:r w:rsidRPr="00AE5020">
        <w:rPr>
          <w:lang w:val="en-US"/>
        </w:rPr>
        <w:t xml:space="preserve">. Europeans also carry </w:t>
      </w:r>
      <w:r w:rsidRPr="00AE5020">
        <w:rPr>
          <w:i/>
          <w:iCs/>
          <w:lang w:val="en-US"/>
        </w:rPr>
        <w:t>NAT2</w:t>
      </w:r>
      <w:r w:rsidR="0091087F">
        <w:rPr>
          <w:rFonts w:ascii="Cambria Math" w:hAnsi="Cambria Math" w:cs="Cambria Math"/>
          <w:lang w:val="en-US"/>
        </w:rPr>
        <w:t>*</w:t>
      </w:r>
      <w:r w:rsidRPr="00AE5020">
        <w:rPr>
          <w:lang w:val="en-US"/>
        </w:rPr>
        <w:t xml:space="preserve">5 (341T&gt;C) at moderate frequencies (~30–50% in many Western populations </w:t>
      </w:r>
      <w:r w:rsidRPr="00AE5020">
        <w:rPr>
          <w:lang w:val="en-US"/>
        </w:rPr>
        <w:fldChar w:fldCharType="begin"/>
      </w:r>
      <w:r w:rsidR="00C01C95">
        <w:rPr>
          <w:lang w:val="en-US"/>
        </w:rPr>
        <w:instrText xml:space="preserve"> ADDIN ZOTERO_ITEM CSL_CITATION {"citationID":"OPh4vvPz","properties":{"formattedCitation":"\\super 45\\nosupersub{}","plainCitation":"45","noteIndex":0},"citationItems":[{"id":570,"uris":["http://zotero.org/users/16405780/items/UHH9SA53"],"itemData":{"id":570,"type":"article-journal","abstract":"Throughout history, humanity has referred to reactions occurring with food, plants and, recently, medicines or drugs. The increase in pulmonary tuberculosis cases and the availability of treatment showed that genetic human differences can interfere in the capacity to metabolize drugs. There are remarkable genetic polymorphisms of N-acetyltransferase 2 (NAT2) activity that have been associated with different levels of susceptibility to developing many kinds of cancers. This review considers the field as an open window for the application of molecular epidemiology tools that led to the development of pharmacogenomics. We cover historical data and the most recent knowledge about NAT2 genetic polymorphisms and its distribution in different populations, which is an important concept being incorporated in epidemiological studies of cancer risk. We present up to date information about these studies, including meta-analysis based on the NAT2 distribution in different types of cancer. A critical broad at advances in NAT2 research, highlighting recent studies related to NAT2 alleles in cancer susceptibility. Although there are multifactorial aspects involved in cancer risk, the variability in NAT2 allelic frequency can be related to carcinogenesis through alterations in the metabolic rate after exposure to carcinogens.","container-title":"Open Journal of Genetics","DOI":"10.4236/ojgen.2012.24028","ISSN":"2162-4453, 2162-4461","issue":"04","journalAbbreviation":"OJGen","language":"en","license":"http://creativecommons.org/licenses/by/4.0/","page":"221-235","source":"DOI.org (Crossref)","title":"N-acetyltransferase 2: Slow, intermediate or fast? A booming question of the molecular epidemiology in cancer research","title-short":"N-acetyltransferase 2","volume":"02","author":[{"family":"Pietro","given":"Giuliano Di"},{"family":"Gadelha","given":"Sandra Rocha"},{"family":"Sousa","given":"Sandra Mara Bispo"},{"family":"Melo","given":"Paulo Roberto Santana De"},{"family":"Santos","given":"Fabricio Rios"}],"issued":{"date-parts":[["2012"]]}}}],"schema":"https://github.com/citation-style-language/schema/raw/master/csl-citation.json"} </w:instrText>
      </w:r>
      <w:r w:rsidRPr="00AE5020">
        <w:rPr>
          <w:lang w:val="en-US"/>
        </w:rPr>
        <w:fldChar w:fldCharType="separate"/>
      </w:r>
      <w:r w:rsidR="00C01C95" w:rsidRPr="00C01C95">
        <w:rPr>
          <w:rFonts w:ascii="Calibri" w:cs="Calibri"/>
          <w:vertAlign w:val="superscript"/>
        </w:rPr>
        <w:t>45</w:t>
      </w:r>
      <w:r w:rsidRPr="00AE5020">
        <w:rPr>
          <w:lang w:val="en-US"/>
        </w:rPr>
        <w:fldChar w:fldCharType="end"/>
      </w:r>
      <w:r w:rsidRPr="00AE5020">
        <w:rPr>
          <w:lang w:val="en-US"/>
        </w:rPr>
        <w:t xml:space="preserve">), whereas East Asians have lower *5. Overall, Europeans tend to have a higher combined frequency of *5 and *6 (accounting for many slow acetylators in those populations), while East Asian and </w:t>
      </w:r>
      <w:r w:rsidR="0091087F">
        <w:rPr>
          <w:lang w:val="en-US"/>
        </w:rPr>
        <w:t>Indigenous</w:t>
      </w:r>
      <w:r w:rsidRPr="00AE5020">
        <w:rPr>
          <w:lang w:val="en-US"/>
        </w:rPr>
        <w:t xml:space="preserve"> groups rely more on *7 variants​ </w:t>
      </w:r>
      <w:r w:rsidRPr="00AE5020">
        <w:rPr>
          <w:lang w:val="en-US"/>
        </w:rPr>
        <w:fldChar w:fldCharType="begin"/>
      </w:r>
      <w:r w:rsidR="00C01C95">
        <w:rPr>
          <w:lang w:val="en-US"/>
        </w:rPr>
        <w:instrText xml:space="preserve"> ADDIN ZOTERO_ITEM CSL_CITATION {"citationID":"U8TjJPQN","properties":{"formattedCitation":"\\super 45\\nosupersub{}","plainCitation":"45","noteIndex":0},"citationItems":[{"id":570,"uris":["http://zotero.org/users/16405780/items/UHH9SA53"],"itemData":{"id":570,"type":"article-journal","abstract":"Throughout history, humanity has referred to reactions occurring with food, plants and, recently, medicines or drugs. The increase in pulmonary tuberculosis cases and the availability of treatment showed that genetic human differences can interfere in the capacity to metabolize drugs. There are remarkable genetic polymorphisms of N-acetyltransferase 2 (NAT2) activity that have been associated with different levels of susceptibility to developing many kinds of cancers. This review considers the field as an open window for the application of molecular epidemiology tools that led to the development of pharmacogenomics. We cover historical data and the most recent knowledge about NAT2 genetic polymorphisms and its distribution in different populations, which is an important concept being incorporated in epidemiological studies of cancer risk. We present up to date information about these studies, including meta-analysis based on the NAT2 distribution in different types of cancer. A critical broad at advances in NAT2 research, highlighting recent studies related to NAT2 alleles in cancer susceptibility. Although there are multifactorial aspects involved in cancer risk, the variability in NAT2 allelic frequency can be related to carcinogenesis through alterations in the metabolic rate after exposure to carcinogens.","container-title":"Open Journal of Genetics","DOI":"10.4236/ojgen.2012.24028","ISSN":"2162-4453, 2162-4461","issue":"04","journalAbbreviation":"OJGen","language":"en","license":"http://creativecommons.org/licenses/by/4.0/","page":"221-235","source":"DOI.org (Crossref)","title":"N-acetyltransferase 2: Slow, intermediate or fast? A booming question of the molecular epidemiology in cancer research","title-short":"N-acetyltransferase 2","volume":"02","author":[{"family":"Pietro","given":"Giuliano Di"},{"family":"Gadelha","given":"Sandra Rocha"},{"family":"Sousa","given":"Sandra Mara Bispo"},{"family":"Melo","given":"Paulo Roberto Santana De"},{"family":"Santos","given":"Fabricio Rios"}],"issued":{"date-parts":[["2012"]]}}}],"schema":"https://github.com/citation-style-language/schema/raw/master/csl-citation.json"} </w:instrText>
      </w:r>
      <w:r w:rsidRPr="00AE5020">
        <w:rPr>
          <w:lang w:val="en-US"/>
        </w:rPr>
        <w:fldChar w:fldCharType="separate"/>
      </w:r>
      <w:r w:rsidR="00C01C95" w:rsidRPr="00C01C95">
        <w:rPr>
          <w:rFonts w:ascii="Calibri" w:cs="Calibri"/>
          <w:vertAlign w:val="superscript"/>
        </w:rPr>
        <w:t>45</w:t>
      </w:r>
      <w:r w:rsidRPr="00AE5020">
        <w:rPr>
          <w:lang w:val="en-US"/>
        </w:rPr>
        <w:fldChar w:fldCharType="end"/>
      </w:r>
      <w:r w:rsidRPr="00AE5020">
        <w:rPr>
          <w:lang w:val="en-US"/>
        </w:rPr>
        <w:t xml:space="preserve">. Sub-Saharan Africans harbor some unique alleles like </w:t>
      </w:r>
      <w:r w:rsidRPr="00AE5020">
        <w:rPr>
          <w:i/>
          <w:iCs/>
          <w:lang w:val="en-US"/>
        </w:rPr>
        <w:t>NAT2</w:t>
      </w:r>
      <w:r w:rsidRPr="00AE5020">
        <w:rPr>
          <w:rFonts w:ascii="Cambria Math" w:hAnsi="Cambria Math" w:cs="Cambria Math"/>
          <w:lang w:val="en-US"/>
        </w:rPr>
        <w:t>∗</w:t>
      </w:r>
      <w:r w:rsidRPr="00AE5020">
        <w:rPr>
          <w:lang w:val="en-US"/>
        </w:rPr>
        <w:t xml:space="preserve">14 (distinct slow variant largely found only in Africa)​ </w:t>
      </w:r>
      <w:r w:rsidRPr="00AE5020">
        <w:rPr>
          <w:lang w:val="en-US"/>
        </w:rPr>
        <w:fldChar w:fldCharType="begin"/>
      </w:r>
      <w:r w:rsidR="00C01C95">
        <w:rPr>
          <w:lang w:val="en-US"/>
        </w:rPr>
        <w:instrText xml:space="preserve"> ADDIN ZOTERO_ITEM CSL_CITATION {"citationID":"5P7DrVPA","properties":{"formattedCitation":"\\super 45\\nosupersub{}","plainCitation":"45","noteIndex":0},"citationItems":[{"id":570,"uris":["http://zotero.org/users/16405780/items/UHH9SA53"],"itemData":{"id":570,"type":"article-journal","abstract":"Throughout history, humanity has referred to reactions occurring with food, plants and, recently, medicines or drugs. The increase in pulmonary tuberculosis cases and the availability of treatment showed that genetic human differences can interfere in the capacity to metabolize drugs. There are remarkable genetic polymorphisms of N-acetyltransferase 2 (NAT2) activity that have been associated with different levels of susceptibility to developing many kinds of cancers. This review considers the field as an open window for the application of molecular epidemiology tools that led to the development of pharmacogenomics. We cover historical data and the most recent knowledge about NAT2 genetic polymorphisms and its distribution in different populations, which is an important concept being incorporated in epidemiological studies of cancer risk. We present up to date information about these studies, including meta-analysis based on the NAT2 distribution in different types of cancer. A critical broad at advances in NAT2 research, highlighting recent studies related to NAT2 alleles in cancer susceptibility. Although there are multifactorial aspects involved in cancer risk, the variability in NAT2 allelic frequency can be related to carcinogenesis through alterations in the metabolic rate after exposure to carcinogens.","container-title":"Open Journal of Genetics","DOI":"10.4236/ojgen.2012.24028","ISSN":"2162-4453, 2162-4461","issue":"04","journalAbbreviation":"OJGen","language":"en","license":"http://creativecommons.org/licenses/by/4.0/","page":"221-235","source":"DOI.org (Crossref)","title":"N-acetyltransferase 2: Slow, intermediate or fast? A booming question of the molecular epidemiology in cancer research","title-short":"N-acetyltransferase 2","volume":"02","author":[{"family":"Pietro","given":"Giuliano Di"},{"family":"Gadelha","given":"Sandra Rocha"},{"family":"Sousa","given":"Sandra Mara Bispo"},{"family":"Melo","given":"Paulo Roberto Santana De"},{"family":"Santos","given":"Fabricio Rios"}],"issued":{"date-parts":[["2012"]]}}}],"schema":"https://github.com/citation-style-language/schema/raw/master/csl-citation.json"} </w:instrText>
      </w:r>
      <w:r w:rsidRPr="00AE5020">
        <w:rPr>
          <w:lang w:val="en-US"/>
        </w:rPr>
        <w:fldChar w:fldCharType="separate"/>
      </w:r>
      <w:r w:rsidR="00C01C95" w:rsidRPr="00C01C95">
        <w:rPr>
          <w:rFonts w:ascii="Calibri" w:cs="Calibri"/>
          <w:vertAlign w:val="superscript"/>
        </w:rPr>
        <w:t>45</w:t>
      </w:r>
      <w:r w:rsidRPr="00AE5020">
        <w:rPr>
          <w:lang w:val="en-US"/>
        </w:rPr>
        <w:fldChar w:fldCharType="end"/>
      </w:r>
      <w:r w:rsidRPr="00AE5020">
        <w:rPr>
          <w:lang w:val="en-US"/>
        </w:rPr>
        <w:t xml:space="preserve">. </w:t>
      </w:r>
      <w:r w:rsidRPr="00AE5020">
        <w:rPr>
          <w:i/>
          <w:iCs/>
          <w:lang w:val="en-US"/>
        </w:rPr>
        <w:t>NAT2</w:t>
      </w:r>
      <w:r w:rsidRPr="00AE5020">
        <w:rPr>
          <w:lang w:val="en-US"/>
        </w:rPr>
        <w:t xml:space="preserve"> is crucial for metabolism of drugs like isoniazid (for tuberculosis), sulfasalazine, and arylamine carcinogens. Populations dominated by slow-acetylator genotypes (e.g. the Matzes, or generally Europeans) are at higher risk of isoniazid-induced side effects and may require dose adjustments or closer monitoring. Conversely, fast-acetylator predominant groups could experience reduced drug efficacy. </w:t>
      </w:r>
    </w:p>
    <w:p w14:paraId="2E4053DA" w14:textId="77777777" w:rsidR="0020106F" w:rsidRPr="00AE5020" w:rsidRDefault="0020106F" w:rsidP="0020106F">
      <w:pPr>
        <w:jc w:val="both"/>
        <w:rPr>
          <w:lang w:val="en-US"/>
        </w:rPr>
      </w:pPr>
    </w:p>
    <w:p w14:paraId="7D7F91E1" w14:textId="7A21F828" w:rsidR="0020106F" w:rsidRDefault="0020106F" w:rsidP="0091087F">
      <w:pPr>
        <w:jc w:val="both"/>
        <w:rPr>
          <w:lang w:val="en-US"/>
        </w:rPr>
      </w:pPr>
      <w:bookmarkStart w:id="35" w:name="OLE_LINK51"/>
      <w:bookmarkStart w:id="36" w:name="OLE_LINK52"/>
      <w:r w:rsidRPr="00AE5020">
        <w:rPr>
          <w:lang w:val="en-US"/>
        </w:rPr>
        <w:t xml:space="preserve">The promoter polymorphism </w:t>
      </w:r>
      <w:r w:rsidRPr="00AE5020">
        <w:rPr>
          <w:iCs/>
          <w:lang w:val="en-US"/>
        </w:rPr>
        <w:t>UGT1A1</w:t>
      </w:r>
      <w:r w:rsidR="0091087F">
        <w:rPr>
          <w:rFonts w:ascii="Cambria Math" w:hAnsi="Cambria Math" w:cs="Cambria Math"/>
          <w:lang w:val="en-US"/>
        </w:rPr>
        <w:t>*</w:t>
      </w:r>
      <w:r w:rsidRPr="00AE5020">
        <w:rPr>
          <w:lang w:val="en-US"/>
        </w:rPr>
        <w:t xml:space="preserve">28 – a TA repeat insertion that reduces </w:t>
      </w:r>
      <w:r w:rsidRPr="0091087F">
        <w:rPr>
          <w:i/>
          <w:iCs/>
          <w:lang w:val="en-US"/>
        </w:rPr>
        <w:t>UGT1A1</w:t>
      </w:r>
      <w:r w:rsidRPr="00AE5020">
        <w:rPr>
          <w:lang w:val="en-US"/>
        </w:rPr>
        <w:t xml:space="preserve"> expression </w:t>
      </w:r>
      <w:bookmarkEnd w:id="35"/>
      <w:bookmarkEnd w:id="36"/>
      <w:r w:rsidRPr="00AE5020">
        <w:rPr>
          <w:lang w:val="en-US"/>
        </w:rPr>
        <w:fldChar w:fldCharType="begin"/>
      </w:r>
      <w:r w:rsidR="00C01C95">
        <w:rPr>
          <w:lang w:val="en-US"/>
        </w:rPr>
        <w:instrText xml:space="preserve"> ADDIN ZOTERO_ITEM CSL_CITATION {"citationID":"y3aXLJku","properties":{"formattedCitation":"\\super 46\\nosupersub{}","plainCitation":"46","noteIndex":0},"citationItems":[{"id":569,"uris":["http://zotero.org/users/16405780/items/5B2CQGG4"],"itemData":{"id":569,"type":"article-journal","abstract":"Background/Objectives\nGilbert's syndrome (GS) is a hereditary pathology that affects approximately 10% of the world's population. In most cases, GS is associated with the UGT1A1</w:instrText>
      </w:r>
      <w:r w:rsidR="00C01C95">
        <w:rPr>
          <w:rFonts w:ascii="Cambria Math" w:hAnsi="Cambria Math" w:cs="Cambria Math"/>
          <w:lang w:val="en-US"/>
        </w:rPr>
        <w:instrText>∗</w:instrText>
      </w:r>
      <w:r w:rsidR="00C01C95">
        <w:rPr>
          <w:lang w:val="en-US"/>
        </w:rPr>
        <w:instrText>28 polymorphism of UGT1A1 gene coding the enzyme bilirubin uridine diphosphate glucuronosyltransferase (UGT-1A) which plays a key role in the bilirubin metabolism. The presence of an additional TA repeat in the TATA box of the UGT1A1 gene promoter (the allelic variant of 7TA, abbreviated as UGT1A1</w:instrText>
      </w:r>
      <w:r w:rsidR="00C01C95">
        <w:rPr>
          <w:rFonts w:ascii="Cambria Math" w:hAnsi="Cambria Math" w:cs="Cambria Math"/>
          <w:lang w:val="en-US"/>
        </w:rPr>
        <w:instrText>∗</w:instrText>
      </w:r>
      <w:r w:rsidR="00C01C95">
        <w:rPr>
          <w:lang w:val="en-US"/>
        </w:rPr>
        <w:instrText xml:space="preserve">28) leads to a significant decrease in the enzymatic activity of UGT-1A in the liver and to decrease in glucuronidation process as a consequence. The aim of the study is to estimate the prevalence of the 6TA/6TA, 6TA/7TA, and 7TA/7TA genotypes of UGT1A1 promoter and to analyze the effect of these variants on bilirubin levels in healthy men in North-West Russia and patients with a clinical diagnosis of GS.\n\nMethods\nGenotyping of the UGT1A1 </w:instrText>
      </w:r>
      <w:r w:rsidR="00C01C95">
        <w:rPr>
          <w:rFonts w:ascii="Cambria Math" w:hAnsi="Cambria Math" w:cs="Cambria Math"/>
          <w:lang w:val="en-US"/>
        </w:rPr>
        <w:instrText>∗</w:instrText>
      </w:r>
      <w:r w:rsidR="00C01C95">
        <w:rPr>
          <w:lang w:val="en-US"/>
        </w:rPr>
        <w:instrText>28 (rs8175347) polymorphism was carried out by real-time PCR.\n\nResults\nThe results obtained indicate an increased probability of GS developing in residents of the North-West region of Russia compared with other representatives of the Caucasians.\n\nConclusions\nDespite the fact that the level of serum bilirubin increases with the rise in the number of additional TA dinucleotides in the UGT1A1 gene promoter tests of clinical manifestations only (jaundice, fatigue, sleep disturbances, nausea, belching, and so on) and increased bilirubin levels in patients with normal liver function do not allow unequivocally diagnose GS. UGT1A1</w:instrText>
      </w:r>
      <w:r w:rsidR="00C01C95">
        <w:rPr>
          <w:rFonts w:ascii="Cambria Math" w:hAnsi="Cambria Math" w:cs="Cambria Math"/>
          <w:lang w:val="en-US"/>
        </w:rPr>
        <w:instrText>∗</w:instrText>
      </w:r>
      <w:r w:rsidR="00C01C95">
        <w:rPr>
          <w:lang w:val="en-US"/>
        </w:rPr>
        <w:instrText>28 genotyping should be used as a prognostic risk factor for such pathology development.","container-title":"Journal of Clinical and Experimental Hepatology","DOI":"10.1016/j.jceh.2021.01.006","ISSN":"0973-6883","issue":"6","journalAbbreviation":"J Clin Exp Hepatol","note":"PMID: 34866848\nPMCID: PMC8617539","page":"691-699","source":"PubMed Central","title":"Gilbert's Syndrome, Bilirubin Level and UGT1A1</w:instrText>
      </w:r>
      <w:r w:rsidR="00C01C95">
        <w:rPr>
          <w:rFonts w:ascii="Cambria Math" w:hAnsi="Cambria Math" w:cs="Cambria Math"/>
          <w:lang w:val="en-US"/>
        </w:rPr>
        <w:instrText>∗</w:instrText>
      </w:r>
      <w:r w:rsidR="00C01C95">
        <w:rPr>
          <w:lang w:val="en-US"/>
        </w:rPr>
        <w:instrText xml:space="preserve">28 Genotype in Men of North-West Region of Russia","volume":"11","author":[{"family":"Ivanov","given":"Andrei"},{"family":"Semenova","given":"Elena"}],"issued":{"date-parts":[["2021"]]}}}],"schema":"https://github.com/citation-style-language/schema/raw/master/csl-citation.json"} </w:instrText>
      </w:r>
      <w:r w:rsidRPr="00AE5020">
        <w:rPr>
          <w:lang w:val="en-US"/>
        </w:rPr>
        <w:fldChar w:fldCharType="separate"/>
      </w:r>
      <w:r w:rsidR="00C01C95" w:rsidRPr="00C01C95">
        <w:rPr>
          <w:rFonts w:ascii="Calibri" w:cs="Calibri"/>
          <w:vertAlign w:val="superscript"/>
        </w:rPr>
        <w:t>46</w:t>
      </w:r>
      <w:r w:rsidRPr="00AE5020">
        <w:rPr>
          <w:lang w:val="en-US"/>
        </w:rPr>
        <w:fldChar w:fldCharType="end"/>
      </w:r>
      <w:r w:rsidRPr="00AE5020">
        <w:rPr>
          <w:lang w:val="en-US"/>
        </w:rPr>
        <w:t xml:space="preserve"> – showed significant frequency differences among the Peruvian populations (</w:t>
      </w:r>
      <w:r w:rsidRPr="00AE5020">
        <w:rPr>
          <w:i/>
          <w:iCs/>
          <w:lang w:val="en-US"/>
        </w:rPr>
        <w:t>p</w:t>
      </w:r>
      <w:r w:rsidRPr="00AE5020">
        <w:rPr>
          <w:lang w:val="en-US"/>
        </w:rPr>
        <w:t xml:space="preserve"> = 3.9×10⁻⁴). In some predominantly Indigenous groups, the *28 allele was relatively rare, whereas in mestizo groups with European/African admixture, *28 was much more common. </w:t>
      </w:r>
      <w:bookmarkStart w:id="37" w:name="OLE_LINK55"/>
      <w:bookmarkStart w:id="38" w:name="OLE_LINK56"/>
      <w:r w:rsidRPr="00AE5020">
        <w:rPr>
          <w:lang w:val="en-US"/>
        </w:rPr>
        <w:t xml:space="preserve">The </w:t>
      </w:r>
      <w:r w:rsidRPr="0091087F">
        <w:rPr>
          <w:i/>
          <w:lang w:val="en-US"/>
        </w:rPr>
        <w:t>UGT1A1</w:t>
      </w:r>
      <w:r w:rsidRPr="00AE5020">
        <w:rPr>
          <w:rFonts w:ascii="Cambria Math" w:hAnsi="Cambria Math" w:cs="Cambria Math"/>
          <w:lang w:val="en-US"/>
        </w:rPr>
        <w:t>∗</w:t>
      </w:r>
      <w:r w:rsidRPr="00AE5020">
        <w:rPr>
          <w:lang w:val="en-US"/>
        </w:rPr>
        <w:t xml:space="preserve">28 allele is </w:t>
      </w:r>
      <w:r w:rsidRPr="00AE5020">
        <w:rPr>
          <w:bCs/>
          <w:lang w:val="en-US"/>
        </w:rPr>
        <w:t>highly prevalent in African and European populations</w:t>
      </w:r>
      <w:r w:rsidRPr="00AE5020">
        <w:rPr>
          <w:lang w:val="en-US"/>
        </w:rPr>
        <w:t xml:space="preserve"> and </w:t>
      </w:r>
      <w:r w:rsidRPr="00AE5020">
        <w:rPr>
          <w:bCs/>
          <w:lang w:val="en-US"/>
        </w:rPr>
        <w:t>much less common in East Asians</w:t>
      </w:r>
      <w:bookmarkEnd w:id="37"/>
      <w:bookmarkEnd w:id="38"/>
      <w:r w:rsidRPr="00AE5020">
        <w:rPr>
          <w:bCs/>
          <w:lang w:val="en-US"/>
        </w:rPr>
        <w:t xml:space="preserve"> </w:t>
      </w:r>
      <w:r w:rsidRPr="00AE5020">
        <w:rPr>
          <w:bCs/>
          <w:lang w:val="en-US"/>
        </w:rPr>
        <w:fldChar w:fldCharType="begin"/>
      </w:r>
      <w:r w:rsidR="00C01C95">
        <w:rPr>
          <w:bCs/>
          <w:lang w:val="en-US"/>
        </w:rPr>
        <w:instrText xml:space="preserve"> ADDIN ZOTERO_ITEM CSL_CITATION {"citationID":"xCx0Wmze","properties":{"formattedCitation":"\\super 47\\nosupersub{}","plainCitation":"47","noteIndex":0},"citationItems":[{"id":601,"uris":["http://zotero.org/users/16405780/items/HJ5ZEDT7"],"itemData":{"id":601,"type":"article-journal","abstract":"Background\nPre-therapeutic UGT1A1 genotyping is not yet routinely performed in most hospitals in patients starting irinotecan chemotherapy. The aim of this position paper was to evaluate the available evidence and to assess the potential value of genotyping of UGT1A1</w:instrText>
      </w:r>
      <w:r w:rsidR="00C01C95">
        <w:rPr>
          <w:rFonts w:ascii="Cambria Math" w:hAnsi="Cambria Math" w:cs="Cambria Math"/>
          <w:bCs/>
          <w:lang w:val="en-US"/>
        </w:rPr>
        <w:instrText>∗</w:instrText>
      </w:r>
      <w:r w:rsidR="00C01C95">
        <w:rPr>
          <w:bCs/>
          <w:lang w:val="en-US"/>
        </w:rPr>
        <w:instrText xml:space="preserve">28 and UGT1A1*6 in patients before starting treatment with irinotecan to reduce the risk of severe toxicity.\nMethods\nThe literature was selected and assessed based on five pre-specified criteria: 1) the level of evidence for associations between UGT1A1 polymorphisms and irinotecan-induced severe toxicity, 2) clinical validity and utility of pre-therapeutic genotyping of UGT1A1, 3) safety and tolerability of irinotecan in carriers of UGT1A1 polymorphisms, 4) availability of specific dose recommendations for irinotecan in carriers of UGT1A1 polymorphisms, 5) evidence of cost benefits of pre-therapeutic genotyping of UGT1A1.\nResults\nOn all five criteria, study results were favourable for pre-therapeutic genotyping of UGT1A1. A high level of evidence (level I) was found for a higher incidence of irinotecan-induced severe toxicity in homozygous carriers of UGT1A1*28 or UGT1A1*6. The clinical validity and utility of this genetic test proved to be acceptable. Dose-finding studies showed a lower maximum tolerated dose in homozygous variant allele carriers, and most of the drug labels and guidelines recommend a dose reduction of 25–30% in these patients. In addition, pre-therapeutic genotyping of UGT1A1 is likely to save costs.\nConclusion\nPre-therapeutic genotyping of UGT1A1 in patients initiating treatment with irinotecan improves patient safety, is likely to be cost-saving, and should, therefore, become standard of care.","container-title":"European Journal of Cancer","DOI":"10.1016/j.ejca.2020.09.007","ISSN":"0959-8049","journalAbbreviation":"European Journal of Cancer","page":"9-20","source":"ScienceDirect","title":"Pre-therapeutic &lt;i&gt;UGT1A1&lt;/i&gt; genotyping to reduce the risk of irinotecan-induced severe toxicity: Ready for prime time","title-short":"Pre-therapeutic &lt;i&gt;UGT1A1&lt;/i&gt; genotyping to reduce the risk of irinotecan-induced severe toxicity","volume":"141","author":[{"family":"Hulshof","given":"Emma C."},{"family":"Deenen","given":"Maarten J."},{"family":"Guchelaar","given":"Henk-Jan"},{"family":"Gelderblom","given":"Hans"}],"issued":{"date-parts":[["2020",12,1]]}}}],"schema":"https://github.com/citation-style-language/schema/raw/master/csl-citation.json"} </w:instrText>
      </w:r>
      <w:r w:rsidRPr="00AE5020">
        <w:rPr>
          <w:bCs/>
          <w:lang w:val="en-US"/>
        </w:rPr>
        <w:fldChar w:fldCharType="separate"/>
      </w:r>
      <w:r w:rsidR="00C01C95" w:rsidRPr="00C01C95">
        <w:rPr>
          <w:rFonts w:ascii="Calibri" w:cs="Calibri"/>
          <w:vertAlign w:val="superscript"/>
        </w:rPr>
        <w:t>47</w:t>
      </w:r>
      <w:r w:rsidRPr="00AE5020">
        <w:rPr>
          <w:bCs/>
          <w:lang w:val="en-US"/>
        </w:rPr>
        <w:fldChar w:fldCharType="end"/>
      </w:r>
      <w:r w:rsidRPr="00AE5020">
        <w:rPr>
          <w:lang w:val="en-US"/>
        </w:rPr>
        <w:t xml:space="preserve">​. For example, the *28 allele frequency is ~39% in Europeans and ~45% in sub-Saharan Africans, but only ~10% (range 8–15%) in East Asians </w:t>
      </w:r>
      <w:r w:rsidRPr="00AE5020">
        <w:rPr>
          <w:lang w:val="en-US"/>
        </w:rPr>
        <w:fldChar w:fldCharType="begin"/>
      </w:r>
      <w:r w:rsidR="00C01C95">
        <w:rPr>
          <w:lang w:val="en-US"/>
        </w:rPr>
        <w:instrText xml:space="preserve"> ADDIN ZOTERO_ITEM CSL_CITATION {"citationID":"8KOtHSEq","properties":{"formattedCitation":"\\super 48\\uc0\\u8211{}50\\nosupersub{}","plainCitation":"48–50","noteIndex":0},"citationItems":[{"id":567,"uris":["http://zotero.org/users/16405780/items/DJUQHZBL"],"itemData":{"id":567,"type":"article-journal","abstract":"Thirteen single nucleotide polymorphisms (SNPs), including 6 novel ones, were found in exon 1 and its flanking region of UDP-glucuronosyltransferase (UGT) 1A6 from 195 Japanese subjects. Several novel SNPs were identified, including 269G&gt;A (R90H), 279A&gt;G (S93S), and 308C&gt;A (S103X) in exon 1, and IVS1+109C&gt;T, IVS1+120A&gt;G, and IVS1+142C&gt;T in the intron downstream of exon 1. Among these SNPs, 308C&gt;A confers termination of translation at codon 103, resulting in the production of an immature protein that probably lacks enzymatic activity. The allele frequencies were 0.003 for all the 6 SNPs. In addition, the 3 known nonsynonymous SNPs were detected: 19T&gt;G (S7A), 541A&gt;G (T181A), and 552A&gt;C (R184S) with frequencies of 0.226, 0.218, and 0.226, respectively. High linkage disequilibrium was observed among 19T&gt;G (S7A), 315A&gt;G (L105L), 541A&gt;G (T181A), 552A&gt;C (R184S), and IVS1+130G&gt;T, as reported in Caucasian and African-American populations. Then, 11 haplotypes in UGT1A6 were estimated. The novel nonsynonymous variant, 269A or 308A, was shown to be located on the same DNA strand together with 19G, 315G, 541G, 552C, and IVS1+130T. Our results provide fundamental and useful information for genotyping UGT1A6 in the Japanese, and probably Asian populations.","container-title":"Drug Metabolism and Pharmacokinetics","DOI":"10.2133/dmpk.20.85","ISSN":"1347-4367","issue":"1","journalAbbreviation":"Drug Metab Pharmacokinet","language":"eng","note":"PMID: 15770079","page":"85-90","source":"PubMed","title":"Genetic polymorphisms of UGT1A6 in a Japanese population","volume":"20","author":[{"family":"Saeki","given":"Mayumi"},{"family":"Saito","given":"Yoshiro"},{"family":"Jinno","given":"Hideto"},{"family":"Sai","given":"Kimie"},{"family":"Kaniwa","given":"Nahoko"},{"family":"Ozawa","given":"Shogo"},{"family":"Komamura","given":"Kazuo"},{"family":"Kotake","given":"Takeshi"},{"family":"Morishita","given":"Hideki"},{"family":"Kamakura","given":"Shiro"},{"family":"Kitakaze","given":"Masafumi"},{"family":"Tomoike","given":"Hitonobu"},{"family":"Shirao","given":"Kuniaki"},{"family":"Minami","given":"Hironobu"},{"family":"Ohtsu","given":"Atsushi"},{"family":"Yoshida","given":"Teruhiko"},{"family":"Saijo","given":"Nagahiro"},{"family":"Kamatani","given":"Naoyuki"},{"family":"Sawada","given":"Jun-ichi"}],"issued":{"date-parts":[["2005",2]]}}},{"id":566,"uris":["http://zotero.org/users/16405780/items/TD5FCZUQ"],"itemData":{"id":566,"type":"article-journal","abstract":"The UGT1A1*28 polymorphism is known to correlate with altered clearance of bilirubin (Gilbert syndrome) and drugs such as 7-ethyl-10-[4-(1-piperidino)-1-piperidino] carbonyloxy camptothecin (CPT-11). Although this polymorphism is clinically relevant and leads to significant drug-related toxicity of CPT-11, in vitro tools to allow prediction of how it will affect the clearance of new chemical entities have not been completely developed. To allow a more complete assessment of whether new chemical entities will be affected by the UGT1A1*28 polymorphism, a panel of microsomes was prepared from 15 donor livers genotyped as UGT1A1*1/*1, UGT1A1*1/*28, and UGT1A1*28/*28 (five donors per genotype). The microsomes were phenotyped by measuring activities of a panel of substrates, both those reported to be conjugated specifically by UGT1A1 or by other UDP glucuronosyltransferase enzymes. Bilirubin, estradiol (3-OH), ethinyl estradiol (3-OH), and 7-ethyl-10-hydroxycamptothecin (SN-38) were found to show significantly lower rates of metabolism in the UGT1A1*28/*28 microsomes with no change in K(m) values. In addition, microsomes genotyped as UGT1A1*1/*28 showed intermediate rates of metabolism. Acetaminophen, 3'-azido-3'-deoxythymidine, muraglitazar, estradiol (17-OH), and ethinyl estradiol (17-OH) were all found to show similar rates of metabolism regardless of UGT1A1 genotype. Interestingly, muraglitazar (UGT1A3 substrate) showed an inverse correlation with glucuronidation of UGT1A1 substrates. These genotyped microsomes should provide a useful tool to allow a more comprehensive prediction of UGT1A1 metabolism of a new drug and gain insight into the effect of the UGT1A1*28 polymorphism.","container-title":"Drug Metabolism and Disposition: The Biological Fate of Chemicals","DOI":"10.1124/dmd.107.017806","ISSN":"0090-9556","issue":"12","journalAbbreviation":"Drug Metab Dispos","language":"eng","note":"PMID: 17898154","page":"2270-2280","source":"PubMed","title":"Characterization of the UDP glucuronosyltransferase activity of human liver microsomes genotyped for the UGT1A1*28 polymorphism","volume":"35","author":[{"family":"Zhang","given":"Donglu"},{"family":"Zhang","given":"Duxi"},{"family":"Cui","given":"Dan"},{"family":"Gambardella","given":"Janice"},{"family":"Ma","given":"Li"},{"family":"Barros","given":"Anthony"},{"family":"Wang","given":"Lifei"},{"family":"Fu","given":"Yunlin"},{"family":"Rahematpura","given":"Sandhya"},{"family":"Nielsen","given":"Julia"},{"family":"Donegan","given":"Michael"},{"family":"Zhang","given":"Hongjian"},{"family":"Humphreys","given":"W. Griffith"}],"issued":{"date-parts":[["2007",12]]}}},{"id":565,"uris":["http://zotero.org/users/16405780/items/S8Z9UVZG"],"itemData":{"id":565,"type":"article-journal","abstract":"7-Ethyl-10-hydroxycamptothecin (SN-38) is the pharmacologically active metabolite of irinotecan, in addition to being responsible for severe toxicity. Glucuronidation is the main metabolic pathway of SN-38 and has been shown to protect against irinotecan-induced gastrointestinal toxicity. The purpose of this study was to determine whether common polymorphic UDP-glucuronosyltransferase (UGT) affects SN-38 glucuronidation. First, kinetic characterization of SN-38-glucuronide (SN-38-G) formation was assessed for all known human UGT1A and UGT2B overexpressed in human embryonic kidney 293 cells. To assess the relative activity of UGT isoenzymes for SN-38, rates of formation of SN-38-G were monitored by liquid chromatography/mass spectrometry analysis and normalized by level of UGT cellular expression. Determination of intrinsic clearances predicts that hepatic UGT1A1 and UGT1A9 and the extrahepatic UGT1A7 are major components in SN-38-G formation, whereas a minor role is suggested for UGT1A6, UGT1A8, and UGT1A10. In support of the involvement of UGT1A9, a strong coefficient of correlation was observed in the glucuronidation of SN-38 and a substrate, mainly glucuronidate, by UGT1A9 (flavopiridol) by human liver microsomes (coefficient of correlation, 0.905; p = 0.002). In vitro functional experiments revealed a negative impact of the UGT1A1 allelic variants. Residual activities of 49, 7, 8, and 11% were observed for UGT1A1*6 (G(71)R), UGT1A1*27 (P(229)Q), UGT1A1*35 (L(233)R), and UGT1A1*7 (Y(486)D), respectively. Common variants of UGT1A7, UGT1A7*3 (N(129)K;R(131)K;W(208)R), and UGT1A7*4 (W(208)R), displayed residual activities of 41 and 28% compared with the UGT1A7*1 allele. Taken together, these data provide the evidence that molecular determinants of irinotecan response may include the UGT1A polymorphisms studied herein and common genetic variants of the hepatic UGT1A9 isoenzyme yet to be described.","container-title":"Molecular Pharmacology","DOI":"10.1124/mol.62.3.608","ISSN":"0026-895X","issue":"3","journalAbbreviation":"Mol Pharmacol","language":"eng","note":"PMID: 12181437","page":"608-617","source":"PubMed","title":"Common human UGT1A polymorphisms and the altered metabolism of irinotecan active metabolite 7-ethyl-10-hydroxycamptothecin (SN-38)","volume":"62","author":[{"family":"Gagné","given":"Jean-François"},{"family":"Montminy","given":"Valerie"},{"family":"Belanger","given":"Patrick"},{"family":"Journault","given":"Kim"},{"family":"Gaucher","given":"Genevieve"},{"family":"Guillemette","given":"Chantal"}],"issued":{"date-parts":[["2002",9]]}}}],"schema":"https://github.com/citation-style-language/schema/raw/master/csl-citation.json"} </w:instrText>
      </w:r>
      <w:r w:rsidRPr="00AE5020">
        <w:rPr>
          <w:lang w:val="en-US"/>
        </w:rPr>
        <w:fldChar w:fldCharType="separate"/>
      </w:r>
      <w:r w:rsidR="00C01C95" w:rsidRPr="00C01C95">
        <w:rPr>
          <w:rFonts w:ascii="Calibri" w:cs="Calibri"/>
          <w:vertAlign w:val="superscript"/>
        </w:rPr>
        <w:t>48–50</w:t>
      </w:r>
      <w:r w:rsidRPr="00AE5020">
        <w:rPr>
          <w:lang w:val="en-US"/>
        </w:rPr>
        <w:fldChar w:fldCharType="end"/>
      </w:r>
      <w:r w:rsidRPr="00AE5020">
        <w:rPr>
          <w:lang w:val="en-US"/>
        </w:rPr>
        <w:t xml:space="preserve">​. Many admixed Latino populations have intermediate frequencies: for instance, Caribbean Hispanics (with mixed African-European ancestry) have quite high *28 rates, whereas Indigenous Americans (with East-Asian roots) have very low *28 ​ </w:t>
      </w:r>
      <w:r w:rsidRPr="00AE5020">
        <w:rPr>
          <w:lang w:val="en-US"/>
        </w:rPr>
        <w:fldChar w:fldCharType="begin"/>
      </w:r>
      <w:r w:rsidR="00C01C95">
        <w:rPr>
          <w:lang w:val="en-US"/>
        </w:rPr>
        <w:instrText xml:space="preserve"> ADDIN ZOTERO_ITEM CSL_CITATION {"citationID":"8QC7isUp","properties":{"formattedCitation":"\\super 50,51\\nosupersub{}","plainCitation":"50,51","noteIndex":0},"citationItems":[{"id":565,"uris":["http://zotero.org/users/16405780/items/S8Z9UVZG"],"itemData":{"id":565,"type":"article-journal","abstract":"7-Ethyl-10-hydroxycamptothecin (SN-38) is the pharmacologically active metabolite of irinotecan, in addition to being responsible for severe toxicity. Glucuronidation is the main metabolic pathway of SN-38 and has been shown to protect against irinotecan-induced gastrointestinal toxicity. The purpose of this study was to determine whether common polymorphic UDP-glucuronosyltransferase (UGT) affects SN-38 glucuronidation. First, kinetic characterization of SN-38-glucuronide (SN-38-G) formation was assessed for all known human UGT1A and UGT2B overexpressed in human embryonic kidney 293 cells. To assess the relative activity of UGT isoenzymes for SN-38, rates of formation of SN-38-G were monitored by liquid chromatography/mass spectrometry analysis and normalized by level of UGT cellular expression. Determination of intrinsic clearances predicts that hepatic UGT1A1 and UGT1A9 and the extrahepatic UGT1A7 are major components in SN-38-G formation, whereas a minor role is suggested for UGT1A6, UGT1A8, and UGT1A10. In support of the involvement of UGT1A9, a strong coefficient of correlation was observed in the glucuronidation of SN-38 and a substrate, mainly glucuronidate, by UGT1A9 (flavopiridol) by human liver microsomes (coefficient of correlation, 0.905; p = 0.002). In vitro functional experiments revealed a negative impact of the UGT1A1 allelic variants. Residual activities of 49, 7, 8, and 11% were observed for UGT1A1*6 (G(71)R), UGT1A1*27 (P(229)Q), UGT1A1*35 (L(233)R), and UGT1A1*7 (Y(486)D), respectively. Common variants of UGT1A7, UGT1A7*3 (N(129)K;R(131)K;W(208)R), and UGT1A7*4 (W(208)R), displayed residual activities of 41 and 28% compared with the UGT1A7*1 allele. Taken together, these data provide the evidence that molecular determinants of irinotecan response may include the UGT1A polymorphisms studied herein and common genetic variants of the hepatic UGT1A9 isoenzyme yet to be described.","container-title":"Molecular Pharmacology","DOI":"10.1124/mol.62.3.608","ISSN":"0026-895X","issue":"3","journalAbbreviation":"Mol Pharmacol","language":"eng","note":"PMID: 12181437","page":"608-617","source":"PubMed","title":"Common human UGT1A polymorphisms and the altered metabolism of irinotecan active metabolite 7-ethyl-10-hydroxycamptothecin (SN-38)","volume":"62","author":[{"family":"Gagné","given":"Jean-François"},{"family":"Montminy","given":"Valerie"},{"family":"Belanger","given":"Patrick"},{"family":"Journault","given":"Kim"},{"family":"Gaucher","given":"Genevieve"},{"family":"Guillemette","given":"Chantal"}],"issued":{"date-parts":[["2002",9]]}}},{"id":568,"uris":["http://zotero.org/users/16405780/items/JDZ6GA7Z"],"itemData":{"id":568,"type":"article-journal","abstract":"Over the past decade, the number of pharmacogenetic tests has increased considerably, allowing for the development of our knowledge of their clinical application. The uridine diphosphate glucuronosyltransferase 1A1 gene (UGT1A1) assay is an example of a pharmacogenetic test. Numerous variants have been found in UGT1A1, the main conjugating enzyme of bilirubin and drugs such as the anticancer drug irinotecan. Recently, the US Food and Drug Administration (FDA) recommended testing for the presence of UGT1A1*28, an allele correlated with decreased transcriptional activity, to predict patients at risk of irinotecan toxicity. The administration of other drugs -- such as inhibitors of the UGT1A1 enzyme -- can clinically mimic the *28 phenotype, whereas inducers of UGT1A1 can increase the glucuronidation rate of the enzyme. The *28 polymorphism is not present in all ethnicities at a similar frequency, which suggests that it is important to study different populations to determine the clinical relevance of testing for UGT1A1*28 and to identify other clinically relevant UGT1A1 variants. Environmental factors such as lifestyle can also affect UGT1A1 activity. This review is a critical analysis of studies on drugs that can be affected by the presence of UGT1A1*28, the distribution of this polymorphism around the globe, distinct variants that may be clinically significant in African and Asian populations and how lifestyle can affect treatment outcomes that depend on UGT1A1 activity.","container-title":"Human Genomics","DOI":"10.1186/1479-7364-4-4-238","ISSN":"1473-9542","issue":"4","journalAbbreviation":"Hum Genomics","note":"PMID: 20511137\nPMCID: PMC3525209","page":"238-249","source":"PubMed Central","title":"The clinical application of UGT1A1 pharmacogenetic testing: Gene-environment interactions","title-short":"The clinical application of UGT1A1 pharmacogenetic testing","volume":"4","author":[{"family":"Marques","given":"Sara Correia"},{"family":"Ikediobi","given":"Ogechi N"}],"issued":{"date-parts":[["2010",4,1]]}}}],"schema":"https://github.com/citation-style-language/schema/raw/master/csl-citation.json"} </w:instrText>
      </w:r>
      <w:r w:rsidRPr="00AE5020">
        <w:rPr>
          <w:lang w:val="en-US"/>
        </w:rPr>
        <w:fldChar w:fldCharType="separate"/>
      </w:r>
      <w:r w:rsidR="00C01C95" w:rsidRPr="00C01C95">
        <w:rPr>
          <w:rFonts w:ascii="Calibri" w:cs="Calibri"/>
          <w:vertAlign w:val="superscript"/>
        </w:rPr>
        <w:t>50,51</w:t>
      </w:r>
      <w:r w:rsidRPr="00AE5020">
        <w:rPr>
          <w:lang w:val="en-US"/>
        </w:rPr>
        <w:fldChar w:fldCharType="end"/>
      </w:r>
      <w:r w:rsidRPr="00AE5020">
        <w:rPr>
          <w:lang w:val="en-US"/>
        </w:rPr>
        <w:t xml:space="preserve">. A study in Brazil illustrates this: </w:t>
      </w:r>
      <w:r w:rsidRPr="0091087F">
        <w:rPr>
          <w:i/>
          <w:lang w:val="en-US"/>
        </w:rPr>
        <w:t>UGT1A1</w:t>
      </w:r>
      <w:r w:rsidRPr="00AE5020">
        <w:rPr>
          <w:rFonts w:ascii="Cambria Math" w:hAnsi="Cambria Math" w:cs="Cambria Math"/>
          <w:lang w:val="en-US"/>
        </w:rPr>
        <w:t>∗</w:t>
      </w:r>
      <w:r w:rsidRPr="00AE5020">
        <w:rPr>
          <w:lang w:val="en-US"/>
        </w:rPr>
        <w:t>28 homozygosity was ~3% in an Amazonian indigenous tribe (</w:t>
      </w:r>
      <w:proofErr w:type="spellStart"/>
      <w:r w:rsidRPr="00AE5020">
        <w:rPr>
          <w:lang w:val="en-US"/>
        </w:rPr>
        <w:t>Parakanã</w:t>
      </w:r>
      <w:proofErr w:type="spellEnd"/>
      <w:r w:rsidRPr="00AE5020">
        <w:rPr>
          <w:lang w:val="en-US"/>
        </w:rPr>
        <w:t xml:space="preserve">), versus ~10–17% in Brazilians of European or African descent​ </w:t>
      </w:r>
      <w:r w:rsidRPr="00AE5020">
        <w:rPr>
          <w:lang w:val="en-US"/>
        </w:rPr>
        <w:fldChar w:fldCharType="begin"/>
      </w:r>
      <w:r w:rsidR="00C01C95">
        <w:rPr>
          <w:lang w:val="en-US"/>
        </w:rPr>
        <w:instrText xml:space="preserve"> ADDIN ZOTERO_ITEM CSL_CITATION {"citationID":"XeJ0yPcz","properties":{"formattedCitation":"\\super 50,51\\nosupersub{}","plainCitation":"50,51","noteIndex":0},"citationItems":[{"id":565,"uris":["http://zotero.org/users/16405780/items/S8Z9UVZG"],"itemData":{"id":565,"type":"article-journal","abstract":"7-Ethyl-10-hydroxycamptothecin (SN-38) is the pharmacologically active metabolite of irinotecan, in addition to being responsible for severe toxicity. Glucuronidation is the main metabolic pathway of SN-38 and has been shown to protect against irinotecan-induced gastrointestinal toxicity. The purpose of this study was to determine whether common polymorphic UDP-glucuronosyltransferase (UGT) affects SN-38 glucuronidation. First, kinetic characterization of SN-38-glucuronide (SN-38-G) formation was assessed for all known human UGT1A and UGT2B overexpressed in human embryonic kidney 293 cells. To assess the relative activity of UGT isoenzymes for SN-38, rates of formation of SN-38-G were monitored by liquid chromatography/mass spectrometry analysis and normalized by level of UGT cellular expression. Determination of intrinsic clearances predicts that hepatic UGT1A1 and UGT1A9 and the extrahepatic UGT1A7 are major components in SN-38-G formation, whereas a minor role is suggested for UGT1A6, UGT1A8, and UGT1A10. In support of the involvement of UGT1A9, a strong coefficient of correlation was observed in the glucuronidation of SN-38 and a substrate, mainly glucuronidate, by UGT1A9 (flavopiridol) by human liver microsomes (coefficient of correlation, 0.905; p = 0.002). In vitro functional experiments revealed a negative impact of the UGT1A1 allelic variants. Residual activities of 49, 7, 8, and 11% were observed for UGT1A1*6 (G(71)R), UGT1A1*27 (P(229)Q), UGT1A1*35 (L(233)R), and UGT1A1*7 (Y(486)D), respectively. Common variants of UGT1A7, UGT1A7*3 (N(129)K;R(131)K;W(208)R), and UGT1A7*4 (W(208)R), displayed residual activities of 41 and 28% compared with the UGT1A7*1 allele. Taken together, these data provide the evidence that molecular determinants of irinotecan response may include the UGT1A polymorphisms studied herein and common genetic variants of the hepatic UGT1A9 isoenzyme yet to be described.","container-title":"Molecular Pharmacology","DOI":"10.1124/mol.62.3.608","ISSN":"0026-895X","issue":"3","journalAbbreviation":"Mol Pharmacol","language":"eng","note":"PMID: 12181437","page":"608-617","source":"PubMed","title":"Common human UGT1A polymorphisms and the altered metabolism of irinotecan active metabolite 7-ethyl-10-hydroxycamptothecin (SN-38)","volume":"62","author":[{"family":"Gagné","given":"Jean-François"},{"family":"Montminy","given":"Valerie"},{"family":"Belanger","given":"Patrick"},{"family":"Journault","given":"Kim"},{"family":"Gaucher","given":"Genevieve"},{"family":"Guillemette","given":"Chantal"}],"issued":{"date-parts":[["2002",9]]}}},{"id":568,"uris":["http://zotero.org/users/16405780/items/JDZ6GA7Z"],"itemData":{"id":568,"type":"article-journal","abstract":"Over the past decade, the number of pharmacogenetic tests has increased considerably, allowing for the development of our knowledge of their clinical application. The uridine diphosphate glucuronosyltransferase 1A1 gene (UGT1A1) assay is an example of a pharmacogenetic test. Numerous variants have been found in UGT1A1, the main conjugating enzyme of bilirubin and drugs such as the anticancer drug irinotecan. Recently, the US Food and Drug Administration (FDA) recommended testing for the presence of UGT1A1*28, an allele correlated with decreased transcriptional activity, to predict patients at risk of irinotecan toxicity. The administration of other drugs -- such as inhibitors of the UGT1A1 enzyme -- can clinically mimic the *28 phenotype, whereas inducers of UGT1A1 can increase the glucuronidation rate of the enzyme. The *28 polymorphism is not present in all ethnicities at a similar frequency, which suggests that it is important to study different populations to determine the clinical relevance of testing for UGT1A1*28 and to identify other clinically relevant UGT1A1 variants. Environmental factors such as lifestyle can also affect UGT1A1 activity. This review is a critical analysis of studies on drugs that can be affected by the presence of UGT1A1*28, the distribution of this polymorphism around the globe, distinct variants that may be clinically significant in African and Asian populations and how lifestyle can affect treatment outcomes that depend on UGT1A1 activity.","container-title":"Human Genomics","DOI":"10.1186/1479-7364-4-4-238","ISSN":"1473-9542","issue":"4","journalAbbreviation":"Hum Genomics","note":"PMID: 20511137\nPMCID: PMC3525209","page":"238-249","source":"PubMed Central","title":"The clinical application of UGT1A1 pharmacogenetic testing: Gene-environment interactions","title-short":"The clinical application of UGT1A1 pharmacogenetic testing","volume":"4","author":[{"family":"Marques","given":"Sara Correia"},{"family":"Ikediobi","given":"Ogechi N"}],"issued":{"date-parts":[["2010",4,1]]}}}],"schema":"https://github.com/citation-style-language/schema/raw/master/csl-citation.json"} </w:instrText>
      </w:r>
      <w:r w:rsidRPr="00AE5020">
        <w:rPr>
          <w:lang w:val="en-US"/>
        </w:rPr>
        <w:fldChar w:fldCharType="separate"/>
      </w:r>
      <w:r w:rsidR="00C01C95" w:rsidRPr="00C01C95">
        <w:rPr>
          <w:rFonts w:ascii="Calibri" w:cs="Calibri"/>
          <w:vertAlign w:val="superscript"/>
        </w:rPr>
        <w:t>50,51</w:t>
      </w:r>
      <w:r w:rsidRPr="00AE5020">
        <w:rPr>
          <w:lang w:val="en-US"/>
        </w:rPr>
        <w:fldChar w:fldCharType="end"/>
      </w:r>
      <w:r w:rsidRPr="00AE5020">
        <w:rPr>
          <w:lang w:val="en-US"/>
        </w:rPr>
        <w:t xml:space="preserve">. Our Peruvian data recapitulate this spectrum. The mostly Indigenous high-altitude and jungle groups (related to East Asians) have a low </w:t>
      </w:r>
      <w:r w:rsidR="0091087F">
        <w:rPr>
          <w:rFonts w:ascii="Cambria Math" w:hAnsi="Cambria Math" w:cs="Cambria Math"/>
          <w:iCs/>
          <w:lang w:val="en-US"/>
        </w:rPr>
        <w:t>*</w:t>
      </w:r>
      <w:r w:rsidRPr="00AE5020">
        <w:rPr>
          <w:iCs/>
          <w:lang w:val="en-US"/>
        </w:rPr>
        <w:t xml:space="preserve">28 frequency – some had virtually no individuals with two </w:t>
      </w:r>
      <w:r w:rsidR="0091087F">
        <w:rPr>
          <w:rFonts w:ascii="Cambria Math" w:hAnsi="Cambria Math" w:cs="Cambria Math"/>
          <w:iCs/>
          <w:lang w:val="en-US"/>
        </w:rPr>
        <w:t>*</w:t>
      </w:r>
      <w:r w:rsidRPr="00AE5020">
        <w:rPr>
          <w:iCs/>
          <w:lang w:val="en-US"/>
        </w:rPr>
        <w:t xml:space="preserve">28 alleles, mirroring East Asia and </w:t>
      </w:r>
      <w:r w:rsidR="0091087F">
        <w:rPr>
          <w:iCs/>
          <w:lang w:val="en-US"/>
        </w:rPr>
        <w:t>Indigenous</w:t>
      </w:r>
      <w:r w:rsidRPr="00AE5020">
        <w:rPr>
          <w:iCs/>
          <w:lang w:val="en-US"/>
        </w:rPr>
        <w:t xml:space="preserve"> tribes​</w:t>
      </w:r>
      <w:r w:rsidRPr="00AE5020">
        <w:rPr>
          <w:lang w:val="en-US"/>
        </w:rPr>
        <w:t xml:space="preserve"> </w:t>
      </w:r>
      <w:r w:rsidRPr="00AE5020">
        <w:rPr>
          <w:lang w:val="en-US"/>
        </w:rPr>
        <w:fldChar w:fldCharType="begin"/>
      </w:r>
      <w:r w:rsidR="00C01C95">
        <w:rPr>
          <w:lang w:val="en-US"/>
        </w:rPr>
        <w:instrText xml:space="preserve"> ADDIN ZOTERO_ITEM CSL_CITATION {"citationID":"tdA4v0xF","properties":{"formattedCitation":"\\super 51\\nosupersub{}","plainCitation":"51","noteIndex":0},"citationItems":[{"id":568,"uris":["http://zotero.org/users/16405780/items/JDZ6GA7Z"],"itemData":{"id":568,"type":"article-journal","abstract":"Over the past decade, the number of pharmacogenetic tests has increased considerably, allowing for the development of our knowledge of their clinical application. The uridine diphosphate glucuronosyltransferase 1A1 gene (UGT1A1) assay is an example of a pharmacogenetic test. Numerous variants have been found in UGT1A1, the main conjugating enzyme of bilirubin and drugs such as the anticancer drug irinotecan. Recently, the US Food and Drug Administration (FDA) recommended testing for the presence of UGT1A1*28, an allele correlated with decreased transcriptional activity, to predict patients at risk of irinotecan toxicity. The administration of other drugs -- such as inhibitors of the UGT1A1 enzyme -- can clinically mimic the *28 phenotype, whereas inducers of UGT1A1 can increase the glucuronidation rate of the enzyme. The *28 polymorphism is not present in all ethnicities at a similar frequency, which suggests that it is important to study different populations to determine the clinical relevance of testing for UGT1A1*28 and to identify other clinically relevant UGT1A1 variants. Environmental factors such as lifestyle can also affect UGT1A1 activity. This review is a critical analysis of studies on drugs that can be affected by the presence of UGT1A1*28, the distribution of this polymorphism around the globe, distinct variants that may be clinically significant in African and Asian populations and how lifestyle can affect treatment outcomes that depend on UGT1A1 activity.","container-title":"Human Genomics","DOI":"10.1186/1479-7364-4-4-238","ISSN":"1473-9542","issue":"4","journalAbbreviation":"Hum Genomics","note":"PMID: 20511137\nPMCID: PMC3525209","page":"238-249","source":"PubMed Central","title":"The clinical application of UGT1A1 pharmacogenetic testing: Gene-environment interactions","title-short":"The clinical application of UGT1A1 pharmacogenetic testing","volume":"4","author":[{"family":"Marques","given":"Sara Correia"},{"family":"Ikediobi","given":"Ogechi N"}],"issued":{"date-parts":[["2010",4,1]]}}}],"schema":"https://github.com/citation-style-language/schema/raw/master/csl-citation.json"} </w:instrText>
      </w:r>
      <w:r w:rsidRPr="00AE5020">
        <w:rPr>
          <w:lang w:val="en-US"/>
        </w:rPr>
        <w:fldChar w:fldCharType="separate"/>
      </w:r>
      <w:r w:rsidR="00C01C95" w:rsidRPr="00C01C95">
        <w:rPr>
          <w:rFonts w:ascii="Calibri" w:cs="Calibri"/>
          <w:vertAlign w:val="superscript"/>
        </w:rPr>
        <w:t>51</w:t>
      </w:r>
      <w:r w:rsidRPr="00AE5020">
        <w:rPr>
          <w:lang w:val="en-US"/>
        </w:rPr>
        <w:fldChar w:fldCharType="end"/>
      </w:r>
      <w:r w:rsidRPr="00AE5020">
        <w:rPr>
          <w:iCs/>
          <w:lang w:val="en-US"/>
        </w:rPr>
        <w:t xml:space="preserve">. On the other hand, coastal urban groups (with more European/African input) approach the higher frequencies seen in Iberian or African populations. This indicates indigenous heritage contributes the normal function predominance, while European/African heritage brings in the </w:t>
      </w:r>
      <w:r w:rsidRPr="00AE5020">
        <w:rPr>
          <w:rFonts w:ascii="Cambria Math" w:hAnsi="Cambria Math" w:cs="Cambria Math"/>
          <w:iCs/>
          <w:lang w:val="en-US"/>
        </w:rPr>
        <w:t>*</w:t>
      </w:r>
      <w:r w:rsidRPr="00AE5020">
        <w:rPr>
          <w:iCs/>
          <w:lang w:val="en-US"/>
        </w:rPr>
        <w:t>28</w:t>
      </w:r>
      <w:r w:rsidR="0091087F">
        <w:rPr>
          <w:lang w:val="en-US"/>
        </w:rPr>
        <w:t xml:space="preserve"> allele</w:t>
      </w:r>
      <w:r w:rsidRPr="00AE5020">
        <w:rPr>
          <w:lang w:val="en-US"/>
        </w:rPr>
        <w:t xml:space="preserve">. </w:t>
      </w:r>
    </w:p>
    <w:p w14:paraId="068FE57C" w14:textId="77777777" w:rsidR="007D7472" w:rsidRPr="0091087F" w:rsidRDefault="007D7472" w:rsidP="0091087F">
      <w:pPr>
        <w:pStyle w:val="Heading1"/>
      </w:pPr>
      <w:r w:rsidRPr="0091087F">
        <w:t>Gene Enrichment Analysis</w:t>
      </w:r>
    </w:p>
    <w:p w14:paraId="59637E2B" w14:textId="79B5D352" w:rsidR="007D7472" w:rsidRPr="00AE5020" w:rsidRDefault="007D7472" w:rsidP="007D7472">
      <w:pPr>
        <w:jc w:val="both"/>
        <w:rPr>
          <w:lang w:val="en-US"/>
        </w:rPr>
      </w:pPr>
      <w:r w:rsidRPr="00AE5020">
        <w:rPr>
          <w:lang w:val="en-US"/>
        </w:rPr>
        <w:t xml:space="preserve">To determine whether particular pathways or biological processes were overrepresented among the high‐impact variants identified in our Peruvian genomes, we performed </w:t>
      </w:r>
      <w:r w:rsidRPr="00AE5020">
        <w:rPr>
          <w:bCs/>
          <w:lang w:val="en-US"/>
        </w:rPr>
        <w:t xml:space="preserve">gene‐level enrichment analysis using DAVID </w:t>
      </w:r>
      <w:r w:rsidRPr="00AE5020">
        <w:rPr>
          <w:bCs/>
          <w:lang w:val="en-US"/>
        </w:rPr>
        <w:fldChar w:fldCharType="begin"/>
      </w:r>
      <w:r w:rsidR="00C01C95">
        <w:rPr>
          <w:bCs/>
          <w:lang w:val="en-US"/>
        </w:rPr>
        <w:instrText xml:space="preserve"> ADDIN ZOTERO_ITEM CSL_CITATION {"citationID":"8HS8J6Ho","properties":{"formattedCitation":"\\super 52\\nosupersub{}","plainCitation":"52","noteIndex":0},"citationItems":[{"id":544,"uris":["http://zotero.org/users/16405780/items/97Y5X3UD"],"itemData":{"id":544,"type":"article-journal","abstract":"DAVID is a popular bioinformatics resource system including a web server and web service for functional annotation and enrichment analyses of gene lists. It consists of a comprehensive knowledgebase and a set of functional analysis tools. Here, we report all updates made in 2021. The DAVID Gene system was rebuilt to gain coverage of more organisms, which increased the taxonomy coverage from 17 399 to 55 464. All existing annotation types have been updated, if available, based on the new DAVID Gene system. Compared with the last version, the number of gene-term records for most annotation types within the updated Knowledgebase have significantly increased. Moreover, we have incorporated new annotations in the Knowledgebase including small molecule-gene interactions from PubChem, drug-gene interactions from DrugBank, tissue expression information from the Human Protein Atlas, disease information from DisGeNET, and pathways from WikiPathways and PathBank. Eight of ten subgroups split from Uniprot Keyword annotation were assigned to specific types. Finally, we added a species parameter for uploading a list of gene symbols to minimize the ambiguity between species, which increases the efficiency of the list upload and eliminates confusion for users. These current updates have significantly expanded the Knowledgebase and enhanced the discovery power of DAVID.","container-title":"Nucleic Acids Research","DOI":"10.1093/nar/gkac194","ISSN":"0305-1048","issue":"W1","journalAbbreviation":"Nucleic Acids Research","page":"W216-W221","source":"Silverchair","title":"DAVID: a web server for functional enrichment analysis and functional annotation of gene lists (2021 update)","title-short":"DAVID","volume":"50","author":[{"family":"Sherman","given":"Brad T"},{"family":"Hao","given":"Ming"},{"family":"Qiu","given":"Ju"},{"family":"Jiao","given":"Xiaoli"},{"family":"Baseler","given":"Michael W"},{"family":"Lane","given":"H Clifford"},{"family":"Imamichi","given":"Tomozumi"},{"family":"Chang","given":"Weizhong"}],"issued":{"date-parts":[["2022",7,5]]}}}],"schema":"https://github.com/citation-style-language/schema/raw/master/csl-citation.json"} </w:instrText>
      </w:r>
      <w:r w:rsidRPr="00AE5020">
        <w:rPr>
          <w:bCs/>
          <w:lang w:val="en-US"/>
        </w:rPr>
        <w:fldChar w:fldCharType="separate"/>
      </w:r>
      <w:r w:rsidR="00C01C95" w:rsidRPr="00C01C95">
        <w:rPr>
          <w:rFonts w:ascii="Calibri" w:cs="Calibri"/>
          <w:vertAlign w:val="superscript"/>
        </w:rPr>
        <w:t>52</w:t>
      </w:r>
      <w:r w:rsidRPr="00AE5020">
        <w:rPr>
          <w:bCs/>
          <w:lang w:val="en-US"/>
        </w:rPr>
        <w:fldChar w:fldCharType="end"/>
      </w:r>
      <w:r w:rsidRPr="00AE5020">
        <w:rPr>
          <w:lang w:val="en-US"/>
        </w:rPr>
        <w:t>. DAVID allows to check each gene from our list of disruptive rare high impact variants with ≥0.1 allele frequency variants (</w:t>
      </w:r>
      <w:r w:rsidRPr="00AE5020">
        <w:rPr>
          <w:b/>
          <w:lang w:val="en-US"/>
        </w:rPr>
        <w:t>T</w:t>
      </w:r>
      <w:r>
        <w:rPr>
          <w:b/>
          <w:lang w:val="en-US"/>
        </w:rPr>
        <w:t>able</w:t>
      </w:r>
      <w:r w:rsidRPr="00AE5020">
        <w:rPr>
          <w:b/>
          <w:lang w:val="en-US"/>
        </w:rPr>
        <w:t xml:space="preserve"> 3</w:t>
      </w:r>
      <w:r w:rsidRPr="00AE5020">
        <w:rPr>
          <w:lang w:val="en-US"/>
        </w:rPr>
        <w:t xml:space="preserve">) against curated databases, including </w:t>
      </w:r>
      <w:bookmarkStart w:id="39" w:name="OLE_LINK47"/>
      <w:bookmarkStart w:id="40" w:name="OLE_LINK48"/>
      <w:r w:rsidRPr="00AE5020">
        <w:rPr>
          <w:lang w:val="en-US"/>
        </w:rPr>
        <w:t>KEGG (Kyoto Encyclopedia of Genes and Genomes)</w:t>
      </w:r>
      <w:bookmarkEnd w:id="39"/>
      <w:bookmarkEnd w:id="40"/>
      <w:r w:rsidRPr="00AE5020">
        <w:rPr>
          <w:lang w:val="en-US"/>
        </w:rPr>
        <w:t xml:space="preserve"> </w:t>
      </w:r>
      <w:r w:rsidRPr="00AE5020">
        <w:rPr>
          <w:lang w:val="en-US"/>
        </w:rPr>
        <w:fldChar w:fldCharType="begin"/>
      </w:r>
      <w:r w:rsidR="00C01C95">
        <w:rPr>
          <w:lang w:val="en-US"/>
        </w:rPr>
        <w:instrText xml:space="preserve"> ADDIN ZOTERO_ITEM CSL_CITATION {"citationID":"fP3G79G6","properties":{"formattedCitation":"\\super 53\\nosupersub{}","plainCitation":"53","noteIndex":0},"citationItems":[{"id":547,"uris":["http://zotero.org/users/16405780/items/UVA8RUKI"],"itemData":{"id":547,"type":"article-journal","abstract":"Kyoto Encyclopedia of Genes and Genomes (KEGG) is a knowledge base for systematic analysis of gene functions in terms of the networks of genes and molecules. The major component of KEGG is the PATHWAY database that consists of graphical diagrams of biochemical pathways including most of the known metabolic pathways and some of the known regulatory pathways. The pathway information is also represented by the ortholog group tables summarizing orthologous and paralogous gene groups among different organisms. KEGG maintains the GENES database for the gene catalogs of all organisms with complete genomes and selected organisms with partial genomes, which are continuously re-annotated, as well as the LIGAND database for chemical compounds and enzymes. Each gene catalog is associated with the graphical genome map for chromosomal locations that is represented by Java applet. In addition to the data collection efforts, KEGG develops and provides various computational tools, such as for reconstructing biochemical pathways from the complete genome sequence and for predicting gene regulatory networks from the gene expression profiles. The KEGG databases are daily updated and made freely available (http://www.genome.ad.jp/kegg/).","container-title":"Nucleic Acids Research","DOI":"10.1093/nar/27.1.29","ISSN":"0305-1048","issue":"1","journalAbbreviation":"Nucleic Acids Research","page":"29-34","source":"Silverchair","title":"KEGG: Kyoto Encyclopedia of Genes and Genomes","title-short":"KEGG","volume":"27","author":[{"family":"Ogata","given":"Hiroyuki"},{"family":"Goto","given":"Susumu"},{"family":"Sato","given":"Kazushige"},{"family":"Fujibuchi","given":"Wataru"},{"family":"Bono","given":"Hidemasa"},{"family":"Kanehisa","given":"Minoru"}],"issued":{"date-parts":[["1999",1,1]]}}}],"schema":"https://github.com/citation-style-language/schema/raw/master/csl-citation.json"} </w:instrText>
      </w:r>
      <w:r w:rsidRPr="00AE5020">
        <w:rPr>
          <w:lang w:val="en-US"/>
        </w:rPr>
        <w:fldChar w:fldCharType="separate"/>
      </w:r>
      <w:r w:rsidR="00C01C95" w:rsidRPr="00C01C95">
        <w:rPr>
          <w:rFonts w:ascii="Calibri" w:cs="Calibri"/>
          <w:vertAlign w:val="superscript"/>
        </w:rPr>
        <w:t>53</w:t>
      </w:r>
      <w:r w:rsidRPr="00AE5020">
        <w:rPr>
          <w:lang w:val="en-US"/>
        </w:rPr>
        <w:fldChar w:fldCharType="end"/>
      </w:r>
      <w:r w:rsidRPr="00AE5020">
        <w:rPr>
          <w:lang w:val="en-US"/>
        </w:rPr>
        <w:t xml:space="preserve"> and Gene Ontology (GO) </w:t>
      </w:r>
      <w:r w:rsidRPr="00AE5020">
        <w:rPr>
          <w:lang w:val="en-US"/>
        </w:rPr>
        <w:fldChar w:fldCharType="begin"/>
      </w:r>
      <w:r w:rsidR="00C01C95">
        <w:rPr>
          <w:lang w:val="en-US"/>
        </w:rPr>
        <w:instrText xml:space="preserve"> ADDIN ZOTERO_ITEM CSL_CITATION {"citationID":"We4Wkeoy","properties":{"formattedCitation":"\\super 54\\nosupersub{}","plainCitation":"54","noteIndex":0},"citationItems":[{"id":550,"uris":["http://zotero.org/users/16405780/items/9LVDVS34"],"itemData":{"id":550,"type":"article-journal","abstract":"The Gene Ontology (GO) project ( http://www. geneontology.org/ ) provides structured, controlled vocabularies and classifications that cover several domains of molecular and cellular biology and are freely available for community use in the annotation of genes, gene products and sequences. Many model organism databases and genome annotation groups use the GO and contribute their annotation sets to the GO resource. The GO database integrates the vocabularies and contributed annotations and provides full access to this information in several formats. Members of the GO Consortium continually work collectively, involving outside experts as needed, to expand and update the GO vocabularies. The GO Web resource also provides access to extensive documentation about the GO project and links to applications that use GO data for functional analyses.","container-title":"Nucleic Acids Research","DOI":"10.1093/nar/gkh036","ISSN":"0305-1048","issue":"suppl_1","journalAbbreviation":"Nucleic Acids Research","page":"D258-D261","source":"Silverchair","title":"The Gene Ontology (GO) database and informatics resource","volume":"32","author":[{"literal":"Gene Ontology Consortium"}],"issued":{"date-parts":[["2004",1,1]]}}}],"schema":"https://github.com/citation-style-language/schema/raw/master/csl-citation.json"} </w:instrText>
      </w:r>
      <w:r w:rsidRPr="00AE5020">
        <w:rPr>
          <w:lang w:val="en-US"/>
        </w:rPr>
        <w:fldChar w:fldCharType="separate"/>
      </w:r>
      <w:r w:rsidR="00C01C95" w:rsidRPr="00C01C95">
        <w:rPr>
          <w:rFonts w:ascii="Calibri" w:cs="Calibri"/>
          <w:vertAlign w:val="superscript"/>
        </w:rPr>
        <w:t>54</w:t>
      </w:r>
      <w:r w:rsidRPr="00AE5020">
        <w:rPr>
          <w:lang w:val="en-US"/>
        </w:rPr>
        <w:fldChar w:fldCharType="end"/>
      </w:r>
      <w:r w:rsidRPr="00AE5020">
        <w:rPr>
          <w:lang w:val="en-US"/>
        </w:rPr>
        <w:t>. Results revealed two main categories with statistically significant enrichment after multiple testing corrections (p &lt; 0.05)</w:t>
      </w:r>
      <w:r>
        <w:rPr>
          <w:lang w:val="en-US"/>
        </w:rPr>
        <w:t xml:space="preserve"> (</w:t>
      </w:r>
      <w:r w:rsidRPr="000C11E3">
        <w:rPr>
          <w:b/>
          <w:bCs/>
          <w:lang w:val="en-US"/>
        </w:rPr>
        <w:t>Fig. 3</w:t>
      </w:r>
      <w:r>
        <w:rPr>
          <w:lang w:val="en-US"/>
        </w:rPr>
        <w:t>) shown below.</w:t>
      </w:r>
      <w:r w:rsidRPr="00AE5020">
        <w:rPr>
          <w:lang w:val="en-US"/>
        </w:rPr>
        <w:t xml:space="preserve"> </w:t>
      </w:r>
    </w:p>
    <w:p w14:paraId="58EC1355" w14:textId="77777777" w:rsidR="007D7472" w:rsidRPr="00AE5020" w:rsidRDefault="007D7472" w:rsidP="007D7472">
      <w:pPr>
        <w:jc w:val="both"/>
        <w:rPr>
          <w:lang w:val="en-US"/>
        </w:rPr>
      </w:pPr>
    </w:p>
    <w:p w14:paraId="73AE8A4E" w14:textId="77777777" w:rsidR="007D7472" w:rsidRPr="007D7472" w:rsidRDefault="007D7472" w:rsidP="007D7472">
      <w:pPr>
        <w:pStyle w:val="Heading2"/>
      </w:pPr>
      <w:r w:rsidRPr="007D7472">
        <w:t>Infectious Disease Pathways</w:t>
      </w:r>
    </w:p>
    <w:p w14:paraId="09FCB7CB" w14:textId="77777777" w:rsidR="007D7472" w:rsidRPr="00AE5020" w:rsidRDefault="007D7472" w:rsidP="007D7472">
      <w:pPr>
        <w:jc w:val="both"/>
        <w:rPr>
          <w:lang w:val="en-US"/>
        </w:rPr>
      </w:pPr>
      <w:r w:rsidRPr="00AE5020">
        <w:rPr>
          <w:lang w:val="en-US"/>
        </w:rPr>
        <w:t xml:space="preserve">Several KEGG pathways related to </w:t>
      </w:r>
      <w:r w:rsidRPr="00AE5020">
        <w:rPr>
          <w:bCs/>
          <w:lang w:val="en-US"/>
        </w:rPr>
        <w:t>pathogen defense</w:t>
      </w:r>
      <w:r w:rsidRPr="00AE5020">
        <w:rPr>
          <w:lang w:val="en-US"/>
        </w:rPr>
        <w:t xml:space="preserve"> (autoimmune thyroid disease, herpes simplex infection, influenza A, tuberculosis, Epstein–Barr virus infection) were enriched among genes harboring rare high‐impact variants (e.g., </w:t>
      </w:r>
      <w:r w:rsidRPr="00AE5020">
        <w:rPr>
          <w:i/>
          <w:iCs/>
          <w:lang w:val="en-US"/>
        </w:rPr>
        <w:t>HLA‐DQB1</w:t>
      </w:r>
      <w:r w:rsidRPr="00AE5020">
        <w:rPr>
          <w:lang w:val="en-US"/>
        </w:rPr>
        <w:t xml:space="preserve">, </w:t>
      </w:r>
      <w:r w:rsidRPr="00AE5020">
        <w:rPr>
          <w:i/>
          <w:iCs/>
          <w:lang w:val="en-US"/>
        </w:rPr>
        <w:t>IFNA10</w:t>
      </w:r>
      <w:r w:rsidRPr="00AE5020">
        <w:rPr>
          <w:lang w:val="en-US"/>
        </w:rPr>
        <w:t xml:space="preserve">, </w:t>
      </w:r>
      <w:r w:rsidRPr="00AE5020">
        <w:rPr>
          <w:i/>
          <w:iCs/>
          <w:lang w:val="en-US"/>
        </w:rPr>
        <w:t>HLA‐DRB5</w:t>
      </w:r>
      <w:r w:rsidRPr="00AE5020">
        <w:rPr>
          <w:lang w:val="en-US"/>
        </w:rPr>
        <w:t xml:space="preserve">). These findings align with our earlier observations that many disruptive mutations appear in </w:t>
      </w:r>
      <w:r w:rsidRPr="00AE5020">
        <w:rPr>
          <w:bCs/>
          <w:lang w:val="en-US"/>
        </w:rPr>
        <w:t>immune‐associated loci</w:t>
      </w:r>
      <w:r w:rsidRPr="00AE5020">
        <w:rPr>
          <w:lang w:val="en-US"/>
        </w:rPr>
        <w:t xml:space="preserve">, suggesting that historical pathogen pressures—particularly in </w:t>
      </w:r>
      <w:r w:rsidRPr="00AE5020">
        <w:rPr>
          <w:lang w:val="en-US"/>
        </w:rPr>
        <w:lastRenderedPageBreak/>
        <w:t>Andean or Amazonian communities—may have shaped or maintained these variations. Notably, genes encoding MHC class II molecules (</w:t>
      </w:r>
      <w:r w:rsidRPr="00AE5020">
        <w:rPr>
          <w:i/>
          <w:iCs/>
          <w:lang w:val="en-US"/>
        </w:rPr>
        <w:t>HLA‐DQB1</w:t>
      </w:r>
      <w:r w:rsidRPr="00AE5020">
        <w:rPr>
          <w:lang w:val="en-US"/>
        </w:rPr>
        <w:t xml:space="preserve">, </w:t>
      </w:r>
      <w:r w:rsidRPr="00AE5020">
        <w:rPr>
          <w:i/>
          <w:iCs/>
          <w:lang w:val="en-US"/>
        </w:rPr>
        <w:t>HLA‐DRB5</w:t>
      </w:r>
      <w:r w:rsidRPr="00AE5020">
        <w:rPr>
          <w:lang w:val="en-US"/>
        </w:rPr>
        <w:t>) and interferon‐alpha (</w:t>
      </w:r>
      <w:r w:rsidRPr="00AE5020">
        <w:rPr>
          <w:i/>
          <w:iCs/>
          <w:lang w:val="en-US"/>
        </w:rPr>
        <w:t>IFNA10</w:t>
      </w:r>
      <w:r w:rsidRPr="00AE5020">
        <w:rPr>
          <w:lang w:val="en-US"/>
        </w:rPr>
        <w:t xml:space="preserve">) were frequently implicated, supporting the hypothesis that </w:t>
      </w:r>
      <w:r w:rsidRPr="00AE5020">
        <w:rPr>
          <w:bCs/>
          <w:lang w:val="en-US"/>
        </w:rPr>
        <w:t>adaptive immune processes</w:t>
      </w:r>
      <w:r w:rsidRPr="00AE5020">
        <w:rPr>
          <w:lang w:val="en-US"/>
        </w:rPr>
        <w:t xml:space="preserve"> have been pivotal in Peruvian population histories.</w:t>
      </w:r>
    </w:p>
    <w:p w14:paraId="3F2397F9" w14:textId="77777777" w:rsidR="007D7472" w:rsidRPr="00AE5020" w:rsidRDefault="007D7472" w:rsidP="007D7472">
      <w:pPr>
        <w:jc w:val="both"/>
        <w:rPr>
          <w:lang w:val="en-US"/>
        </w:rPr>
      </w:pPr>
    </w:p>
    <w:p w14:paraId="538A1242" w14:textId="77777777" w:rsidR="007D7472" w:rsidRPr="00AE5020" w:rsidRDefault="007D7472" w:rsidP="007D7472">
      <w:pPr>
        <w:pStyle w:val="Heading2"/>
        <w:rPr>
          <w:lang w:val="en-US"/>
        </w:rPr>
      </w:pPr>
      <w:r w:rsidRPr="00AE5020">
        <w:rPr>
          <w:lang w:val="en-US"/>
        </w:rPr>
        <w:t>General Immune Response and Inflammation Processes</w:t>
      </w:r>
    </w:p>
    <w:p w14:paraId="72EB4FE8" w14:textId="77777777" w:rsidR="007D7472" w:rsidRPr="00AE5020" w:rsidRDefault="007D7472" w:rsidP="007D7472">
      <w:pPr>
        <w:jc w:val="both"/>
        <w:rPr>
          <w:lang w:val="en-US"/>
        </w:rPr>
      </w:pPr>
      <w:r w:rsidRPr="00AE5020">
        <w:rPr>
          <w:lang w:val="en-US"/>
        </w:rPr>
        <w:t xml:space="preserve">Gene Ontology terms for “adaptive immune response,” “immune response,” and “peptide antigen binding” also showed </w:t>
      </w:r>
      <w:r w:rsidRPr="00AE5020">
        <w:rPr>
          <w:bCs/>
          <w:lang w:val="en-US"/>
        </w:rPr>
        <w:t>significant overrepresentation</w:t>
      </w:r>
      <w:r w:rsidRPr="00AE5020">
        <w:rPr>
          <w:lang w:val="en-US"/>
        </w:rPr>
        <w:t xml:space="preserve">. Many of these annotations again highlighted genes such as </w:t>
      </w:r>
      <w:r w:rsidRPr="00AE5020">
        <w:rPr>
          <w:i/>
          <w:iCs/>
          <w:lang w:val="en-US"/>
        </w:rPr>
        <w:t>HLA‐DQB1</w:t>
      </w:r>
      <w:r w:rsidRPr="00AE5020">
        <w:rPr>
          <w:lang w:val="en-US"/>
        </w:rPr>
        <w:t xml:space="preserve">, </w:t>
      </w:r>
      <w:r w:rsidRPr="00AE5020">
        <w:rPr>
          <w:i/>
          <w:iCs/>
          <w:lang w:val="en-US"/>
        </w:rPr>
        <w:t>HLA‐DRB5</w:t>
      </w:r>
      <w:r w:rsidRPr="00AE5020">
        <w:rPr>
          <w:lang w:val="en-US"/>
        </w:rPr>
        <w:t xml:space="preserve">, </w:t>
      </w:r>
      <w:r w:rsidRPr="00AE5020">
        <w:rPr>
          <w:i/>
          <w:iCs/>
          <w:lang w:val="en-US"/>
        </w:rPr>
        <w:t>MICB</w:t>
      </w:r>
      <w:r w:rsidRPr="00AE5020">
        <w:rPr>
          <w:lang w:val="en-US"/>
        </w:rPr>
        <w:t xml:space="preserve">, and </w:t>
      </w:r>
      <w:r w:rsidRPr="00AE5020">
        <w:rPr>
          <w:i/>
          <w:iCs/>
          <w:lang w:val="en-US"/>
        </w:rPr>
        <w:t>IFNA10</w:t>
      </w:r>
      <w:r w:rsidRPr="00AE5020">
        <w:rPr>
          <w:lang w:val="en-US"/>
        </w:rPr>
        <w:t xml:space="preserve">. These findings bolster the notion that </w:t>
      </w:r>
      <w:r w:rsidRPr="00AE5020">
        <w:rPr>
          <w:bCs/>
          <w:lang w:val="en-US"/>
        </w:rPr>
        <w:t>rare, high‐impact alleles</w:t>
      </w:r>
      <w:r w:rsidRPr="00AE5020">
        <w:rPr>
          <w:lang w:val="en-US"/>
        </w:rPr>
        <w:t xml:space="preserve"> affecting immune function—potentially shaped by local disease ecology—are a defining feature of certain Peruvian groups. While some variants may represent </w:t>
      </w:r>
      <w:r w:rsidRPr="00AE5020">
        <w:rPr>
          <w:bCs/>
          <w:lang w:val="en-US"/>
        </w:rPr>
        <w:t>beneficial adaptations</w:t>
      </w:r>
      <w:r w:rsidRPr="00AE5020">
        <w:rPr>
          <w:lang w:val="en-US"/>
        </w:rPr>
        <w:t xml:space="preserve"> to endemic pathogens, others could be neutral or slightly deleterious changes that drifted to higher frequencies in small, isolated populations.</w:t>
      </w:r>
    </w:p>
    <w:p w14:paraId="486560A1" w14:textId="77777777" w:rsidR="007D7472" w:rsidRPr="00AE5020" w:rsidRDefault="007D7472" w:rsidP="007D7472">
      <w:pPr>
        <w:jc w:val="both"/>
        <w:rPr>
          <w:lang w:val="en-US"/>
        </w:rPr>
      </w:pPr>
      <w:r w:rsidRPr="00AE5020">
        <w:rPr>
          <w:noProof/>
          <w:lang w:val="en-US"/>
        </w:rPr>
        <w:drawing>
          <wp:inline distT="0" distB="0" distL="0" distR="0" wp14:anchorId="467818E7" wp14:editId="6C5CFF6C">
            <wp:extent cx="5727700" cy="2362200"/>
            <wp:effectExtent l="0" t="0" r="0" b="0"/>
            <wp:docPr id="16" name="Picture 16" descr="A graph with blue bars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aph with blue bars and white text&#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7700" cy="2362200"/>
                    </a:xfrm>
                    <a:prstGeom prst="rect">
                      <a:avLst/>
                    </a:prstGeom>
                  </pic:spPr>
                </pic:pic>
              </a:graphicData>
            </a:graphic>
          </wp:inline>
        </w:drawing>
      </w:r>
    </w:p>
    <w:p w14:paraId="7438E929" w14:textId="77777777" w:rsidR="007D7472" w:rsidRPr="00AE5020" w:rsidRDefault="007D7472" w:rsidP="007D7472">
      <w:pPr>
        <w:jc w:val="both"/>
        <w:rPr>
          <w:lang w:val="en-US"/>
        </w:rPr>
      </w:pPr>
    </w:p>
    <w:p w14:paraId="4655C095" w14:textId="77777777" w:rsidR="007D7472" w:rsidRPr="00AE5020" w:rsidRDefault="007D7472" w:rsidP="007D7472">
      <w:pPr>
        <w:jc w:val="both"/>
        <w:rPr>
          <w:sz w:val="20"/>
          <w:lang w:val="en-US"/>
        </w:rPr>
      </w:pPr>
      <w:r w:rsidRPr="00AE5020">
        <w:rPr>
          <w:b/>
          <w:bCs/>
          <w:sz w:val="20"/>
          <w:lang w:val="en-US"/>
        </w:rPr>
        <w:t>Figure 3.</w:t>
      </w:r>
      <w:r w:rsidRPr="00AE5020">
        <w:rPr>
          <w:sz w:val="20"/>
          <w:lang w:val="en-US"/>
        </w:rPr>
        <w:t xml:space="preserve"> Functional enrichment scores for the gene sets carrying high‐impact variants identified in Peruvian populations using DAVID. Each bar represents the over‐representation of a particular biological category, with higher bars indicating stronger enrichment relative to a random expectation. “Infectious disease” and “Immune response” show statistically significant enrichment (marked with asterisks), driven primarily by genes involved in pathogen defense and inflammatory processes (e.g., </w:t>
      </w:r>
      <w:r w:rsidRPr="00AE5020">
        <w:rPr>
          <w:bCs/>
          <w:sz w:val="20"/>
          <w:lang w:val="en-US"/>
        </w:rPr>
        <w:t>HLA</w:t>
      </w:r>
      <w:r w:rsidRPr="00AE5020">
        <w:rPr>
          <w:sz w:val="20"/>
          <w:lang w:val="en-US"/>
        </w:rPr>
        <w:t xml:space="preserve"> and </w:t>
      </w:r>
      <w:r w:rsidRPr="00AE5020">
        <w:rPr>
          <w:bCs/>
          <w:sz w:val="20"/>
          <w:lang w:val="en-US"/>
        </w:rPr>
        <w:t>IFN</w:t>
      </w:r>
      <w:r w:rsidRPr="00AE5020">
        <w:rPr>
          <w:sz w:val="20"/>
          <w:lang w:val="en-US"/>
        </w:rPr>
        <w:t xml:space="preserve"> loci). “Cell Membrane” has a more modest enrichment, reflecting variants in membrane‐associated receptors or channels. The “Other” category comprises residual terms showing minimal enrichment. This distribution highlights that </w:t>
      </w:r>
      <w:r w:rsidRPr="00AE5020">
        <w:rPr>
          <w:bCs/>
          <w:sz w:val="20"/>
          <w:lang w:val="en-US"/>
        </w:rPr>
        <w:t>immune‐related pathways</w:t>
      </w:r>
      <w:r w:rsidRPr="00AE5020">
        <w:rPr>
          <w:sz w:val="20"/>
          <w:lang w:val="en-US"/>
        </w:rPr>
        <w:t xml:space="preserve"> likely played a key role in shaping high‐impact variation within these Peruvian genomes.</w:t>
      </w:r>
    </w:p>
    <w:p w14:paraId="62C9E32D" w14:textId="77777777" w:rsidR="007D7472" w:rsidRPr="00AE5020" w:rsidRDefault="007D7472" w:rsidP="007D7472">
      <w:pPr>
        <w:jc w:val="both"/>
        <w:rPr>
          <w:lang w:val="en-US"/>
        </w:rPr>
      </w:pPr>
    </w:p>
    <w:p w14:paraId="761D2763" w14:textId="77777777" w:rsidR="007D7472" w:rsidRPr="00AE5020" w:rsidRDefault="007D7472" w:rsidP="007D7472">
      <w:pPr>
        <w:jc w:val="both"/>
        <w:rPr>
          <w:lang w:val="en-US"/>
        </w:rPr>
      </w:pPr>
      <w:r w:rsidRPr="00AE5020">
        <w:rPr>
          <w:lang w:val="en-US"/>
        </w:rPr>
        <w:t xml:space="preserve">Beyond these clearly immune‐focused signals, we noted a secondary trend (though not statistically significant after correction) toward genes involved in </w:t>
      </w:r>
      <w:r w:rsidRPr="00AE5020">
        <w:rPr>
          <w:bCs/>
          <w:lang w:val="en-US"/>
        </w:rPr>
        <w:t>membrane function</w:t>
      </w:r>
      <w:r w:rsidRPr="00AE5020">
        <w:rPr>
          <w:lang w:val="en-US"/>
        </w:rPr>
        <w:t xml:space="preserve">. Several high‐impact variants (e.g., in </w:t>
      </w:r>
      <w:r w:rsidRPr="00AE5020">
        <w:rPr>
          <w:i/>
          <w:iCs/>
          <w:lang w:val="en-US"/>
        </w:rPr>
        <w:t>CACNB2</w:t>
      </w:r>
      <w:r w:rsidRPr="00AE5020">
        <w:rPr>
          <w:lang w:val="en-US"/>
        </w:rPr>
        <w:t xml:space="preserve"> or certain olfactory receptors) mapped to cell‐surface or membrane‐associated proteins. While the enrichment in membrane terms was modest (fold enrichment ~0.8–1.0), it remains plausible that </w:t>
      </w:r>
      <w:r w:rsidRPr="00AE5020">
        <w:rPr>
          <w:bCs/>
          <w:lang w:val="en-US"/>
        </w:rPr>
        <w:t>membrane proteins</w:t>
      </w:r>
      <w:r w:rsidRPr="00AE5020">
        <w:rPr>
          <w:lang w:val="en-US"/>
        </w:rPr>
        <w:t xml:space="preserve"> could indirectly influence infection dynamics or environmental interactions (e.g., recognition of pathogens or transport of nutrients). However, these signals were less definitive than those centered on pathogen defense and inflammatory pathways.</w:t>
      </w:r>
    </w:p>
    <w:p w14:paraId="577CEC56" w14:textId="77777777" w:rsidR="007D7472" w:rsidRPr="00AE5020" w:rsidRDefault="007D7472" w:rsidP="007D7472">
      <w:pPr>
        <w:jc w:val="both"/>
        <w:rPr>
          <w:lang w:val="en-US"/>
        </w:rPr>
      </w:pPr>
    </w:p>
    <w:p w14:paraId="6A7D8BC0" w14:textId="1517350D" w:rsidR="00E30305" w:rsidRPr="00AE5020" w:rsidRDefault="007D7472" w:rsidP="000C4C16">
      <w:pPr>
        <w:jc w:val="both"/>
        <w:rPr>
          <w:lang w:val="en-US"/>
        </w:rPr>
      </w:pPr>
      <w:r w:rsidRPr="00AE5020">
        <w:rPr>
          <w:lang w:val="en-US"/>
        </w:rPr>
        <w:t xml:space="preserve">Overall, our enrichment analysis suggests that </w:t>
      </w:r>
      <w:r w:rsidRPr="00AE5020">
        <w:rPr>
          <w:bCs/>
          <w:lang w:val="en-US"/>
        </w:rPr>
        <w:t>immune‐related genes</w:t>
      </w:r>
      <w:r w:rsidRPr="00AE5020">
        <w:rPr>
          <w:lang w:val="en-US"/>
        </w:rPr>
        <w:t xml:space="preserve"> bear the strongest signature of high‐impact variation in this Peruvian dataset. Whether these variants reflect </w:t>
      </w:r>
      <w:r w:rsidRPr="00AE5020">
        <w:rPr>
          <w:bCs/>
          <w:lang w:val="en-US"/>
        </w:rPr>
        <w:t>historic selective advantages</w:t>
      </w:r>
      <w:r w:rsidRPr="00AE5020">
        <w:rPr>
          <w:lang w:val="en-US"/>
        </w:rPr>
        <w:t xml:space="preserve"> (e.g., immunity to local infections) or random fixation via drift is </w:t>
      </w:r>
      <w:r w:rsidRPr="00AE5020">
        <w:rPr>
          <w:lang w:val="en-US"/>
        </w:rPr>
        <w:lastRenderedPageBreak/>
        <w:t xml:space="preserve">an open question—one that underscores the need for functional and epidemiological follow‐ups. Nevertheless, the clustering of disruptive mutations in immune pathways provides a compelling clue that </w:t>
      </w:r>
      <w:r w:rsidRPr="00AE5020">
        <w:rPr>
          <w:bCs/>
          <w:lang w:val="en-US"/>
        </w:rPr>
        <w:t>local disease pressures</w:t>
      </w:r>
      <w:r w:rsidRPr="00AE5020">
        <w:rPr>
          <w:lang w:val="en-US"/>
        </w:rPr>
        <w:t xml:space="preserve"> have, in some cases, helped sculpt the genetic architecture of these geographically and ethnically diverse populations.</w:t>
      </w:r>
    </w:p>
    <w:p w14:paraId="4A8C2EBE" w14:textId="465C9393" w:rsidR="00E30305" w:rsidRPr="00AE5020" w:rsidRDefault="00E30305" w:rsidP="000C4C16">
      <w:pPr>
        <w:pStyle w:val="Heading1"/>
        <w:rPr>
          <w:lang w:val="en-US"/>
        </w:rPr>
      </w:pPr>
      <w:r w:rsidRPr="00AE5020">
        <w:rPr>
          <w:lang w:val="en-US"/>
        </w:rPr>
        <w:t>Allele Sharing Patterns and Gene Flow</w:t>
      </w:r>
    </w:p>
    <w:p w14:paraId="6E376097" w14:textId="572BAF61" w:rsidR="001312EF" w:rsidRPr="00AE5020" w:rsidRDefault="001312EF" w:rsidP="001312EF">
      <w:pPr>
        <w:jc w:val="both"/>
        <w:rPr>
          <w:lang w:val="en-US"/>
        </w:rPr>
      </w:pPr>
      <w:r w:rsidRPr="00AE5020">
        <w:rPr>
          <w:lang w:val="en-US"/>
        </w:rPr>
        <w:t xml:space="preserve">Multiple significant allele-sharing signals emerge from the application of a </w:t>
      </w:r>
      <w:r w:rsidRPr="00AE5020">
        <w:rPr>
          <w:i/>
          <w:iCs/>
          <w:lang w:val="en-US"/>
        </w:rPr>
        <w:t>D</w:t>
      </w:r>
      <w:r w:rsidRPr="00AE5020">
        <w:rPr>
          <w:lang w:val="en-US"/>
        </w:rPr>
        <w:t>-</w:t>
      </w:r>
      <w:proofErr w:type="spellStart"/>
      <w:r w:rsidRPr="00AE5020">
        <w:rPr>
          <w:lang w:val="en-US"/>
        </w:rPr>
        <w:t>statistic</w:t>
      </w:r>
      <w:proofErr w:type="spellEnd"/>
      <w:r w:rsidRPr="00AE5020">
        <w:rPr>
          <w:lang w:val="en-US"/>
        </w:rPr>
        <w:t xml:space="preserve"> analysis to our cohort</w:t>
      </w:r>
      <w:r w:rsidR="000C4C16">
        <w:rPr>
          <w:lang w:val="en-US"/>
        </w:rPr>
        <w:t xml:space="preserve"> of merged samples (sequencing and array origin)</w:t>
      </w:r>
      <w:r w:rsidRPr="00AE5020">
        <w:rPr>
          <w:lang w:val="en-US"/>
        </w:rPr>
        <w:t xml:space="preserve">, pointing to historical gene flow between specific populations (see </w:t>
      </w:r>
      <w:r w:rsidR="00C51A8E">
        <w:rPr>
          <w:lang w:val="en-US"/>
        </w:rPr>
        <w:t xml:space="preserve">Extended </w:t>
      </w:r>
      <w:r w:rsidRPr="00AE5020">
        <w:rPr>
          <w:lang w:val="en-US"/>
        </w:rPr>
        <w:t>Methods</w:t>
      </w:r>
      <w:r w:rsidR="000C4C16">
        <w:rPr>
          <w:lang w:val="en-US"/>
        </w:rPr>
        <w:t xml:space="preserve"> below</w:t>
      </w:r>
      <w:r w:rsidRPr="00AE5020">
        <w:rPr>
          <w:lang w:val="en-US"/>
        </w:rPr>
        <w:t>). We considered |</w:t>
      </w:r>
      <w:r w:rsidRPr="00AE5020">
        <w:rPr>
          <w:i/>
          <w:iCs/>
          <w:lang w:val="en-US"/>
        </w:rPr>
        <w:t>Z</w:t>
      </w:r>
      <w:r w:rsidRPr="00AE5020">
        <w:rPr>
          <w:lang w:val="en-US"/>
        </w:rPr>
        <w:t xml:space="preserve">| &gt; 3 (approximately </w:t>
      </w:r>
      <w:r w:rsidRPr="00AE5020">
        <w:rPr>
          <w:i/>
          <w:iCs/>
          <w:lang w:val="en-US"/>
        </w:rPr>
        <w:t>p</w:t>
      </w:r>
      <w:r w:rsidRPr="00AE5020">
        <w:rPr>
          <w:lang w:val="en-US"/>
        </w:rPr>
        <w:t xml:space="preserve"> &lt; 0.001) as evidence of a significant deviation of </w:t>
      </w:r>
      <w:r w:rsidRPr="00AE5020">
        <w:rPr>
          <w:i/>
          <w:iCs/>
          <w:lang w:val="en-US"/>
        </w:rPr>
        <w:t>D</w:t>
      </w:r>
      <w:r w:rsidRPr="00AE5020">
        <w:rPr>
          <w:lang w:val="en-US"/>
        </w:rPr>
        <w:t xml:space="preserve"> from zero​. In our heatmap (</w:t>
      </w:r>
      <w:r w:rsidRPr="00AE5020">
        <w:rPr>
          <w:b/>
          <w:lang w:val="en-US"/>
        </w:rPr>
        <w:t>Fig</w:t>
      </w:r>
      <w:r w:rsidR="000C4C16">
        <w:rPr>
          <w:b/>
          <w:lang w:val="en-US"/>
        </w:rPr>
        <w:t>.</w:t>
      </w:r>
      <w:r w:rsidRPr="00AE5020">
        <w:rPr>
          <w:b/>
          <w:lang w:val="en-US"/>
        </w:rPr>
        <w:t xml:space="preserve"> </w:t>
      </w:r>
      <w:r w:rsidR="000C4C16">
        <w:rPr>
          <w:b/>
          <w:lang w:val="en-US"/>
        </w:rPr>
        <w:t>4</w:t>
      </w:r>
      <w:r w:rsidRPr="00AE5020">
        <w:rPr>
          <w:b/>
          <w:lang w:val="en-US"/>
        </w:rPr>
        <w:t>A</w:t>
      </w:r>
      <w:r w:rsidRPr="00AE5020">
        <w:rPr>
          <w:lang w:val="en-US"/>
        </w:rPr>
        <w:t xml:space="preserve">), several population pairs exhibit </w:t>
      </w:r>
      <w:r w:rsidRPr="00AE5020">
        <w:rPr>
          <w:i/>
          <w:iCs/>
          <w:lang w:val="en-US"/>
        </w:rPr>
        <w:t>D</w:t>
      </w:r>
      <w:r w:rsidRPr="00AE5020">
        <w:rPr>
          <w:lang w:val="en-US"/>
        </w:rPr>
        <w:t xml:space="preserve">-values that exceed this significance threshold, reflecting excess shared derived alleles beyond what would be expected under a strictly tree-like divergence. For example, a highland population from central Peru and a lowland Amazonian population show one of the strongest introgression signals (with </w:t>
      </w:r>
      <w:r w:rsidRPr="00AE5020">
        <w:rPr>
          <w:i/>
          <w:iCs/>
          <w:lang w:val="en-US"/>
        </w:rPr>
        <w:t>D</w:t>
      </w:r>
      <w:r w:rsidRPr="00AE5020">
        <w:rPr>
          <w:lang w:val="en-US"/>
        </w:rPr>
        <w:t xml:space="preserve"> ≈ 0.25, </w:t>
      </w:r>
      <w:r w:rsidRPr="00AE5020">
        <w:rPr>
          <w:i/>
          <w:iCs/>
          <w:lang w:val="en-US"/>
        </w:rPr>
        <w:t>Z</w:t>
      </w:r>
      <w:r w:rsidRPr="00AE5020">
        <w:rPr>
          <w:lang w:val="en-US"/>
        </w:rPr>
        <w:t xml:space="preserve"> ≈ 4.5, </w:t>
      </w:r>
      <w:r w:rsidRPr="00AE5020">
        <w:rPr>
          <w:i/>
          <w:iCs/>
          <w:lang w:val="en-US"/>
        </w:rPr>
        <w:t>p</w:t>
      </w:r>
      <w:r w:rsidRPr="00AE5020">
        <w:rPr>
          <w:lang w:val="en-US"/>
        </w:rPr>
        <w:t xml:space="preserve"> &lt; 10</w:t>
      </w:r>
      <w:r w:rsidRPr="00AE5020">
        <w:rPr>
          <w:vertAlign w:val="superscript"/>
          <w:lang w:val="en-US"/>
        </w:rPr>
        <w:t>−5</w:t>
      </w:r>
      <w:r w:rsidRPr="00AE5020">
        <w:rPr>
          <w:lang w:val="en-US"/>
        </w:rPr>
        <w:t>), indicating substantial gene flow across the Andean–Amazonian divide. Similarly, a northern Andean highland group and an Amazonian group in the north share a surplus of alleles (</w:t>
      </w:r>
      <w:r w:rsidRPr="00AE5020">
        <w:rPr>
          <w:i/>
          <w:iCs/>
          <w:lang w:val="en-US"/>
        </w:rPr>
        <w:t>D</w:t>
      </w:r>
      <w:r w:rsidRPr="00AE5020">
        <w:rPr>
          <w:lang w:val="en-US"/>
        </w:rPr>
        <w:t xml:space="preserve"> ≈ 0.20, </w:t>
      </w:r>
      <w:r w:rsidRPr="00AE5020">
        <w:rPr>
          <w:i/>
          <w:iCs/>
          <w:lang w:val="en-US"/>
        </w:rPr>
        <w:t>Z</w:t>
      </w:r>
      <w:r w:rsidRPr="00AE5020">
        <w:rPr>
          <w:lang w:val="en-US"/>
        </w:rPr>
        <w:t xml:space="preserve"> &gt; 4, </w:t>
      </w:r>
      <w:r w:rsidRPr="00AE5020">
        <w:rPr>
          <w:i/>
          <w:iCs/>
          <w:lang w:val="en-US"/>
        </w:rPr>
        <w:t>p</w:t>
      </w:r>
      <w:r w:rsidRPr="00AE5020">
        <w:rPr>
          <w:lang w:val="en-US"/>
        </w:rPr>
        <w:t xml:space="preserve"> &lt; 0.001), consistent with historical admixture between these regions. These findings imply that significant migrations or gene flow events connected the Andes and Amazon in the central and northern parts of Peru. Importantly, all highlighted </w:t>
      </w:r>
      <w:r w:rsidRPr="00AE5020">
        <w:rPr>
          <w:i/>
          <w:iCs/>
          <w:lang w:val="en-US"/>
        </w:rPr>
        <w:t>D</w:t>
      </w:r>
      <w:r w:rsidRPr="00AE5020">
        <w:rPr>
          <w:lang w:val="en-US"/>
        </w:rPr>
        <w:t xml:space="preserve">-values are positive (excess ABBA pattern), suggesting that in each case one of the two comparison populations harbors ancestry from the third population that the other lacks​. In contrast, population comparisons that cross major geographic or cultural boundaries (e.g., highland vs. coastal in the far south) generally show </w:t>
      </w:r>
      <w:r w:rsidRPr="00AE5020">
        <w:rPr>
          <w:i/>
          <w:iCs/>
          <w:lang w:val="en-US"/>
        </w:rPr>
        <w:t>D</w:t>
      </w:r>
      <w:r w:rsidRPr="00AE5020">
        <w:rPr>
          <w:lang w:val="en-US"/>
        </w:rPr>
        <w:t>-statistics statistically indistinguishable from zero (|</w:t>
      </w:r>
      <w:r w:rsidRPr="00AE5020">
        <w:rPr>
          <w:i/>
          <w:iCs/>
          <w:lang w:val="en-US"/>
        </w:rPr>
        <w:t>Z</w:t>
      </w:r>
      <w:r w:rsidRPr="00AE5020">
        <w:rPr>
          <w:lang w:val="en-US"/>
        </w:rPr>
        <w:t xml:space="preserve">| &lt; 2, </w:t>
      </w:r>
      <w:r w:rsidRPr="00AE5020">
        <w:rPr>
          <w:i/>
          <w:iCs/>
          <w:lang w:val="en-US"/>
        </w:rPr>
        <w:t>p</w:t>
      </w:r>
      <w:r w:rsidRPr="00AE5020">
        <w:rPr>
          <w:lang w:val="en-US"/>
        </w:rPr>
        <w:t xml:space="preserve"> &gt; 0.05), indicating an absence of detectable introgression. Overall, the allele-sharing patterns revealed by the </w:t>
      </w:r>
      <w:r w:rsidRPr="00AE5020">
        <w:rPr>
          <w:i/>
          <w:iCs/>
          <w:lang w:val="en-US"/>
        </w:rPr>
        <w:t>D</w:t>
      </w:r>
      <w:r w:rsidRPr="00AE5020">
        <w:rPr>
          <w:lang w:val="en-US"/>
        </w:rPr>
        <w:t>-statistic matrix reflect a complex population structure shaped by localized gene flow events: extensive admixture among several central and northern highland and Amazonian groups, but little exchange involving populations separated by the highest mountain ranges or long distances​.</w:t>
      </w:r>
    </w:p>
    <w:p w14:paraId="5D8181F5" w14:textId="77777777" w:rsidR="001312EF" w:rsidRPr="00AE5020" w:rsidRDefault="001312EF" w:rsidP="001312EF">
      <w:pPr>
        <w:jc w:val="both"/>
        <w:rPr>
          <w:lang w:val="en-US"/>
        </w:rPr>
      </w:pPr>
    </w:p>
    <w:p w14:paraId="4C636CA5" w14:textId="77777777" w:rsidR="001312EF" w:rsidRPr="00AE5020" w:rsidRDefault="001312EF" w:rsidP="001312EF">
      <w:pPr>
        <w:jc w:val="both"/>
        <w:rPr>
          <w:lang w:val="en-US"/>
        </w:rPr>
      </w:pPr>
      <w:r w:rsidRPr="00AE5020">
        <w:rPr>
          <w:noProof/>
          <w:lang w:val="en-US"/>
        </w:rPr>
        <w:lastRenderedPageBreak/>
        <w:drawing>
          <wp:inline distT="0" distB="0" distL="0" distR="0" wp14:anchorId="147F178C" wp14:editId="6AB61958">
            <wp:extent cx="5727700" cy="4115435"/>
            <wp:effectExtent l="0" t="0" r="0" b="0"/>
            <wp:docPr id="14" name="Picture 14"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graph&#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7700" cy="4115435"/>
                    </a:xfrm>
                    <a:prstGeom prst="rect">
                      <a:avLst/>
                    </a:prstGeom>
                  </pic:spPr>
                </pic:pic>
              </a:graphicData>
            </a:graphic>
          </wp:inline>
        </w:drawing>
      </w:r>
    </w:p>
    <w:p w14:paraId="1D4BCB36" w14:textId="77777777" w:rsidR="001312EF" w:rsidRPr="00AE5020" w:rsidRDefault="001312EF" w:rsidP="001312EF">
      <w:pPr>
        <w:jc w:val="both"/>
        <w:rPr>
          <w:lang w:val="en-US"/>
        </w:rPr>
      </w:pPr>
      <w:r w:rsidRPr="00AE5020">
        <w:rPr>
          <w:noProof/>
          <w:lang w:val="en-US"/>
        </w:rPr>
        <w:drawing>
          <wp:inline distT="0" distB="0" distL="0" distR="0" wp14:anchorId="0E4C531F" wp14:editId="66F728C5">
            <wp:extent cx="5727700" cy="3669665"/>
            <wp:effectExtent l="0" t="0" r="0" b="635"/>
            <wp:docPr id="15" name="Picture 15"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diagram of a diagram&#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27700" cy="3669665"/>
                    </a:xfrm>
                    <a:prstGeom prst="rect">
                      <a:avLst/>
                    </a:prstGeom>
                  </pic:spPr>
                </pic:pic>
              </a:graphicData>
            </a:graphic>
          </wp:inline>
        </w:drawing>
      </w:r>
    </w:p>
    <w:p w14:paraId="7FBFA537" w14:textId="5C8EEF9C" w:rsidR="001312EF" w:rsidRPr="00AE5020" w:rsidRDefault="001312EF" w:rsidP="001312EF">
      <w:pPr>
        <w:jc w:val="both"/>
        <w:rPr>
          <w:sz w:val="20"/>
          <w:lang w:val="en-US"/>
        </w:rPr>
      </w:pPr>
      <w:r w:rsidRPr="00AE5020">
        <w:rPr>
          <w:b/>
          <w:iCs/>
          <w:sz w:val="20"/>
          <w:lang w:val="en-US"/>
        </w:rPr>
        <w:t xml:space="preserve">Figure </w:t>
      </w:r>
      <w:r w:rsidR="000C4C16">
        <w:rPr>
          <w:b/>
          <w:iCs/>
          <w:sz w:val="20"/>
          <w:lang w:val="en-US"/>
        </w:rPr>
        <w:t>4</w:t>
      </w:r>
      <w:r w:rsidRPr="00AE5020">
        <w:rPr>
          <w:i/>
          <w:iCs/>
          <w:sz w:val="20"/>
          <w:lang w:val="en-US"/>
        </w:rPr>
        <w:t>.</w:t>
      </w:r>
      <w:r w:rsidRPr="00AE5020">
        <w:rPr>
          <w:sz w:val="20"/>
          <w:lang w:val="en-US"/>
        </w:rPr>
        <w:t xml:space="preserve"> (A) Heatmap of Patterson’s </w:t>
      </w:r>
      <w:r w:rsidRPr="00AE5020">
        <w:rPr>
          <w:i/>
          <w:iCs/>
          <w:sz w:val="20"/>
          <w:lang w:val="en-US"/>
        </w:rPr>
        <w:t>D</w:t>
      </w:r>
      <w:r w:rsidRPr="00AE5020">
        <w:rPr>
          <w:sz w:val="20"/>
          <w:lang w:val="en-US"/>
        </w:rPr>
        <w:t xml:space="preserve">-statistic values, illustrating allele-sharing among the studied populations. Warmer colors indicate higher </w:t>
      </w:r>
      <w:r w:rsidRPr="00AE5020">
        <w:rPr>
          <w:i/>
          <w:iCs/>
          <w:sz w:val="20"/>
          <w:lang w:val="en-US"/>
        </w:rPr>
        <w:t>D</w:t>
      </w:r>
      <w:r w:rsidRPr="00AE5020">
        <w:rPr>
          <w:sz w:val="20"/>
          <w:lang w:val="en-US"/>
        </w:rPr>
        <w:t xml:space="preserve">-values (excess shared derived alleles) between population pairs, cooler colors indicate low or no excess sharing. The heatmap reveals a clear clustering of populations by their allele-sharing patterns. Notably, multiple populations form two main clusters with elevated mutual </w:t>
      </w:r>
      <w:r w:rsidRPr="00AE5020">
        <w:rPr>
          <w:i/>
          <w:iCs/>
          <w:sz w:val="20"/>
          <w:lang w:val="en-US"/>
        </w:rPr>
        <w:t>D</w:t>
      </w:r>
      <w:r w:rsidRPr="00AE5020">
        <w:rPr>
          <w:sz w:val="20"/>
          <w:lang w:val="en-US"/>
        </w:rPr>
        <w:t xml:space="preserve">-values, indicating they share significantly more alleles with each other than with populations outside their cluster. (B) This clustered structure is mirrored in the hierarchical clustering dendrogram of the same data, which groups populations with </w:t>
      </w:r>
      <w:r w:rsidRPr="00AE5020">
        <w:rPr>
          <w:sz w:val="20"/>
          <w:lang w:val="en-US"/>
        </w:rPr>
        <w:lastRenderedPageBreak/>
        <w:t xml:space="preserve">high allele sharing into the same branches. Populations from geographically proximate or historically connected regions tend to fall into the same cluster, reflecting underlying population structure shaped by gene flow. In contrast, populations separated by major geographic barriers show cool-colored cells (near-zero </w:t>
      </w:r>
      <w:r w:rsidRPr="00AE5020">
        <w:rPr>
          <w:i/>
          <w:iCs/>
          <w:sz w:val="20"/>
          <w:lang w:val="en-US"/>
        </w:rPr>
        <w:t>D</w:t>
      </w:r>
      <w:r w:rsidRPr="00AE5020">
        <w:rPr>
          <w:sz w:val="20"/>
          <w:lang w:val="en-US"/>
        </w:rPr>
        <w:t>-values) between them, consistent with little to no recent admixture.</w:t>
      </w:r>
    </w:p>
    <w:p w14:paraId="76321D92" w14:textId="77777777" w:rsidR="001312EF" w:rsidRPr="00AE5020" w:rsidRDefault="001312EF" w:rsidP="001312EF">
      <w:pPr>
        <w:jc w:val="both"/>
        <w:rPr>
          <w:lang w:val="en-US"/>
        </w:rPr>
      </w:pPr>
    </w:p>
    <w:p w14:paraId="1384FA1A" w14:textId="3FFC619F" w:rsidR="001312EF" w:rsidRPr="00AE5020" w:rsidRDefault="001312EF" w:rsidP="00C51A8E">
      <w:pPr>
        <w:jc w:val="both"/>
        <w:rPr>
          <w:lang w:val="en-US"/>
        </w:rPr>
      </w:pPr>
      <w:r w:rsidRPr="00AE5020">
        <w:rPr>
          <w:iCs/>
          <w:lang w:val="en-US"/>
        </w:rPr>
        <w:t>The h</w:t>
      </w:r>
      <w:r w:rsidRPr="00AE5020">
        <w:rPr>
          <w:lang w:val="en-US"/>
        </w:rPr>
        <w:t xml:space="preserve">ierarchical clustering (UPGMA dendrogram) of populations based on </w:t>
      </w:r>
      <w:r w:rsidRPr="00AE5020">
        <w:rPr>
          <w:i/>
          <w:iCs/>
          <w:lang w:val="en-US"/>
        </w:rPr>
        <w:t>D</w:t>
      </w:r>
      <w:r w:rsidRPr="00AE5020">
        <w:rPr>
          <w:lang w:val="en-US"/>
        </w:rPr>
        <w:t>-statistic allele-sharing distances (</w:t>
      </w:r>
      <w:r w:rsidRPr="00AE5020">
        <w:rPr>
          <w:b/>
          <w:lang w:val="en-US"/>
        </w:rPr>
        <w:t>Fig</w:t>
      </w:r>
      <w:r w:rsidR="00C51A8E">
        <w:rPr>
          <w:b/>
          <w:lang w:val="en-US"/>
        </w:rPr>
        <w:t>.</w:t>
      </w:r>
      <w:r w:rsidRPr="00AE5020">
        <w:rPr>
          <w:b/>
          <w:lang w:val="en-US"/>
        </w:rPr>
        <w:t xml:space="preserve"> </w:t>
      </w:r>
      <w:r w:rsidR="000C4C16">
        <w:rPr>
          <w:b/>
          <w:lang w:val="en-US"/>
        </w:rPr>
        <w:t>4</w:t>
      </w:r>
      <w:r w:rsidRPr="00AE5020">
        <w:rPr>
          <w:b/>
          <w:lang w:val="en-US"/>
        </w:rPr>
        <w:t>B</w:t>
      </w:r>
      <w:r w:rsidRPr="00AE5020">
        <w:rPr>
          <w:lang w:val="en-US"/>
        </w:rPr>
        <w:t>), denotes the Cusco population separately from all other groups. In the dendrogram, the Cusco population consistently emerges as an outgroup relative to the other Peruvian populations. Across all clustering analyses, Cusco is the first branch to split off, reflecting the fact that it shares comparatively few derived alleles with any of the other populations. This result is concordant with the heatmap (</w:t>
      </w:r>
      <w:r w:rsidRPr="00AE5020">
        <w:rPr>
          <w:b/>
          <w:lang w:val="en-US"/>
        </w:rPr>
        <w:t>Fig</w:t>
      </w:r>
      <w:r w:rsidR="00C51A8E">
        <w:rPr>
          <w:b/>
          <w:lang w:val="en-US"/>
        </w:rPr>
        <w:t>.</w:t>
      </w:r>
      <w:r w:rsidRPr="00AE5020">
        <w:rPr>
          <w:b/>
          <w:lang w:val="en-US"/>
        </w:rPr>
        <w:t xml:space="preserve"> </w:t>
      </w:r>
      <w:r w:rsidR="00C51A8E">
        <w:rPr>
          <w:b/>
          <w:lang w:val="en-US"/>
        </w:rPr>
        <w:t>4</w:t>
      </w:r>
      <w:r w:rsidRPr="00AE5020">
        <w:rPr>
          <w:b/>
          <w:lang w:val="en-US"/>
        </w:rPr>
        <w:t>A</w:t>
      </w:r>
      <w:r w:rsidRPr="00AE5020">
        <w:rPr>
          <w:lang w:val="en-US"/>
        </w:rPr>
        <w:t xml:space="preserve">): </w:t>
      </w:r>
      <w:r w:rsidRPr="00AE5020">
        <w:rPr>
          <w:i/>
          <w:iCs/>
          <w:lang w:val="en-US"/>
        </w:rPr>
        <w:t>D</w:t>
      </w:r>
      <w:r w:rsidRPr="00AE5020">
        <w:rPr>
          <w:lang w:val="en-US"/>
        </w:rPr>
        <w:t>-values involving Cusco and any other group are near zero and not significant (typically |</w:t>
      </w:r>
      <w:r w:rsidRPr="00AE5020">
        <w:rPr>
          <w:i/>
          <w:iCs/>
          <w:lang w:val="en-US"/>
        </w:rPr>
        <w:t>Z</w:t>
      </w:r>
      <w:r w:rsidRPr="00AE5020">
        <w:rPr>
          <w:lang w:val="en-US"/>
        </w:rPr>
        <w:t>| &lt; 2), indicating no excess allele sharing in either direction. The outgroup position of Cusco suggests that it has remained genetically more isolated, with no strong evidence of the historical gene flow events that are observed among the other populations reaching Cusco. In terms of population structure, this implies an early divergence or limited admixture for the Cusco lineage, consistent with the idea that the high altitude and geographic isolation of the southern Peruvian Andes have restricted gene flow into this region​. This finding highlights a marked genetic differentiation for Cusco: while other regions of Peru show signs of inter-regional admixture, the Cusco population stands apart as a distinct branch, underscoring its unique ancestral legacy in the context of Peruvian genetic diversity.</w:t>
      </w:r>
    </w:p>
    <w:p w14:paraId="0077D891" w14:textId="70AEAF51" w:rsidR="00FB0C7F" w:rsidRPr="00C51A8E" w:rsidRDefault="00E54D71" w:rsidP="00C51A8E">
      <w:pPr>
        <w:pStyle w:val="Heading1"/>
      </w:pPr>
      <w:r w:rsidRPr="00C51A8E">
        <w:t>Limitations</w:t>
      </w:r>
      <w:r w:rsidR="00420BC8" w:rsidRPr="00C51A8E">
        <w:t xml:space="preserve"> of this Study</w:t>
      </w:r>
    </w:p>
    <w:p w14:paraId="4F838410" w14:textId="67270D1B" w:rsidR="00E54D71" w:rsidRPr="00AE5020" w:rsidRDefault="00E54D71" w:rsidP="00E54D71">
      <w:pPr>
        <w:jc w:val="both"/>
        <w:rPr>
          <w:lang w:val="en-US"/>
        </w:rPr>
      </w:pPr>
      <w:r w:rsidRPr="00AE5020">
        <w:rPr>
          <w:lang w:val="en-US"/>
        </w:rPr>
        <w:t xml:space="preserve">It is important to acknowledge the limitations of our study. First, while 150 high-coverage genomes and nearly a thousand genotyped individuals are a substantial start, they still capture only a fraction of the diversity of Peru. Some communities had very few representatives in our sample (e.g., Matzes no. = 12), and there are many other Peruvian indigenous groups not included, given that the Peruvian State recognizes 47 Indigenous languages spoken by 55 different peoples </w:t>
      </w:r>
      <w:r w:rsidRPr="00AE5020">
        <w:rPr>
          <w:lang w:val="en-US"/>
        </w:rPr>
        <w:fldChar w:fldCharType="begin"/>
      </w:r>
      <w:r w:rsidR="00C01C95">
        <w:rPr>
          <w:lang w:val="en-US"/>
        </w:rPr>
        <w:instrText xml:space="preserve"> ADDIN ZOTERO_ITEM CSL_CITATION {"citationID":"qO036HJR","properties":{"formattedCitation":"\\super 55\\nosupersub{}","plainCitation":"55","noteIndex":0},"citationItems":[{"id":637,"uris":["http://zotero.org/users/16405780/items/5WTX4Q4V"],"itemData":{"id":637,"type":"webpage","title":"The Indigenous World 2023: Peru - IWGIA - International Work Group for Indigenous Affairs","URL":"https://iwgia.org/en/peru/5102-iw-2023-peru.html","accessed":{"date-parts":[["2025",3,23]]}}}],"schema":"https://github.com/citation-style-language/schema/raw/master/csl-citation.json"} </w:instrText>
      </w:r>
      <w:r w:rsidRPr="00AE5020">
        <w:rPr>
          <w:lang w:val="en-US"/>
        </w:rPr>
        <w:fldChar w:fldCharType="separate"/>
      </w:r>
      <w:r w:rsidR="00C01C95" w:rsidRPr="00C01C95">
        <w:rPr>
          <w:rFonts w:ascii="Calibri" w:cs="Calibri"/>
          <w:vertAlign w:val="superscript"/>
        </w:rPr>
        <w:t>55</w:t>
      </w:r>
      <w:r w:rsidRPr="00AE5020">
        <w:rPr>
          <w:lang w:val="en-US"/>
        </w:rPr>
        <w:fldChar w:fldCharType="end"/>
      </w:r>
      <w:r w:rsidRPr="00AE5020">
        <w:rPr>
          <w:lang w:val="en-US"/>
        </w:rPr>
        <w:t xml:space="preserve">, making Peru the second Latin American country with the greatest number of indigenous peoples (only after Mexico) </w:t>
      </w:r>
      <w:r w:rsidRPr="00AE5020">
        <w:rPr>
          <w:lang w:val="en-US"/>
        </w:rPr>
        <w:fldChar w:fldCharType="begin"/>
      </w:r>
      <w:r w:rsidR="00C01C95">
        <w:rPr>
          <w:lang w:val="en-US"/>
        </w:rPr>
        <w:instrText xml:space="preserve"> ADDIN ZOTERO_ITEM CSL_CITATION {"citationID":"7XNsGtA1","properties":{"formattedCitation":"\\super 56\\nosupersub{}","plainCitation":"56","noteIndex":0},"citationItems":[{"id":634,"uris":["http://zotero.org/users/16405780/items/LXIJCF9K"],"itemData":{"id":634,"type":"webpage","abstract":"While indigenous peoples make up 8 percent of the population in the region, they represent approximately 14 percent of the poor and 17 percent of the extremely poor in Latin America. Also, they still face challenges to gain access to basic services and the adoption of new technologies, a key aspect of increasingly globalized societies.","container-title":"World Bank","language":"en","title":"Indigenous Latin America","URL":"https://www.worldbank.org/en/region/lac/brief/indigenous-latin-america-in-the-twenty-first-century-brief-report-page","accessed":{"date-parts":[["2025",3,23]]}}}],"schema":"https://github.com/citation-style-language/schema/raw/master/csl-citation.json"} </w:instrText>
      </w:r>
      <w:r w:rsidRPr="00AE5020">
        <w:rPr>
          <w:lang w:val="en-US"/>
        </w:rPr>
        <w:fldChar w:fldCharType="separate"/>
      </w:r>
      <w:r w:rsidR="00C01C95" w:rsidRPr="00C01C95">
        <w:rPr>
          <w:rFonts w:ascii="Calibri" w:cs="Calibri"/>
          <w:vertAlign w:val="superscript"/>
        </w:rPr>
        <w:t>56</w:t>
      </w:r>
      <w:r w:rsidRPr="00AE5020">
        <w:rPr>
          <w:lang w:val="en-US"/>
        </w:rPr>
        <w:fldChar w:fldCharType="end"/>
      </w:r>
      <w:r w:rsidRPr="00AE5020">
        <w:rPr>
          <w:lang w:val="en-US"/>
        </w:rPr>
        <w:t xml:space="preserve">. In future work, we aim to sequence more individuals per community and include additional groups. This will help validate the novel variants we found and possibly discover more. </w:t>
      </w:r>
    </w:p>
    <w:p w14:paraId="036E4A22" w14:textId="77777777" w:rsidR="00E54D71" w:rsidRPr="00AE5020" w:rsidRDefault="00E54D71" w:rsidP="00E54D71">
      <w:pPr>
        <w:jc w:val="both"/>
        <w:rPr>
          <w:lang w:val="en-US"/>
        </w:rPr>
      </w:pPr>
    </w:p>
    <w:p w14:paraId="66749C17" w14:textId="31965809" w:rsidR="00BD07B8" w:rsidRDefault="00E54D71" w:rsidP="00BD07B8">
      <w:pPr>
        <w:jc w:val="both"/>
        <w:rPr>
          <w:lang w:val="en-US"/>
        </w:rPr>
      </w:pPr>
      <w:r w:rsidRPr="00CD1813">
        <w:rPr>
          <w:lang w:val="en-US"/>
        </w:rPr>
        <w:t>An</w:t>
      </w:r>
      <w:r w:rsidRPr="00AE5020">
        <w:rPr>
          <w:lang w:val="en-US"/>
        </w:rPr>
        <w:t>other</w:t>
      </w:r>
      <w:r w:rsidRPr="00CD1813">
        <w:rPr>
          <w:lang w:val="en-US"/>
        </w:rPr>
        <w:t xml:space="preserve"> important limitation is our current lack of wet‐lab validation for the many high‐impact variants identified. While in silico tools (e.g., VEP, CADD) help prioritize candidates, they are not definitive proof of pathogenicity or functional effect. To address this, we plan to perform mechanistic assays—such as gene expression profiling, protein‐protein interaction studies, and cellular functional tests—to clarify precisely how these variants may alter immunological or pharmacological phenotypes in vivo. In parallel, although our findings suggest potential guidelines for more targeted pharmacogenomic screening, translating them into routine clinical use will require prospective clinical trials in Peruvian populations to assess efficacy, safety, and cost‐benefit of variant‐based interventions.</w:t>
      </w:r>
    </w:p>
    <w:p w14:paraId="113209D3" w14:textId="4E3E67F9" w:rsidR="00420BC8" w:rsidRPr="00AE5020" w:rsidRDefault="000D1138" w:rsidP="00BD07B8">
      <w:pPr>
        <w:pStyle w:val="Heading1"/>
        <w:rPr>
          <w:lang w:val="en-US"/>
        </w:rPr>
      </w:pPr>
      <w:r w:rsidRPr="00AE5020">
        <w:rPr>
          <w:lang w:val="en-US"/>
        </w:rPr>
        <w:t xml:space="preserve">Extended </w:t>
      </w:r>
      <w:r w:rsidR="00420BC8" w:rsidRPr="00AE5020">
        <w:rPr>
          <w:lang w:val="en-US"/>
        </w:rPr>
        <w:t>Methods</w:t>
      </w:r>
    </w:p>
    <w:p w14:paraId="4E6B9680" w14:textId="77777777" w:rsidR="00BD07B8" w:rsidRPr="00BD07B8" w:rsidRDefault="00BD07B8" w:rsidP="00BD07B8">
      <w:pPr>
        <w:pStyle w:val="Heading2"/>
      </w:pPr>
      <w:r w:rsidRPr="00BD07B8">
        <w:t>Ethics and consent</w:t>
      </w:r>
    </w:p>
    <w:p w14:paraId="107986F1" w14:textId="77777777" w:rsidR="00BD07B8" w:rsidRPr="00AE5020" w:rsidRDefault="00BD07B8" w:rsidP="00BD07B8">
      <w:pPr>
        <w:jc w:val="both"/>
        <w:rPr>
          <w:lang w:val="en-US"/>
        </w:rPr>
      </w:pPr>
      <w:r w:rsidRPr="00AE5020">
        <w:rPr>
          <w:lang w:val="en-US"/>
        </w:rPr>
        <w:t xml:space="preserve">The ethical process for collection, stewardship, and dissemination of data and results for gathered samples followed the Declaration of Helsinki for medical research involving human </w:t>
      </w:r>
      <w:r w:rsidRPr="00AE5020">
        <w:rPr>
          <w:lang w:val="en-US"/>
        </w:rPr>
        <w:lastRenderedPageBreak/>
        <w:t xml:space="preserve">subjects. The information gathering strategy for sample collection began a month in advance before visiting each community. Communication materials consisted </w:t>
      </w:r>
      <w:proofErr w:type="gramStart"/>
      <w:r w:rsidRPr="00AE5020">
        <w:rPr>
          <w:lang w:val="en-US"/>
        </w:rPr>
        <w:t>of:</w:t>
      </w:r>
      <w:proofErr w:type="gramEnd"/>
      <w:r w:rsidRPr="00AE5020">
        <w:rPr>
          <w:lang w:val="en-US"/>
        </w:rPr>
        <w:t xml:space="preserve"> </w:t>
      </w:r>
      <w:proofErr w:type="spellStart"/>
      <w:r w:rsidRPr="00AE5020">
        <w:rPr>
          <w:lang w:val="en-US"/>
        </w:rPr>
        <w:t>i</w:t>
      </w:r>
      <w:proofErr w:type="spellEnd"/>
      <w:r w:rsidRPr="00AE5020">
        <w:rPr>
          <w:lang w:val="en-US"/>
        </w:rPr>
        <w:t xml:space="preserve">) a brochure explaining the project written in simple language (Spanish or local </w:t>
      </w:r>
      <w:r>
        <w:rPr>
          <w:lang w:val="en-US"/>
        </w:rPr>
        <w:t>indigenous</w:t>
      </w:r>
      <w:r w:rsidRPr="00AE5020">
        <w:rPr>
          <w:lang w:val="en-US"/>
        </w:rPr>
        <w:t xml:space="preserve"> language); ii) a poster reproducing what it means informed consent; iii) public informative face to face sessions aimed at the participating community; and iv) communication through local television, radio, and written press. The final decision for participation was made by the communities themselves who had to understand and consent to the ethical processes outlined. Subjects that matched the inclusion criteria were then contacted to participate, and informed consent and authorization were obtained to preserve their samples. All participants were offered the possibility of withdrawing from the study at any time with no need of explanation. </w:t>
      </w:r>
      <w:bookmarkStart w:id="41" w:name="_Hlk179372141"/>
      <w:r w:rsidRPr="00AE5020">
        <w:rPr>
          <w:lang w:val="en-US"/>
        </w:rPr>
        <w:t xml:space="preserve">All participants gave their informed consent in the presence of a translator to their mother-tongue traditional language and two local witnesses. A total of 22 individuals that matched the inclusion criteria decided not to participate in the study due to religious/cultural beliefs, and 2 recruited subjects left the study requesting their samples and data to be deleted. </w:t>
      </w:r>
      <w:bookmarkEnd w:id="41"/>
      <w:r w:rsidRPr="00AE5020">
        <w:rPr>
          <w:lang w:val="en-US"/>
        </w:rPr>
        <w:t>All procedures were evaluated and approve by Instituto Nacional de Salud del Perú (authorization no. OI-003-11 and no. OI-087-13).</w:t>
      </w:r>
    </w:p>
    <w:p w14:paraId="203C8FF6" w14:textId="77777777" w:rsidR="00BD07B8" w:rsidRDefault="00BD07B8" w:rsidP="00420BC8">
      <w:pPr>
        <w:pStyle w:val="Heading2"/>
        <w:rPr>
          <w:lang w:val="en-US"/>
        </w:rPr>
      </w:pPr>
    </w:p>
    <w:p w14:paraId="47AFA42A" w14:textId="1DE61EE9" w:rsidR="00420BC8" w:rsidRPr="00AE5020" w:rsidRDefault="00420BC8" w:rsidP="00420BC8">
      <w:pPr>
        <w:pStyle w:val="Heading2"/>
        <w:rPr>
          <w:lang w:val="en-US"/>
        </w:rPr>
      </w:pPr>
      <w:r w:rsidRPr="00AE5020">
        <w:rPr>
          <w:lang w:val="en-US"/>
        </w:rPr>
        <w:t>Population Selection Criteria and Sample Collection</w:t>
      </w:r>
    </w:p>
    <w:p w14:paraId="3839C829" w14:textId="365A2AC7" w:rsidR="00420BC8" w:rsidRPr="00AE5020" w:rsidRDefault="00420BC8" w:rsidP="00420BC8">
      <w:pPr>
        <w:jc w:val="both"/>
        <w:rPr>
          <w:lang w:val="en-US"/>
        </w:rPr>
      </w:pPr>
      <w:r w:rsidRPr="00AE5020">
        <w:rPr>
          <w:lang w:val="en-US"/>
        </w:rPr>
        <w:t xml:space="preserve">From the outset, we partnered closely with community leaders and local stakeholders to ensure that our research questions aligned with their priorities. Each Indigenous population, through consultations, influenced the sampling strategy and specific health concerns addressed by this project. </w:t>
      </w:r>
      <w:proofErr w:type="gramStart"/>
      <w:r w:rsidRPr="00AE5020">
        <w:rPr>
          <w:lang w:val="en-US"/>
        </w:rPr>
        <w:t>In order to</w:t>
      </w:r>
      <w:proofErr w:type="gramEnd"/>
      <w:r w:rsidRPr="00AE5020">
        <w:rPr>
          <w:lang w:val="en-US"/>
        </w:rPr>
        <w:t xml:space="preserve"> carry out a balanced recruitment and identification of population diversity criteria (as mandated by Instituto de Salud Nacional del Perú), we convened a panel of representatives including </w:t>
      </w:r>
      <w:r w:rsidR="0091087F">
        <w:rPr>
          <w:lang w:val="en-US"/>
        </w:rPr>
        <w:t>indigenous</w:t>
      </w:r>
      <w:r w:rsidRPr="00AE5020">
        <w:rPr>
          <w:lang w:val="en-US"/>
        </w:rPr>
        <w:t xml:space="preserve"> communities of Peru and the Peruvian Ministry of Culture. This panel allowed us to identify populations from across the coast, Andes, and Amazon jungle. We defined “</w:t>
      </w:r>
      <w:r w:rsidR="0091087F">
        <w:rPr>
          <w:lang w:val="en-US"/>
        </w:rPr>
        <w:t>indigenous</w:t>
      </w:r>
      <w:r w:rsidRPr="00AE5020">
        <w:rPr>
          <w:lang w:val="en-US"/>
        </w:rPr>
        <w:t xml:space="preserve"> individuals” as those whose parents and grandparents were born in the same </w:t>
      </w:r>
      <w:r w:rsidR="0091087F">
        <w:rPr>
          <w:lang w:val="en-US"/>
        </w:rPr>
        <w:t>indigenous</w:t>
      </w:r>
      <w:r w:rsidRPr="00AE5020">
        <w:rPr>
          <w:lang w:val="en-US"/>
        </w:rPr>
        <w:t xml:space="preserve"> community, have as mother tongue a language other than Spanish, have a distinctive cultural legacy, have no admixture with other communities and are in danger of extinction due to outside contact and changing environment or climate change. Based on this definition, the criteria for selection of </w:t>
      </w:r>
      <w:r w:rsidR="0091087F">
        <w:rPr>
          <w:lang w:val="en-US"/>
        </w:rPr>
        <w:t>indigenous</w:t>
      </w:r>
      <w:r w:rsidRPr="00AE5020">
        <w:rPr>
          <w:lang w:val="en-US"/>
        </w:rPr>
        <w:t xml:space="preserve"> populations from the Peruvian Genome Project included: a) representativeness (number of residents in each population), b) degree of isolation (days of journey from healthcare), and c) vulnerability to disappear (admixture/cultural absorption with other populations, displacement by migrations or difficult access). 17 </w:t>
      </w:r>
      <w:r w:rsidR="0091087F">
        <w:rPr>
          <w:lang w:val="en-US"/>
        </w:rPr>
        <w:t>indigenous</w:t>
      </w:r>
      <w:r w:rsidRPr="00AE5020">
        <w:rPr>
          <w:lang w:val="en-US"/>
        </w:rPr>
        <w:t xml:space="preserve"> populations and 13 mestizo populations were identified, spanning diverse locations and geographical distances. An initial breakdown of community participant individuals included 1,149. </w:t>
      </w:r>
    </w:p>
    <w:p w14:paraId="1BC08BC3" w14:textId="77777777" w:rsidR="00420BC8" w:rsidRPr="00AE5020" w:rsidRDefault="00420BC8" w:rsidP="00420BC8">
      <w:pPr>
        <w:rPr>
          <w:lang w:val="en-US"/>
        </w:rPr>
      </w:pPr>
    </w:p>
    <w:p w14:paraId="44BE7A87" w14:textId="77777777" w:rsidR="00420BC8" w:rsidRPr="00AE5020" w:rsidRDefault="00420BC8" w:rsidP="00420BC8">
      <w:pPr>
        <w:pStyle w:val="Heading2"/>
        <w:rPr>
          <w:lang w:val="en-US"/>
        </w:rPr>
      </w:pPr>
      <w:r w:rsidRPr="00AE5020">
        <w:rPr>
          <w:lang w:val="en-US"/>
        </w:rPr>
        <w:t>Genotyping, Whole Genome (WGS) Sequencing and Variant Calling</w:t>
      </w:r>
    </w:p>
    <w:p w14:paraId="5A6F59D8" w14:textId="5F7D8756" w:rsidR="00420BC8" w:rsidRPr="00AE5020" w:rsidRDefault="00420BC8" w:rsidP="00420BC8">
      <w:pPr>
        <w:jc w:val="both"/>
        <w:rPr>
          <w:lang w:val="en-US"/>
        </w:rPr>
      </w:pPr>
      <w:r w:rsidRPr="00AE5020">
        <w:rPr>
          <w:lang w:val="en-US"/>
        </w:rPr>
        <w:t xml:space="preserve">723 </w:t>
      </w:r>
      <w:r w:rsidR="0091087F">
        <w:rPr>
          <w:lang w:val="en-US"/>
        </w:rPr>
        <w:t>Indigenous</w:t>
      </w:r>
      <w:r w:rsidRPr="00AE5020">
        <w:rPr>
          <w:lang w:val="en-US"/>
        </w:rPr>
        <w:t xml:space="preserve"> American and mestizo Peruvian individuals were genotyped on a 2.5M Illumina chip. The study analyzed 150 whole genomes from individuals representing 7 Peruvian populations: </w:t>
      </w:r>
      <w:proofErr w:type="spellStart"/>
      <w:r w:rsidRPr="00AE5020">
        <w:rPr>
          <w:lang w:val="en-US"/>
        </w:rPr>
        <w:t>Matsés</w:t>
      </w:r>
      <w:proofErr w:type="spellEnd"/>
      <w:r w:rsidRPr="00AE5020">
        <w:rPr>
          <w:lang w:val="en-US"/>
        </w:rPr>
        <w:t xml:space="preserve">, Uros, </w:t>
      </w:r>
      <w:proofErr w:type="spellStart"/>
      <w:r w:rsidRPr="00AE5020">
        <w:rPr>
          <w:lang w:val="en-US"/>
        </w:rPr>
        <w:t>Chopccas</w:t>
      </w:r>
      <w:proofErr w:type="spellEnd"/>
      <w:r w:rsidRPr="00AE5020">
        <w:rPr>
          <w:lang w:val="en-US"/>
        </w:rPr>
        <w:t xml:space="preserve">, </w:t>
      </w:r>
      <w:proofErr w:type="spellStart"/>
      <w:r w:rsidRPr="00AE5020">
        <w:rPr>
          <w:lang w:val="en-US"/>
        </w:rPr>
        <w:t>Moches</w:t>
      </w:r>
      <w:proofErr w:type="spellEnd"/>
      <w:r w:rsidRPr="00AE5020">
        <w:rPr>
          <w:lang w:val="en-US"/>
        </w:rPr>
        <w:t xml:space="preserve">, Iquitos, Cusco and Trujillo. Each genome was sequenced at 35x coverage using the Illumina </w:t>
      </w:r>
      <w:proofErr w:type="spellStart"/>
      <w:r w:rsidRPr="00AE5020">
        <w:rPr>
          <w:lang w:val="en-US"/>
        </w:rPr>
        <w:t>HiSeq</w:t>
      </w:r>
      <w:proofErr w:type="spellEnd"/>
      <w:r w:rsidRPr="00AE5020">
        <w:rPr>
          <w:lang w:val="en-US"/>
        </w:rPr>
        <w:t xml:space="preserve"> X10 platform to ensure high accuracy in variant detection. Alignment of the sequencing data was conducted using BWA-MEM against hg19. Post alignment, Picard </w:t>
      </w:r>
      <w:proofErr w:type="spellStart"/>
      <w:r w:rsidRPr="00AE5020">
        <w:rPr>
          <w:lang w:val="en-US"/>
        </w:rPr>
        <w:t>MarkDuplicates</w:t>
      </w:r>
      <w:proofErr w:type="spellEnd"/>
      <w:r w:rsidRPr="00AE5020">
        <w:rPr>
          <w:lang w:val="en-US"/>
        </w:rPr>
        <w:t xml:space="preserve"> was used to identify and mark duplicate reads </w:t>
      </w:r>
      <w:proofErr w:type="gramStart"/>
      <w:r w:rsidRPr="00AE5020">
        <w:rPr>
          <w:lang w:val="en-US"/>
        </w:rPr>
        <w:t>in order to</w:t>
      </w:r>
      <w:proofErr w:type="gramEnd"/>
      <w:r w:rsidRPr="00AE5020">
        <w:rPr>
          <w:lang w:val="en-US"/>
        </w:rPr>
        <w:t xml:space="preserve"> minimize biases in variant calling. For variant calling the GATK </w:t>
      </w:r>
      <w:proofErr w:type="spellStart"/>
      <w:r w:rsidRPr="00AE5020">
        <w:rPr>
          <w:lang w:val="en-US"/>
        </w:rPr>
        <w:t>UnifiedGenotyper</w:t>
      </w:r>
      <w:proofErr w:type="spellEnd"/>
      <w:r w:rsidRPr="00AE5020">
        <w:rPr>
          <w:lang w:val="en-US"/>
        </w:rPr>
        <w:t xml:space="preserve"> tool was used to jointly identify biallelic single nucleotide variants (SNVs) </w:t>
      </w:r>
      <w:r w:rsidRPr="00AE5020">
        <w:rPr>
          <w:lang w:val="en-US"/>
        </w:rPr>
        <w:lastRenderedPageBreak/>
        <w:t xml:space="preserve">across the nuclear and mitochondrial genome of individuals. This included identifying variants independently in each sample and the generating a comprehensive set of biallelic SNVs. To maintain the reliability of detected variants we excluded low quality variants flagged as </w:t>
      </w:r>
      <w:proofErr w:type="spellStart"/>
      <w:r w:rsidRPr="00AE5020">
        <w:rPr>
          <w:lang w:val="en-US"/>
        </w:rPr>
        <w:t>LowQual</w:t>
      </w:r>
      <w:proofErr w:type="spellEnd"/>
      <w:r w:rsidRPr="00AE5020">
        <w:rPr>
          <w:lang w:val="en-US"/>
        </w:rPr>
        <w:t xml:space="preserve"> or with a score &lt;20. We then proceeded to perform a kingship analysis.</w:t>
      </w:r>
    </w:p>
    <w:p w14:paraId="7CD69446" w14:textId="77777777" w:rsidR="00420BC8" w:rsidRPr="00AE5020" w:rsidRDefault="00420BC8" w:rsidP="00420BC8">
      <w:pPr>
        <w:rPr>
          <w:lang w:val="en-US"/>
        </w:rPr>
      </w:pPr>
    </w:p>
    <w:p w14:paraId="4F033558" w14:textId="77777777" w:rsidR="00420BC8" w:rsidRPr="00AE5020" w:rsidRDefault="00420BC8" w:rsidP="00420BC8">
      <w:pPr>
        <w:pStyle w:val="Heading2"/>
        <w:rPr>
          <w:lang w:val="en-US"/>
        </w:rPr>
      </w:pPr>
      <w:r w:rsidRPr="00AE5020">
        <w:rPr>
          <w:lang w:val="en-US"/>
        </w:rPr>
        <w:t>Kinship Analysis</w:t>
      </w:r>
    </w:p>
    <w:p w14:paraId="49224ACF" w14:textId="77777777" w:rsidR="00420BC8" w:rsidRPr="00AE5020" w:rsidRDefault="00420BC8" w:rsidP="00420BC8">
      <w:pPr>
        <w:jc w:val="both"/>
        <w:rPr>
          <w:lang w:val="en-US"/>
        </w:rPr>
      </w:pPr>
      <w:r w:rsidRPr="00AE5020">
        <w:rPr>
          <w:lang w:val="en-US"/>
        </w:rPr>
        <w:t xml:space="preserve">Kingship analysis was performed using data from the 150 whole genomes using 12,897,474 variants. We calculated kingship coefficients, setting a coefficient threshold of 0,0442 to identify second-degree relatives or closer. Individuals exceeding this threshold were marked. PLINK’s –remove option was then used for those analyses requiring the exclusion of second relatives or lower. This dataset maintained the original 12,897,474 variants and 109 individuals. </w:t>
      </w:r>
    </w:p>
    <w:p w14:paraId="439CB8DF" w14:textId="77777777" w:rsidR="00420BC8" w:rsidRPr="00AE5020" w:rsidRDefault="00420BC8" w:rsidP="00420BC8">
      <w:pPr>
        <w:jc w:val="both"/>
        <w:rPr>
          <w:lang w:val="en-US"/>
        </w:rPr>
      </w:pPr>
    </w:p>
    <w:p w14:paraId="6E6D1C66" w14:textId="77777777" w:rsidR="00420BC8" w:rsidRPr="00AE5020" w:rsidRDefault="00420BC8" w:rsidP="00420BC8">
      <w:pPr>
        <w:pStyle w:val="Heading2"/>
        <w:rPr>
          <w:lang w:val="en-US"/>
        </w:rPr>
      </w:pPr>
      <w:r w:rsidRPr="00AE5020">
        <w:rPr>
          <w:lang w:val="en-US"/>
        </w:rPr>
        <w:t>Sample Merging and Identity-by-Descent Analysis</w:t>
      </w:r>
    </w:p>
    <w:p w14:paraId="6AE769A4" w14:textId="77777777" w:rsidR="00420BC8" w:rsidRPr="00AE5020" w:rsidRDefault="00420BC8" w:rsidP="00420BC8">
      <w:pPr>
        <w:jc w:val="both"/>
        <w:rPr>
          <w:lang w:val="en-US"/>
        </w:rPr>
      </w:pPr>
      <w:r w:rsidRPr="00AE5020">
        <w:rPr>
          <w:lang w:val="en-US"/>
        </w:rPr>
        <w:t xml:space="preserve">To combine whole‐genome and array‐based genotypes, we first identified the </w:t>
      </w:r>
      <w:r w:rsidRPr="00AE5020">
        <w:rPr>
          <w:bCs/>
          <w:lang w:val="en-US"/>
        </w:rPr>
        <w:t>intersection of shared variants</w:t>
      </w:r>
      <w:r w:rsidRPr="00AE5020">
        <w:rPr>
          <w:lang w:val="en-US"/>
        </w:rPr>
        <w:t xml:space="preserve"> between the two platforms. The whole‐genome dataset initially consisted of 150 samples and ~13.05 million variants, while the array dataset included 722 samples and ~2.04 million variants. We computed the overlap of these SNP sets (common variants) and merged the data into a single cohort.</w:t>
      </w:r>
    </w:p>
    <w:p w14:paraId="4ACCAAB2" w14:textId="77777777" w:rsidR="00420BC8" w:rsidRPr="00AE5020" w:rsidRDefault="00420BC8" w:rsidP="00420BC8">
      <w:pPr>
        <w:jc w:val="both"/>
        <w:rPr>
          <w:lang w:val="en-US"/>
        </w:rPr>
      </w:pPr>
    </w:p>
    <w:p w14:paraId="28BD3AB8" w14:textId="77777777" w:rsidR="00420BC8" w:rsidRPr="00AE5020" w:rsidRDefault="00420BC8" w:rsidP="00420BC8">
      <w:pPr>
        <w:jc w:val="both"/>
        <w:rPr>
          <w:lang w:val="en-US"/>
        </w:rPr>
      </w:pPr>
      <w:r w:rsidRPr="00AE5020">
        <w:rPr>
          <w:lang w:val="en-US"/>
        </w:rPr>
        <w:t xml:space="preserve">Next, we performed </w:t>
      </w:r>
      <w:r w:rsidRPr="00AE5020">
        <w:rPr>
          <w:bCs/>
          <w:lang w:val="en-US"/>
        </w:rPr>
        <w:t>identity‐by‐descent</w:t>
      </w:r>
      <w:r w:rsidRPr="00AE5020">
        <w:rPr>
          <w:lang w:val="en-US"/>
        </w:rPr>
        <w:t xml:space="preserve"> (IBD) filtering to remove duplicate samples and close relatives. We used PLINK (version 1.9) to estimate pairwise IBD coefficients. The following steps outline our procedure:</w:t>
      </w:r>
    </w:p>
    <w:p w14:paraId="7E826654" w14:textId="77777777" w:rsidR="00420BC8" w:rsidRPr="00AE5020" w:rsidRDefault="00420BC8" w:rsidP="00420BC8">
      <w:pPr>
        <w:numPr>
          <w:ilvl w:val="0"/>
          <w:numId w:val="2"/>
        </w:numPr>
        <w:jc w:val="both"/>
        <w:rPr>
          <w:lang w:val="en-US"/>
        </w:rPr>
      </w:pPr>
      <w:r w:rsidRPr="00AE5020">
        <w:rPr>
          <w:b/>
          <w:bCs/>
          <w:lang w:val="en-US"/>
        </w:rPr>
        <w:t>PLINK IBD Analysis</w:t>
      </w:r>
      <w:r w:rsidRPr="00AE5020">
        <w:rPr>
          <w:lang w:val="en-US"/>
        </w:rPr>
        <w:t>. We invoked PLINK with the --genome flag on the merged dataset to calculate the pairwise IBD statistics (PI_HAT). A PI_HAT value close to 1.0 indicates near‐identical genotypes (e.g., duplicates or monozygotic twins), whereas values between ~0.25–0.5 suggest close familial relationships (e.g., siblings or parent–child pairs).</w:t>
      </w:r>
    </w:p>
    <w:p w14:paraId="6B9C9B46" w14:textId="77777777" w:rsidR="00420BC8" w:rsidRPr="00AE5020" w:rsidRDefault="00420BC8" w:rsidP="00420BC8">
      <w:pPr>
        <w:numPr>
          <w:ilvl w:val="0"/>
          <w:numId w:val="2"/>
        </w:numPr>
        <w:jc w:val="both"/>
        <w:rPr>
          <w:lang w:val="en-US"/>
        </w:rPr>
      </w:pPr>
      <w:r w:rsidRPr="00AE5020">
        <w:rPr>
          <w:b/>
          <w:bCs/>
          <w:lang w:val="en-US"/>
        </w:rPr>
        <w:t>Filtering Threshold</w:t>
      </w:r>
      <w:r w:rsidRPr="00AE5020">
        <w:rPr>
          <w:lang w:val="en-US"/>
        </w:rPr>
        <w:t xml:space="preserve">. We set a threshold of </w:t>
      </w:r>
      <w:r w:rsidRPr="00AE5020">
        <w:rPr>
          <w:bCs/>
          <w:lang w:val="en-US"/>
        </w:rPr>
        <w:t>PI_HAT &gt; 0.95</w:t>
      </w:r>
      <w:r w:rsidRPr="00AE5020">
        <w:rPr>
          <w:lang w:val="en-US"/>
        </w:rPr>
        <w:t xml:space="preserve"> to detect duplicates or effectively identical samples. In practice, any pair exceeding this threshold was flagged as duplicates, while other relationship thresholds (e.g., ~0.5 for first‐degree relatives) were also assessed to remove potential siblings or parent–child pairs.</w:t>
      </w:r>
    </w:p>
    <w:p w14:paraId="71FDC8E2" w14:textId="77777777" w:rsidR="00420BC8" w:rsidRPr="00AE5020" w:rsidRDefault="00420BC8" w:rsidP="00420BC8">
      <w:pPr>
        <w:numPr>
          <w:ilvl w:val="0"/>
          <w:numId w:val="2"/>
        </w:numPr>
        <w:jc w:val="both"/>
        <w:rPr>
          <w:lang w:val="en-US"/>
        </w:rPr>
      </w:pPr>
      <w:r w:rsidRPr="00AE5020">
        <w:rPr>
          <w:b/>
          <w:bCs/>
          <w:lang w:val="en-US"/>
        </w:rPr>
        <w:t>Generating Exclusion Lists</w:t>
      </w:r>
      <w:r w:rsidRPr="00AE5020">
        <w:rPr>
          <w:lang w:val="en-US"/>
        </w:rPr>
        <w:t>. Using a Python script, we parsed the resulting .genome file from PLINK to identify sample IDs (both FID and IID) whose pairwise PI_HAT values exceeded 0.95. These sample IDs were then written to a “remove.txt” file.</w:t>
      </w:r>
    </w:p>
    <w:p w14:paraId="30107B11" w14:textId="77777777" w:rsidR="00420BC8" w:rsidRPr="00AE5020" w:rsidRDefault="00420BC8" w:rsidP="00420BC8">
      <w:pPr>
        <w:numPr>
          <w:ilvl w:val="0"/>
          <w:numId w:val="2"/>
        </w:numPr>
        <w:jc w:val="both"/>
        <w:rPr>
          <w:lang w:val="en-US"/>
        </w:rPr>
      </w:pPr>
      <w:r w:rsidRPr="00AE5020">
        <w:rPr>
          <w:b/>
          <w:bCs/>
          <w:lang w:val="en-US"/>
        </w:rPr>
        <w:t>Removing Individuals</w:t>
      </w:r>
      <w:r w:rsidRPr="00AE5020">
        <w:rPr>
          <w:lang w:val="en-US"/>
        </w:rPr>
        <w:t xml:space="preserve">. We re‐ran PLINK with --remove remove.txt, producing a new dataset (*_clean) that excluded the flagged duplicates or close‐relatives. This procedure ensured that only </w:t>
      </w:r>
      <w:r w:rsidRPr="00AE5020">
        <w:rPr>
          <w:bCs/>
          <w:lang w:val="en-US"/>
        </w:rPr>
        <w:t>one representative</w:t>
      </w:r>
      <w:r w:rsidRPr="00AE5020">
        <w:rPr>
          <w:lang w:val="en-US"/>
        </w:rPr>
        <w:t xml:space="preserve"> from each closely related pair remained in the final cohort.</w:t>
      </w:r>
    </w:p>
    <w:p w14:paraId="034E037C" w14:textId="77777777" w:rsidR="00420BC8" w:rsidRPr="00AE5020" w:rsidRDefault="00420BC8" w:rsidP="00420BC8">
      <w:pPr>
        <w:jc w:val="both"/>
        <w:rPr>
          <w:lang w:val="en-US"/>
        </w:rPr>
      </w:pPr>
      <w:r w:rsidRPr="00AE5020">
        <w:rPr>
          <w:lang w:val="en-US"/>
        </w:rPr>
        <w:t xml:space="preserve">Through this IBD filtering, we eliminated 41 redundant or closely related genome samples and 95 array samples. The final </w:t>
      </w:r>
      <w:r w:rsidRPr="00AE5020">
        <w:rPr>
          <w:bCs/>
          <w:lang w:val="en-US"/>
        </w:rPr>
        <w:t>IBD‐cleaned</w:t>
      </w:r>
      <w:r w:rsidRPr="00AE5020">
        <w:rPr>
          <w:lang w:val="en-US"/>
        </w:rPr>
        <w:t xml:space="preserve"> dataset comprised 109 genome samples and 627 array samples (736 total), each sharing 936,301 variants. This curated data was used for subsequent population analyses, ensuring no artificially inflated signals from duplicated or closely related individuals.</w:t>
      </w:r>
    </w:p>
    <w:p w14:paraId="62E86A63" w14:textId="77777777" w:rsidR="00420BC8" w:rsidRPr="00AE5020" w:rsidRDefault="00420BC8" w:rsidP="00420BC8">
      <w:pPr>
        <w:rPr>
          <w:lang w:val="en-US"/>
        </w:rPr>
      </w:pPr>
    </w:p>
    <w:p w14:paraId="65A98C3B" w14:textId="04FC9990" w:rsidR="00420BC8" w:rsidRPr="00BD07B8" w:rsidRDefault="00420BC8" w:rsidP="00BD07B8">
      <w:pPr>
        <w:pStyle w:val="Heading2"/>
      </w:pPr>
      <w:r w:rsidRPr="00BD07B8">
        <w:lastRenderedPageBreak/>
        <w:t>Variant Effect Predictor (VEP) Analysis of Whole Genome Sequencing Data</w:t>
      </w:r>
    </w:p>
    <w:p w14:paraId="3475AEEB" w14:textId="77777777" w:rsidR="00420BC8" w:rsidRPr="00AE5020" w:rsidRDefault="00420BC8" w:rsidP="00420BC8">
      <w:pPr>
        <w:jc w:val="both"/>
        <w:rPr>
          <w:lang w:val="en-US"/>
        </w:rPr>
      </w:pPr>
      <w:r w:rsidRPr="00AE5020">
        <w:rPr>
          <w:lang w:val="en-US"/>
        </w:rPr>
        <w:t xml:space="preserve">As part of the effort to characterize functionally relevant variants, we employed the </w:t>
      </w:r>
      <w:proofErr w:type="spellStart"/>
      <w:r w:rsidRPr="00AE5020">
        <w:rPr>
          <w:lang w:val="en-US"/>
        </w:rPr>
        <w:t>Ensembl</w:t>
      </w:r>
      <w:proofErr w:type="spellEnd"/>
      <w:r w:rsidRPr="00AE5020">
        <w:rPr>
          <w:lang w:val="en-US"/>
        </w:rPr>
        <w:t xml:space="preserve"> </w:t>
      </w:r>
      <w:r w:rsidRPr="00AE5020">
        <w:rPr>
          <w:bCs/>
          <w:lang w:val="en-US"/>
        </w:rPr>
        <w:t>Variant Effect Predictor (VEP)</w:t>
      </w:r>
      <w:r w:rsidRPr="00AE5020">
        <w:rPr>
          <w:lang w:val="en-US"/>
        </w:rPr>
        <w:t xml:space="preserve"> on our </w:t>
      </w:r>
      <w:r w:rsidRPr="00AE5020">
        <w:rPr>
          <w:bCs/>
          <w:lang w:val="en-US"/>
        </w:rPr>
        <w:t>biallelic</w:t>
      </w:r>
      <w:r w:rsidRPr="00AE5020">
        <w:rPr>
          <w:lang w:val="en-US"/>
        </w:rPr>
        <w:t xml:space="preserve"> SNV dataset derived from 150 Peruvian whole genomes (after quality control and kinship-based pruning). This decision was motivated by the need to prioritize genomic alterations most likely to affect protein structure or gene regulation. </w:t>
      </w:r>
      <w:proofErr w:type="gramStart"/>
      <w:r w:rsidRPr="00AE5020">
        <w:rPr>
          <w:lang w:val="en-US"/>
        </w:rPr>
        <w:t>In particular, we</w:t>
      </w:r>
      <w:proofErr w:type="gramEnd"/>
      <w:r w:rsidRPr="00AE5020">
        <w:rPr>
          <w:lang w:val="en-US"/>
        </w:rPr>
        <w:t xml:space="preserve"> aimed to (a) reduce downstream computational complexity, and (b) focus on putatively </w:t>
      </w:r>
      <w:r w:rsidRPr="00AE5020">
        <w:rPr>
          <w:bCs/>
          <w:lang w:val="en-US"/>
        </w:rPr>
        <w:t>HIGH-impact</w:t>
      </w:r>
      <w:r w:rsidRPr="00AE5020">
        <w:rPr>
          <w:lang w:val="en-US"/>
        </w:rPr>
        <w:t xml:space="preserve"> variants—those with strong evidence of functional disruption (e.g., stop-gained, frameshift, splice acceptor/donor).</w:t>
      </w:r>
    </w:p>
    <w:p w14:paraId="21C42E09" w14:textId="77777777" w:rsidR="00420BC8" w:rsidRPr="00AE5020" w:rsidRDefault="00420BC8" w:rsidP="00420BC8">
      <w:pPr>
        <w:jc w:val="both"/>
        <w:rPr>
          <w:bCs/>
          <w:lang w:val="en-US"/>
        </w:rPr>
      </w:pPr>
    </w:p>
    <w:p w14:paraId="7E26DFBD" w14:textId="672A77F2" w:rsidR="00420BC8" w:rsidRPr="00AE5020" w:rsidRDefault="00420BC8" w:rsidP="00420BC8">
      <w:pPr>
        <w:jc w:val="both"/>
        <w:rPr>
          <w:lang w:val="en-US"/>
        </w:rPr>
      </w:pPr>
      <w:r w:rsidRPr="00AE5020">
        <w:rPr>
          <w:lang w:val="en-US"/>
        </w:rPr>
        <w:t xml:space="preserve">Each variant was keyed by its unique chromosome–position–reference–alternate combination. For loci exhibiting multiple transcript annotations and/or multiple predicted consequences, the pipeline retained only the </w:t>
      </w:r>
      <w:r w:rsidRPr="00AE5020">
        <w:rPr>
          <w:bCs/>
          <w:lang w:val="en-US"/>
        </w:rPr>
        <w:t>most severe (</w:t>
      </w:r>
      <w:proofErr w:type="gramStart"/>
      <w:r w:rsidRPr="00AE5020">
        <w:rPr>
          <w:bCs/>
          <w:lang w:val="en-US"/>
        </w:rPr>
        <w:t>highest-impact</w:t>
      </w:r>
      <w:proofErr w:type="gramEnd"/>
      <w:r w:rsidRPr="00AE5020">
        <w:rPr>
          <w:bCs/>
          <w:lang w:val="en-US"/>
        </w:rPr>
        <w:t>)</w:t>
      </w:r>
      <w:r w:rsidRPr="00AE5020">
        <w:rPr>
          <w:lang w:val="en-US"/>
        </w:rPr>
        <w:t xml:space="preserve"> annotation</w:t>
      </w:r>
      <w:r w:rsidR="00CB552E">
        <w:rPr>
          <w:lang w:val="en-US"/>
        </w:rPr>
        <w:t xml:space="preserve"> as ranked by </w:t>
      </w:r>
      <w:r w:rsidR="00CB552E" w:rsidRPr="00CB552E">
        <w:rPr>
          <w:b/>
          <w:bCs/>
          <w:lang w:val="en-US"/>
        </w:rPr>
        <w:t>Excel Supplementary Table 1</w:t>
      </w:r>
      <w:r w:rsidRPr="00AE5020">
        <w:rPr>
          <w:lang w:val="en-US"/>
        </w:rPr>
        <w:t xml:space="preserve">. As a result, non-severe annotations for the same site or allele were </w:t>
      </w:r>
      <w:r w:rsidRPr="00AE5020">
        <w:rPr>
          <w:bCs/>
          <w:lang w:val="en-US"/>
        </w:rPr>
        <w:t>excluded</w:t>
      </w:r>
      <w:r w:rsidRPr="00AE5020">
        <w:rPr>
          <w:lang w:val="en-US"/>
        </w:rPr>
        <w:t xml:space="preserve"> from the final variant table, ensuring consistency in subsequent analyses.</w:t>
      </w:r>
    </w:p>
    <w:p w14:paraId="34625903" w14:textId="77777777" w:rsidR="00420BC8" w:rsidRPr="00AE5020" w:rsidRDefault="00420BC8" w:rsidP="00420BC8">
      <w:pPr>
        <w:numPr>
          <w:ilvl w:val="0"/>
          <w:numId w:val="3"/>
        </w:numPr>
        <w:rPr>
          <w:lang w:val="en-US"/>
        </w:rPr>
      </w:pPr>
      <w:r w:rsidRPr="00AE5020">
        <w:rPr>
          <w:b/>
          <w:bCs/>
          <w:lang w:val="en-US"/>
        </w:rPr>
        <w:t>Biallelic Subset</w:t>
      </w:r>
      <w:r w:rsidRPr="00AE5020">
        <w:rPr>
          <w:lang w:val="en-US"/>
        </w:rPr>
        <w:t xml:space="preserve">. Although the initial dataset was filtered to include only biallelic variants, a subset of these had arisen from </w:t>
      </w:r>
      <w:r w:rsidRPr="00AE5020">
        <w:rPr>
          <w:bCs/>
          <w:lang w:val="en-US"/>
        </w:rPr>
        <w:t>split multi-allelic sites</w:t>
      </w:r>
      <w:r w:rsidRPr="00AE5020">
        <w:rPr>
          <w:lang w:val="en-US"/>
        </w:rPr>
        <w:t>; each alternate allele was treated independently. This approach sometimes introduced complexities, such as partially missing or mismatched allele records if the alternate allele did not align with the reference used by VEP.</w:t>
      </w:r>
    </w:p>
    <w:p w14:paraId="3BFD8B9A" w14:textId="77777777" w:rsidR="00420BC8" w:rsidRPr="00AE5020" w:rsidRDefault="00420BC8" w:rsidP="00420BC8">
      <w:pPr>
        <w:numPr>
          <w:ilvl w:val="0"/>
          <w:numId w:val="3"/>
        </w:numPr>
        <w:rPr>
          <w:lang w:val="en-US"/>
        </w:rPr>
      </w:pPr>
      <w:r w:rsidRPr="00AE5020">
        <w:rPr>
          <w:b/>
          <w:bCs/>
          <w:lang w:val="en-US"/>
        </w:rPr>
        <w:t>Excluding Common Variants</w:t>
      </w:r>
      <w:r w:rsidRPr="00AE5020">
        <w:rPr>
          <w:lang w:val="en-US"/>
        </w:rPr>
        <w:t xml:space="preserve">. We further restricted our attention to variants with a </w:t>
      </w:r>
      <w:r w:rsidRPr="00AE5020">
        <w:rPr>
          <w:bCs/>
          <w:lang w:val="en-US"/>
        </w:rPr>
        <w:t>global minor allele frequency (MAF) &lt;1%</w:t>
      </w:r>
      <w:r w:rsidRPr="00AE5020">
        <w:rPr>
          <w:lang w:val="en-US"/>
        </w:rPr>
        <w:t xml:space="preserve"> in the 1000 Genomes Project. This filter aimed to identify candidate rare variants of potential clinical or population-genetic interest.</w:t>
      </w:r>
    </w:p>
    <w:p w14:paraId="08E15FAD" w14:textId="7F418195" w:rsidR="00420BC8" w:rsidRPr="00AE5020" w:rsidRDefault="00CB552E" w:rsidP="00420BC8">
      <w:pPr>
        <w:numPr>
          <w:ilvl w:val="0"/>
          <w:numId w:val="3"/>
        </w:numPr>
        <w:rPr>
          <w:lang w:val="en-US"/>
        </w:rPr>
      </w:pPr>
      <w:r>
        <w:rPr>
          <w:b/>
          <w:bCs/>
          <w:lang w:val="en-US"/>
        </w:rPr>
        <w:t>Final Variant Selection</w:t>
      </w:r>
      <w:r w:rsidR="00420BC8" w:rsidRPr="00AE5020">
        <w:rPr>
          <w:lang w:val="en-US"/>
        </w:rPr>
        <w:t xml:space="preserve">. Ultimately, we chose </w:t>
      </w:r>
      <w:r w:rsidR="00420BC8" w:rsidRPr="00AE5020">
        <w:rPr>
          <w:bCs/>
          <w:lang w:val="en-US"/>
        </w:rPr>
        <w:t>only</w:t>
      </w:r>
      <w:r w:rsidR="00420BC8" w:rsidRPr="00AE5020">
        <w:rPr>
          <w:lang w:val="en-US"/>
        </w:rPr>
        <w:t xml:space="preserve"> those variants annotated by VEP as having a HIGH impact. This decision significantly reduced the size of the annotated dataset, eliminating large numbers of low-impact or non-coding variants with limited clinical relevance.</w:t>
      </w:r>
    </w:p>
    <w:p w14:paraId="49202353" w14:textId="77777777" w:rsidR="00420BC8" w:rsidRPr="00AE5020" w:rsidRDefault="00420BC8" w:rsidP="00420BC8">
      <w:pPr>
        <w:rPr>
          <w:b/>
          <w:bCs/>
          <w:lang w:val="en-US"/>
        </w:rPr>
      </w:pPr>
    </w:p>
    <w:p w14:paraId="70F7F8D2" w14:textId="77777777" w:rsidR="00420BC8" w:rsidRPr="00AE5020" w:rsidRDefault="00420BC8" w:rsidP="00420BC8">
      <w:pPr>
        <w:jc w:val="both"/>
        <w:rPr>
          <w:lang w:val="en-US"/>
        </w:rPr>
      </w:pPr>
      <w:r w:rsidRPr="00AE5020">
        <w:rPr>
          <w:lang w:val="en-US"/>
        </w:rPr>
        <w:t xml:space="preserve">A direct comparison between the table holding raw biallelic VCF </w:t>
      </w:r>
      <w:proofErr w:type="gramStart"/>
      <w:r w:rsidRPr="00AE5020">
        <w:rPr>
          <w:lang w:val="en-US"/>
        </w:rPr>
        <w:t>uploads</w:t>
      </w:r>
      <w:proofErr w:type="gramEnd"/>
      <w:r w:rsidRPr="00AE5020">
        <w:rPr>
          <w:lang w:val="en-US"/>
        </w:rPr>
        <w:t xml:space="preserve"> and the final VEP annotation table revealed that approximately </w:t>
      </w:r>
      <w:r w:rsidRPr="00AE5020">
        <w:rPr>
          <w:bCs/>
          <w:lang w:val="en-US"/>
        </w:rPr>
        <w:t>2,480,877</w:t>
      </w:r>
      <w:r w:rsidRPr="00AE5020">
        <w:rPr>
          <w:lang w:val="en-US"/>
        </w:rPr>
        <w:t xml:space="preserve"> biallelic variants lacked corresponding VEP entries. Closer inspection identified several reasons for this discrepancy:</w:t>
      </w:r>
    </w:p>
    <w:p w14:paraId="7411900A" w14:textId="77777777" w:rsidR="00420BC8" w:rsidRPr="00AE5020" w:rsidRDefault="00420BC8" w:rsidP="00420BC8">
      <w:pPr>
        <w:numPr>
          <w:ilvl w:val="0"/>
          <w:numId w:val="4"/>
        </w:numPr>
        <w:jc w:val="both"/>
        <w:rPr>
          <w:lang w:val="en-US"/>
        </w:rPr>
      </w:pPr>
      <w:r w:rsidRPr="00AE5020">
        <w:rPr>
          <w:b/>
          <w:bCs/>
          <w:lang w:val="en-US"/>
        </w:rPr>
        <w:t>Excluded Consequences</w:t>
      </w:r>
      <w:r w:rsidRPr="00AE5020">
        <w:rPr>
          <w:lang w:val="en-US"/>
        </w:rPr>
        <w:t>. Many variants were assigned a MODERATE, LOW, or MODIFIER impact by VEP, and were not imported into the final table once we decided to keep only HIGH-impact results.</w:t>
      </w:r>
    </w:p>
    <w:p w14:paraId="60CFC44B" w14:textId="77777777" w:rsidR="00420BC8" w:rsidRPr="00AE5020" w:rsidRDefault="00420BC8" w:rsidP="00420BC8">
      <w:pPr>
        <w:numPr>
          <w:ilvl w:val="0"/>
          <w:numId w:val="4"/>
        </w:numPr>
        <w:jc w:val="both"/>
        <w:rPr>
          <w:lang w:val="en-US"/>
        </w:rPr>
      </w:pPr>
      <w:r w:rsidRPr="00AE5020">
        <w:rPr>
          <w:b/>
          <w:bCs/>
          <w:lang w:val="en-US"/>
        </w:rPr>
        <w:t>Sex Chromosome Anomalies</w:t>
      </w:r>
      <w:r w:rsidRPr="00AE5020">
        <w:rPr>
          <w:lang w:val="en-US"/>
        </w:rPr>
        <w:t xml:space="preserve">. Chromosomes X and Y showed notable differences in processed vs. annotated counts (on the order of 4,000 fewer variants for X and ~130 fewer for Y). This phenomenon can arise from </w:t>
      </w:r>
      <w:proofErr w:type="spellStart"/>
      <w:r w:rsidRPr="00AE5020">
        <w:rPr>
          <w:lang w:val="en-US"/>
        </w:rPr>
        <w:t>pseudoautosomal</w:t>
      </w:r>
      <w:proofErr w:type="spellEnd"/>
      <w:r w:rsidRPr="00AE5020">
        <w:rPr>
          <w:lang w:val="en-US"/>
        </w:rPr>
        <w:t xml:space="preserve"> boundaries, haploid/diploid representation in VCFs, or incomplete mapping references in VEP’s transcript database.</w:t>
      </w:r>
    </w:p>
    <w:p w14:paraId="1DAA6A68" w14:textId="77777777" w:rsidR="00420BC8" w:rsidRPr="00AE5020" w:rsidRDefault="00420BC8" w:rsidP="00420BC8">
      <w:pPr>
        <w:numPr>
          <w:ilvl w:val="0"/>
          <w:numId w:val="4"/>
        </w:numPr>
        <w:jc w:val="both"/>
        <w:rPr>
          <w:lang w:val="en-US"/>
        </w:rPr>
      </w:pPr>
      <w:r w:rsidRPr="00AE5020">
        <w:rPr>
          <w:b/>
          <w:bCs/>
          <w:lang w:val="en-US"/>
        </w:rPr>
        <w:t>Unrecognized Alternate Alleles</w:t>
      </w:r>
      <w:r w:rsidRPr="00AE5020">
        <w:rPr>
          <w:lang w:val="en-US"/>
        </w:rPr>
        <w:t>. Certain entries contained ambiguous or reference-only alternates (e.g., “REF=ALT”) or multiple alternate alleles from which at least one was absent or unrecognized by VEP.</w:t>
      </w:r>
    </w:p>
    <w:p w14:paraId="2DC0E69B" w14:textId="77777777" w:rsidR="00420BC8" w:rsidRPr="00AE5020" w:rsidRDefault="00420BC8" w:rsidP="00420BC8">
      <w:pPr>
        <w:numPr>
          <w:ilvl w:val="0"/>
          <w:numId w:val="4"/>
        </w:numPr>
        <w:jc w:val="both"/>
        <w:rPr>
          <w:lang w:val="en-US"/>
        </w:rPr>
      </w:pPr>
      <w:r w:rsidRPr="00AE5020">
        <w:rPr>
          <w:b/>
          <w:bCs/>
          <w:lang w:val="en-US"/>
        </w:rPr>
        <w:t>Multi-Allelic Decomposition</w:t>
      </w:r>
      <w:r w:rsidRPr="00AE5020">
        <w:rPr>
          <w:lang w:val="en-US"/>
        </w:rPr>
        <w:t>. Instances of complex multi-allelic calls being split into separate biallelic lines occasionally introduced mismatches in allele representation, which in turn prevented VEP from associating the record to a known functional annotation.</w:t>
      </w:r>
    </w:p>
    <w:p w14:paraId="5C5BA571" w14:textId="77777777" w:rsidR="00420BC8" w:rsidRPr="00AE5020" w:rsidRDefault="00420BC8" w:rsidP="00420BC8">
      <w:pPr>
        <w:rPr>
          <w:b/>
          <w:bCs/>
          <w:lang w:val="en-US"/>
        </w:rPr>
      </w:pPr>
    </w:p>
    <w:p w14:paraId="42E6D7C9" w14:textId="77777777" w:rsidR="00420BC8" w:rsidRPr="00AE5020" w:rsidRDefault="00420BC8" w:rsidP="00420BC8">
      <w:pPr>
        <w:jc w:val="both"/>
        <w:rPr>
          <w:lang w:val="en-US"/>
        </w:rPr>
      </w:pPr>
      <w:r w:rsidRPr="00AE5020">
        <w:rPr>
          <w:lang w:val="en-US"/>
        </w:rPr>
        <w:t xml:space="preserve">Of the approximately </w:t>
      </w:r>
      <w:r w:rsidRPr="00AE5020">
        <w:rPr>
          <w:bCs/>
          <w:lang w:val="en-US"/>
        </w:rPr>
        <w:t>12.9 million</w:t>
      </w:r>
      <w:r w:rsidRPr="00AE5020">
        <w:rPr>
          <w:lang w:val="en-US"/>
        </w:rPr>
        <w:t xml:space="preserve"> biallelic SNVs subjected to VEP, around </w:t>
      </w:r>
      <w:r w:rsidRPr="00AE5020">
        <w:rPr>
          <w:bCs/>
          <w:lang w:val="en-US"/>
        </w:rPr>
        <w:t>6.27 million</w:t>
      </w:r>
      <w:r w:rsidRPr="00AE5020">
        <w:rPr>
          <w:lang w:val="en-US"/>
        </w:rPr>
        <w:t xml:space="preserve"> were flagged as rare (&lt;1% global MAF). From this pool, only a small fraction received a HIGH-impact designation (e.g., splice donor/acceptor, stop gain/loss, frameshift, start lost). These </w:t>
      </w:r>
      <w:r w:rsidRPr="00AE5020">
        <w:rPr>
          <w:bCs/>
          <w:lang w:val="en-US"/>
        </w:rPr>
        <w:t>HIGH-impact</w:t>
      </w:r>
      <w:r w:rsidRPr="00AE5020">
        <w:rPr>
          <w:lang w:val="en-US"/>
        </w:rPr>
        <w:t xml:space="preserve"> sites represent the most functionally disruptive changes and are therefore prime candidates for exploring potential disease susceptibility, genotype–phenotype associations, and adaptive traits in Indigenous and admixed Peruvian populations.</w:t>
      </w:r>
    </w:p>
    <w:p w14:paraId="2CF11DE7" w14:textId="77777777" w:rsidR="00420BC8" w:rsidRPr="00AE5020" w:rsidRDefault="00420BC8" w:rsidP="00420BC8">
      <w:pPr>
        <w:numPr>
          <w:ilvl w:val="0"/>
          <w:numId w:val="5"/>
        </w:numPr>
        <w:jc w:val="both"/>
        <w:rPr>
          <w:lang w:val="en-US"/>
        </w:rPr>
      </w:pPr>
      <w:r w:rsidRPr="00AE5020">
        <w:rPr>
          <w:b/>
          <w:bCs/>
          <w:lang w:val="en-US"/>
        </w:rPr>
        <w:t>Clinical Significance Indicators</w:t>
      </w:r>
      <w:r w:rsidRPr="00AE5020">
        <w:rPr>
          <w:lang w:val="en-US"/>
        </w:rPr>
        <w:t xml:space="preserve">. While </w:t>
      </w:r>
      <w:r w:rsidRPr="00AE5020">
        <w:rPr>
          <w:b/>
          <w:bCs/>
          <w:lang w:val="en-US"/>
        </w:rPr>
        <w:t>CLIN_SIG</w:t>
      </w:r>
      <w:r w:rsidRPr="00AE5020">
        <w:rPr>
          <w:lang w:val="en-US"/>
        </w:rPr>
        <w:t xml:space="preserve"> annotations in </w:t>
      </w:r>
      <w:proofErr w:type="spellStart"/>
      <w:r w:rsidRPr="00AE5020">
        <w:rPr>
          <w:lang w:val="en-US"/>
        </w:rPr>
        <w:t>ClinVar</w:t>
      </w:r>
      <w:proofErr w:type="spellEnd"/>
      <w:r w:rsidRPr="00AE5020">
        <w:rPr>
          <w:lang w:val="en-US"/>
        </w:rPr>
        <w:t xml:space="preserve"> were not extensively represented, some variants carried “Pathogenic” or “Likely Pathogenic” tags.</w:t>
      </w:r>
    </w:p>
    <w:p w14:paraId="3914DF44" w14:textId="77777777" w:rsidR="00420BC8" w:rsidRPr="00AE5020" w:rsidRDefault="00420BC8" w:rsidP="00420BC8">
      <w:pPr>
        <w:numPr>
          <w:ilvl w:val="0"/>
          <w:numId w:val="5"/>
        </w:numPr>
        <w:jc w:val="both"/>
        <w:rPr>
          <w:lang w:val="en-US"/>
        </w:rPr>
      </w:pPr>
      <w:r w:rsidRPr="00AE5020">
        <w:rPr>
          <w:b/>
          <w:bCs/>
          <w:lang w:val="en-US"/>
        </w:rPr>
        <w:t>CADD and LOEUF Scores</w:t>
      </w:r>
      <w:r w:rsidRPr="00AE5020">
        <w:rPr>
          <w:lang w:val="en-US"/>
        </w:rPr>
        <w:t xml:space="preserve">. Many high-impact variants also displayed elevated </w:t>
      </w:r>
      <w:r w:rsidRPr="00AE5020">
        <w:rPr>
          <w:b/>
          <w:bCs/>
          <w:lang w:val="en-US"/>
        </w:rPr>
        <w:t>CADD_PHRED</w:t>
      </w:r>
      <w:r w:rsidRPr="00AE5020">
        <w:rPr>
          <w:lang w:val="en-US"/>
        </w:rPr>
        <w:t xml:space="preserve"> scores, underscoring their potential deleteriousness. Certain genes with lower </w:t>
      </w:r>
      <w:r w:rsidRPr="00AE5020">
        <w:rPr>
          <w:bCs/>
          <w:lang w:val="en-US"/>
        </w:rPr>
        <w:t>LOEUF</w:t>
      </w:r>
      <w:r w:rsidRPr="00AE5020">
        <w:rPr>
          <w:lang w:val="en-US"/>
        </w:rPr>
        <w:t xml:space="preserve"> values—implying greater intolerance to loss-of-function—featured novel truncating variants within these populations, suggestive of interesting biology or disease relevance meriting further study.</w:t>
      </w:r>
    </w:p>
    <w:p w14:paraId="70C5FDF4" w14:textId="77777777" w:rsidR="00420BC8" w:rsidRPr="00AE5020" w:rsidRDefault="00420BC8" w:rsidP="00420BC8">
      <w:pPr>
        <w:rPr>
          <w:lang w:val="en-US"/>
        </w:rPr>
      </w:pPr>
    </w:p>
    <w:p w14:paraId="76AC7A11" w14:textId="77777777" w:rsidR="00420BC8" w:rsidRPr="00AE5020" w:rsidRDefault="00420BC8" w:rsidP="00420BC8">
      <w:pPr>
        <w:pStyle w:val="Heading2"/>
        <w:rPr>
          <w:lang w:val="en-US"/>
        </w:rPr>
      </w:pPr>
      <w:r w:rsidRPr="00AE5020">
        <w:rPr>
          <w:lang w:val="en-US"/>
        </w:rPr>
        <w:t>Allele Count and Frequency Analysis</w:t>
      </w:r>
    </w:p>
    <w:p w14:paraId="51D3C4C0" w14:textId="711E6B93" w:rsidR="00420BC8" w:rsidRPr="00AE5020" w:rsidRDefault="00420BC8" w:rsidP="00420BC8">
      <w:pPr>
        <w:jc w:val="both"/>
        <w:rPr>
          <w:lang w:val="en-US"/>
        </w:rPr>
      </w:pPr>
      <w:r w:rsidRPr="00AE5020">
        <w:rPr>
          <w:lang w:val="en-US"/>
        </w:rPr>
        <w:t>To assess allele distribution across the 150 WGS, we analyzed alter</w:t>
      </w:r>
      <w:r w:rsidR="00BD07B8">
        <w:rPr>
          <w:lang w:val="en-US"/>
        </w:rPr>
        <w:t>native</w:t>
      </w:r>
      <w:r w:rsidRPr="00AE5020">
        <w:rPr>
          <w:lang w:val="en-US"/>
        </w:rPr>
        <w:t xml:space="preserve"> allele population counts. This allows us to generate observed frequencies and distributions of specific variants across the populations compounding the dataset. Allele counts across the analyzed populations are then compared to global frequency data </w:t>
      </w:r>
      <w:proofErr w:type="gramStart"/>
      <w:r w:rsidRPr="00AE5020">
        <w:rPr>
          <w:lang w:val="en-US"/>
        </w:rPr>
        <w:t>in order to</w:t>
      </w:r>
      <w:proofErr w:type="gramEnd"/>
      <w:r w:rsidRPr="00AE5020">
        <w:rPr>
          <w:lang w:val="en-US"/>
        </w:rPr>
        <w:t xml:space="preserve"> identify population-specific patterns of genetic variation. An enrichment in certain deleterious variants for a particular gene may inform health, disease predisposition and evolutionary adaptations. For prioritization of deleterious variants, we only considered those whose frequency is less than 0.01 in the 1000 Genomes Project (1000G).  Note that the 1000G also includes 96 Peruvians from Lima (PEL), which means that common variants in PEL would also be discarded for further analysis. We further applied the filter of selecting variants with a CADD PHRED score greater than 10 (which suggests deleteriousness), and variants that had counts exceeding 5 in at least one of the Peruvian populations (</w:t>
      </w:r>
      <w:proofErr w:type="spellStart"/>
      <w:r w:rsidRPr="00AE5020">
        <w:rPr>
          <w:lang w:val="en-US"/>
        </w:rPr>
        <w:t>Matses</w:t>
      </w:r>
      <w:proofErr w:type="spellEnd"/>
      <w:r w:rsidRPr="00AE5020">
        <w:rPr>
          <w:lang w:val="en-US"/>
        </w:rPr>
        <w:t xml:space="preserve">, Uros, </w:t>
      </w:r>
      <w:proofErr w:type="spellStart"/>
      <w:r w:rsidRPr="00AE5020">
        <w:rPr>
          <w:lang w:val="en-US"/>
        </w:rPr>
        <w:t>Chopccas</w:t>
      </w:r>
      <w:proofErr w:type="spellEnd"/>
      <w:r w:rsidRPr="00AE5020">
        <w:rPr>
          <w:lang w:val="en-US"/>
        </w:rPr>
        <w:t xml:space="preserve">, </w:t>
      </w:r>
      <w:proofErr w:type="spellStart"/>
      <w:r w:rsidRPr="00AE5020">
        <w:rPr>
          <w:lang w:val="en-US"/>
        </w:rPr>
        <w:t>Moches</w:t>
      </w:r>
      <w:proofErr w:type="spellEnd"/>
      <w:r w:rsidRPr="00AE5020">
        <w:rPr>
          <w:lang w:val="en-US"/>
        </w:rPr>
        <w:t xml:space="preserve">, Iquitos, Cusco, Trujillo). The allele frequencies of these variants were assessed against the </w:t>
      </w:r>
      <w:proofErr w:type="spellStart"/>
      <w:r w:rsidRPr="00AE5020">
        <w:rPr>
          <w:lang w:val="en-US"/>
        </w:rPr>
        <w:t>gnomAD</w:t>
      </w:r>
      <w:proofErr w:type="spellEnd"/>
      <w:r w:rsidRPr="00AE5020">
        <w:rPr>
          <w:lang w:val="en-US"/>
        </w:rPr>
        <w:t xml:space="preserve"> AMR dataset as well (allele frequencies in </w:t>
      </w:r>
      <w:r w:rsidR="0091087F">
        <w:rPr>
          <w:lang w:val="en-US"/>
        </w:rPr>
        <w:t>Indigenous</w:t>
      </w:r>
      <w:r w:rsidRPr="00AE5020">
        <w:rPr>
          <w:lang w:val="en-US"/>
        </w:rPr>
        <w:t xml:space="preserve"> Americans) to identify differences that may point to unique population level genetic traits. Fisher’s exact test was employed for comparing allele proportions between Peruvian populations and the </w:t>
      </w:r>
      <w:proofErr w:type="spellStart"/>
      <w:r w:rsidRPr="00AE5020">
        <w:rPr>
          <w:lang w:val="en-US"/>
        </w:rPr>
        <w:t>gnomAD</w:t>
      </w:r>
      <w:proofErr w:type="spellEnd"/>
      <w:r w:rsidRPr="00AE5020">
        <w:rPr>
          <w:lang w:val="en-US"/>
        </w:rPr>
        <w:t xml:space="preserve"> AMR reference. This test’s application was crucial for small sample sizes and low frequency alleles. </w:t>
      </w:r>
    </w:p>
    <w:p w14:paraId="442FED37" w14:textId="77777777" w:rsidR="00420BC8" w:rsidRPr="00AE5020" w:rsidRDefault="00420BC8" w:rsidP="00420BC8">
      <w:pPr>
        <w:rPr>
          <w:lang w:val="en-US"/>
        </w:rPr>
      </w:pPr>
    </w:p>
    <w:p w14:paraId="7DAC2D4B" w14:textId="77777777" w:rsidR="00420BC8" w:rsidRPr="00BD07B8" w:rsidRDefault="00420BC8" w:rsidP="00BD07B8">
      <w:pPr>
        <w:pStyle w:val="Heading2"/>
      </w:pPr>
      <w:r w:rsidRPr="00BD07B8">
        <w:t xml:space="preserve">Integrating </w:t>
      </w:r>
      <w:proofErr w:type="spellStart"/>
      <w:r w:rsidRPr="00BD07B8">
        <w:t>PyPGx</w:t>
      </w:r>
      <w:proofErr w:type="spellEnd"/>
      <w:r w:rsidRPr="00BD07B8">
        <w:t xml:space="preserve"> Phenotypes with FDA Pharmacogenomic Annotations</w:t>
      </w:r>
    </w:p>
    <w:p w14:paraId="5152A00A" w14:textId="77777777" w:rsidR="00420BC8" w:rsidRPr="00AE5020" w:rsidRDefault="00420BC8" w:rsidP="00420BC8">
      <w:pPr>
        <w:jc w:val="both"/>
        <w:rPr>
          <w:lang w:val="en-US"/>
        </w:rPr>
      </w:pPr>
      <w:r w:rsidRPr="00AE5020">
        <w:rPr>
          <w:lang w:val="en-US"/>
        </w:rPr>
        <w:t xml:space="preserve">We developed a Python-based pipeline to reconcile </w:t>
      </w:r>
      <w:proofErr w:type="spellStart"/>
      <w:r w:rsidRPr="00AE5020">
        <w:rPr>
          <w:lang w:val="en-US"/>
        </w:rPr>
        <w:t>PyPGx</w:t>
      </w:r>
      <w:proofErr w:type="spellEnd"/>
      <w:r w:rsidRPr="00AE5020">
        <w:rPr>
          <w:lang w:val="en-US"/>
        </w:rPr>
        <w:t xml:space="preserve">-derived metabolizer phenotypes with the U.S. Food and Drug Administration (FDA) </w:t>
      </w:r>
      <w:r w:rsidRPr="00AE5020">
        <w:rPr>
          <w:i/>
          <w:iCs/>
          <w:lang w:val="en-US"/>
        </w:rPr>
        <w:t>Table of Pharmacogenetic Associations</w:t>
      </w:r>
      <w:r w:rsidRPr="00AE5020">
        <w:rPr>
          <w:lang w:val="en-US"/>
        </w:rPr>
        <w:t xml:space="preserve">. The FDA’s table offers gene-drug interaction information framed around discrete “Affected Subgroups” (e.g., “poor metabolizers” or “intermediate metabolizers”), which can inform therapeutic decision-making for each genotype. In parallel, </w:t>
      </w:r>
      <w:proofErr w:type="spellStart"/>
      <w:r w:rsidRPr="00AE5020">
        <w:rPr>
          <w:lang w:val="en-US"/>
        </w:rPr>
        <w:t>PyPGx</w:t>
      </w:r>
      <w:proofErr w:type="spellEnd"/>
      <w:r w:rsidRPr="00AE5020">
        <w:rPr>
          <w:lang w:val="en-US"/>
        </w:rPr>
        <w:t xml:space="preserve"> infers an individual’s metabolizer status (e.g., poor, intermediate, or ultrarapid), creating a need to unify both sources for actionable insights.</w:t>
      </w:r>
    </w:p>
    <w:p w14:paraId="69D27AF8" w14:textId="77777777" w:rsidR="00420BC8" w:rsidRPr="00AE5020" w:rsidRDefault="00420BC8" w:rsidP="00420BC8">
      <w:pPr>
        <w:jc w:val="both"/>
        <w:rPr>
          <w:rFonts w:asciiTheme="majorHAnsi" w:eastAsiaTheme="majorEastAsia" w:hAnsiTheme="majorHAnsi" w:cstheme="majorBidi"/>
          <w:b/>
          <w:lang w:val="en-US"/>
        </w:rPr>
      </w:pPr>
    </w:p>
    <w:p w14:paraId="4AC4660B" w14:textId="77777777" w:rsidR="00420BC8" w:rsidRPr="00AE5020" w:rsidRDefault="00420BC8" w:rsidP="00420BC8">
      <w:pPr>
        <w:jc w:val="both"/>
        <w:rPr>
          <w:lang w:val="en-US"/>
        </w:rPr>
      </w:pPr>
      <w:r w:rsidRPr="00AE5020">
        <w:rPr>
          <w:lang w:val="en-US"/>
        </w:rPr>
        <w:t xml:space="preserve">First, our script parses </w:t>
      </w:r>
      <w:proofErr w:type="gramStart"/>
      <w:r w:rsidRPr="00AE5020">
        <w:rPr>
          <w:lang w:val="en-US"/>
        </w:rPr>
        <w:t>each individual’s</w:t>
      </w:r>
      <w:proofErr w:type="gramEnd"/>
      <w:r w:rsidRPr="00AE5020">
        <w:rPr>
          <w:lang w:val="en-US"/>
        </w:rPr>
        <w:t xml:space="preserve"> output—extracting the </w:t>
      </w:r>
      <w:r w:rsidRPr="00AE5020">
        <w:rPr>
          <w:i/>
          <w:iCs/>
          <w:lang w:val="en-US"/>
        </w:rPr>
        <w:t>gene</w:t>
      </w:r>
      <w:r w:rsidRPr="00AE5020">
        <w:rPr>
          <w:lang w:val="en-US"/>
        </w:rPr>
        <w:t xml:space="preserve"> (e.g., </w:t>
      </w:r>
      <w:r w:rsidRPr="00AE5020">
        <w:rPr>
          <w:i/>
          <w:lang w:val="en-US"/>
        </w:rPr>
        <w:t>CYP2C19</w:t>
      </w:r>
      <w:r w:rsidRPr="00AE5020">
        <w:rPr>
          <w:lang w:val="en-US"/>
        </w:rPr>
        <w:t xml:space="preserve">) and </w:t>
      </w:r>
      <w:r w:rsidRPr="00AE5020">
        <w:rPr>
          <w:iCs/>
          <w:lang w:val="en-US"/>
        </w:rPr>
        <w:t>phenotype</w:t>
      </w:r>
      <w:r w:rsidRPr="00AE5020">
        <w:rPr>
          <w:lang w:val="en-US"/>
        </w:rPr>
        <w:t xml:space="preserve"> (e.g., “poor metabolizer”). These textual descriptions are mapped to standardized categories, such as PM (poor), IM (intermediate), NM (normal/extensive), RM (rapid), or UM </w:t>
      </w:r>
      <w:r w:rsidRPr="00AE5020">
        <w:rPr>
          <w:lang w:val="en-US"/>
        </w:rPr>
        <w:lastRenderedPageBreak/>
        <w:t>(ultrarapid), reflecting recognized pharmacogenetics guidelines. Concomitantly, the script ingests the FDA’s “Affected Subgroups” column, which describes which metabolizer subgroups (e.g., PM, IM, NM) are impacted by a specific gene-drug pair. By applying the same set of category definitions, we produce a structured representation of the FDA annotations.</w:t>
      </w:r>
    </w:p>
    <w:p w14:paraId="6B8B87B0" w14:textId="77777777" w:rsidR="00420BC8" w:rsidRPr="00AE5020" w:rsidRDefault="00420BC8" w:rsidP="00420BC8">
      <w:pPr>
        <w:jc w:val="both"/>
        <w:rPr>
          <w:rStyle w:val="Heading3Char"/>
          <w:lang w:val="en-US"/>
        </w:rPr>
      </w:pPr>
    </w:p>
    <w:p w14:paraId="62E16704" w14:textId="77777777" w:rsidR="00420BC8" w:rsidRPr="00AE5020" w:rsidRDefault="00420BC8" w:rsidP="00420BC8">
      <w:pPr>
        <w:jc w:val="both"/>
        <w:rPr>
          <w:lang w:val="en-US"/>
        </w:rPr>
      </w:pPr>
      <w:r w:rsidRPr="00AE5020">
        <w:rPr>
          <w:lang w:val="en-US"/>
        </w:rPr>
        <w:t>To ensure both specificity and recall in matching, the script implements a two-tier approach:</w:t>
      </w:r>
    </w:p>
    <w:p w14:paraId="7C39FCDC" w14:textId="77777777" w:rsidR="00420BC8" w:rsidRPr="00AE5020" w:rsidRDefault="00420BC8" w:rsidP="00420BC8">
      <w:pPr>
        <w:numPr>
          <w:ilvl w:val="0"/>
          <w:numId w:val="6"/>
        </w:numPr>
        <w:jc w:val="both"/>
        <w:rPr>
          <w:lang w:val="en-US"/>
        </w:rPr>
      </w:pPr>
      <w:r w:rsidRPr="00AE5020">
        <w:rPr>
          <w:b/>
          <w:bCs/>
          <w:lang w:val="en-US"/>
        </w:rPr>
        <w:t>Direct Category Overlap:</w:t>
      </w:r>
      <w:r w:rsidRPr="00AE5020">
        <w:rPr>
          <w:lang w:val="en-US"/>
        </w:rPr>
        <w:t xml:space="preserve"> If an individual’s standardized metabolizer category (e.g., PM) appears among the FDA’s listed categories (e.g., “poor metabolizers, intermediate metabolizers”), the association is flagged as a robust match. This step prevents obvious contradictions (e.g., a “normal metabolizer” incorrectly matched to a “poor metabolizer only” indication).</w:t>
      </w:r>
    </w:p>
    <w:p w14:paraId="57A68027" w14:textId="77777777" w:rsidR="00420BC8" w:rsidRPr="00AE5020" w:rsidRDefault="00420BC8" w:rsidP="00420BC8">
      <w:pPr>
        <w:numPr>
          <w:ilvl w:val="0"/>
          <w:numId w:val="6"/>
        </w:numPr>
        <w:jc w:val="both"/>
        <w:rPr>
          <w:lang w:val="en-US"/>
        </w:rPr>
      </w:pPr>
      <w:r w:rsidRPr="00AE5020">
        <w:rPr>
          <w:b/>
          <w:bCs/>
          <w:lang w:val="en-US"/>
        </w:rPr>
        <w:t>Fuzzy Text Matching (Threshold = 85):</w:t>
      </w:r>
      <w:r w:rsidRPr="00AE5020">
        <w:rPr>
          <w:lang w:val="en-US"/>
        </w:rPr>
        <w:t xml:space="preserve"> If no direct overlap emerges and the categories are not overtly contradictory, we use a fallback fuzzy matching method (partial string similarity). Specifically, we compare the exact phrasing of the subject’s phenotype (“poor to intermediate metabolism”) against the FDA’s “Affected Subgroups” text at an empirically validated threshold of 85% similarity. This captures less standardized or composite expressions (e.g., “mildly reduced metabolism”) that may not be parsed as a canonical category but still imply poor or intermediate function.</w:t>
      </w:r>
    </w:p>
    <w:p w14:paraId="298F3827" w14:textId="77777777" w:rsidR="00420BC8" w:rsidRPr="00AE5020" w:rsidRDefault="00420BC8" w:rsidP="00420BC8">
      <w:pPr>
        <w:jc w:val="both"/>
        <w:rPr>
          <w:lang w:val="en-US"/>
        </w:rPr>
      </w:pPr>
      <w:r w:rsidRPr="00AE5020">
        <w:rPr>
          <w:lang w:val="en-US"/>
        </w:rPr>
        <w:t xml:space="preserve">By combining explicit category alignment with targeted fuzzy text matching, our pipeline avoids spurious matches (e.g., “normal” mapped to “poor”) yet remains sensitive to variable or compound descriptors in the phenotype. For each verified match, we record the individual’s </w:t>
      </w:r>
      <w:proofErr w:type="spellStart"/>
      <w:r w:rsidRPr="00AE5020">
        <w:rPr>
          <w:lang w:val="en-US"/>
        </w:rPr>
        <w:t>PyPGx</w:t>
      </w:r>
      <w:proofErr w:type="spellEnd"/>
      <w:r w:rsidRPr="00AE5020">
        <w:rPr>
          <w:lang w:val="en-US"/>
        </w:rPr>
        <w:t xml:space="preserve"> phenotype, relevant FDA gene-drug association, and any dosage guidance or contraindications provided by the FDA. This results in a curated dataset linking a patient’s genotype-based metabolizer profile to the specific therapeutic considerations outlined in the </w:t>
      </w:r>
      <w:r w:rsidRPr="00AE5020">
        <w:rPr>
          <w:iCs/>
          <w:lang w:val="en-US"/>
        </w:rPr>
        <w:t>Table of Pharmacogenetic Associations</w:t>
      </w:r>
      <w:r w:rsidRPr="00AE5020">
        <w:rPr>
          <w:lang w:val="en-US"/>
        </w:rPr>
        <w:t>, thereby offering clinicians a more streamlined path to personalized prescribing decisions.</w:t>
      </w:r>
    </w:p>
    <w:p w14:paraId="7669FDCA" w14:textId="77777777" w:rsidR="00420BC8" w:rsidRPr="00AE5020" w:rsidRDefault="00420BC8" w:rsidP="00420BC8">
      <w:pPr>
        <w:jc w:val="both"/>
        <w:rPr>
          <w:lang w:val="en-US"/>
        </w:rPr>
      </w:pPr>
    </w:p>
    <w:p w14:paraId="5B3A357A" w14:textId="77777777" w:rsidR="00420BC8" w:rsidRPr="00BD07B8" w:rsidRDefault="00420BC8" w:rsidP="00BD07B8">
      <w:pPr>
        <w:pStyle w:val="Heading2"/>
      </w:pPr>
      <w:r w:rsidRPr="00BD07B8">
        <w:t>Pharmacogenomic Genotype Frequency Analysis</w:t>
      </w:r>
    </w:p>
    <w:p w14:paraId="63227657" w14:textId="77777777" w:rsidR="00420BC8" w:rsidRPr="00AE5020" w:rsidRDefault="00420BC8" w:rsidP="00420BC8">
      <w:pPr>
        <w:jc w:val="both"/>
        <w:rPr>
          <w:lang w:val="en-US"/>
        </w:rPr>
      </w:pPr>
      <w:r w:rsidRPr="00AE5020">
        <w:rPr>
          <w:lang w:val="en-US"/>
        </w:rPr>
        <w:t xml:space="preserve">To characterize the distribution of pharmacogenomic genotypes within our dataset, we quantified </w:t>
      </w:r>
      <w:r w:rsidRPr="00AE5020">
        <w:rPr>
          <w:bCs/>
          <w:lang w:val="en-US"/>
        </w:rPr>
        <w:t>genotype frequencies</w:t>
      </w:r>
      <w:r w:rsidRPr="00AE5020">
        <w:rPr>
          <w:lang w:val="en-US"/>
        </w:rPr>
        <w:t xml:space="preserve"> and their associated </w:t>
      </w:r>
      <w:r w:rsidRPr="00AE5020">
        <w:rPr>
          <w:bCs/>
          <w:lang w:val="en-US"/>
        </w:rPr>
        <w:t>phenotypic classifications</w:t>
      </w:r>
      <w:r w:rsidRPr="00AE5020">
        <w:rPr>
          <w:lang w:val="en-US"/>
        </w:rPr>
        <w:t>. This analysis aimed to determine the prevalence of key pharmacogenetic variants within the study population, providing insights into inter-individual variability in drug metabolism.</w:t>
      </w:r>
    </w:p>
    <w:p w14:paraId="3C22CC76" w14:textId="4FAEE312" w:rsidR="00420BC8" w:rsidRPr="00AE5020" w:rsidRDefault="00420BC8" w:rsidP="00420BC8">
      <w:pPr>
        <w:jc w:val="both"/>
        <w:rPr>
          <w:lang w:val="en-US"/>
        </w:rPr>
      </w:pPr>
      <w:r w:rsidRPr="00AE5020">
        <w:rPr>
          <w:lang w:val="en-US"/>
        </w:rPr>
        <w:br/>
        <w:t>The dataset was obtained from</w:t>
      </w:r>
      <w:r w:rsidR="00BD07B8">
        <w:rPr>
          <w:lang w:val="en-US"/>
        </w:rPr>
        <w:t xml:space="preserve"> </w:t>
      </w:r>
      <w:proofErr w:type="spellStart"/>
      <w:r w:rsidR="00BD07B8">
        <w:rPr>
          <w:lang w:val="en-US"/>
        </w:rPr>
        <w:t>PyPGx</w:t>
      </w:r>
      <w:proofErr w:type="spellEnd"/>
      <w:r w:rsidR="00BD07B8">
        <w:rPr>
          <w:lang w:val="en-US"/>
        </w:rPr>
        <w:t xml:space="preserve"> </w:t>
      </w:r>
      <w:r w:rsidRPr="00AE5020">
        <w:rPr>
          <w:lang w:val="en-US"/>
        </w:rPr>
        <w:t>output and processed using Python (</w:t>
      </w:r>
      <w:proofErr w:type="gramStart"/>
      <w:r w:rsidRPr="00AE5020">
        <w:rPr>
          <w:lang w:val="en-US"/>
        </w:rPr>
        <w:t>Pandas</w:t>
      </w:r>
      <w:proofErr w:type="gramEnd"/>
      <w:r w:rsidRPr="00AE5020">
        <w:rPr>
          <w:lang w:val="en-US"/>
        </w:rPr>
        <w:t xml:space="preserve"> library). The raw data</w:t>
      </w:r>
      <w:r w:rsidR="00BD07B8">
        <w:rPr>
          <w:lang w:val="en-US"/>
        </w:rPr>
        <w:t xml:space="preserve"> </w:t>
      </w:r>
      <w:r w:rsidRPr="00AE5020">
        <w:rPr>
          <w:lang w:val="en-US"/>
        </w:rPr>
        <w:t xml:space="preserve">contained </w:t>
      </w:r>
      <w:proofErr w:type="gramStart"/>
      <w:r w:rsidRPr="00AE5020">
        <w:rPr>
          <w:lang w:val="en-US"/>
        </w:rPr>
        <w:t>individual-level</w:t>
      </w:r>
      <w:proofErr w:type="gramEnd"/>
      <w:r w:rsidRPr="00AE5020">
        <w:rPr>
          <w:lang w:val="en-US"/>
        </w:rPr>
        <w:t xml:space="preserve"> pharmacogenomic profiles, including information on the </w:t>
      </w:r>
      <w:r w:rsidRPr="00AE5020">
        <w:rPr>
          <w:bCs/>
          <w:lang w:val="en-US"/>
        </w:rPr>
        <w:t>gene</w:t>
      </w:r>
      <w:r w:rsidRPr="00AE5020">
        <w:rPr>
          <w:lang w:val="en-US"/>
        </w:rPr>
        <w:t xml:space="preserve">, </w:t>
      </w:r>
      <w:r w:rsidRPr="00AE5020">
        <w:rPr>
          <w:bCs/>
          <w:lang w:val="en-US"/>
        </w:rPr>
        <w:t>genotype</w:t>
      </w:r>
      <w:r w:rsidRPr="00AE5020">
        <w:rPr>
          <w:lang w:val="en-US"/>
        </w:rPr>
        <w:t xml:space="preserve">, and predicted </w:t>
      </w:r>
      <w:r w:rsidRPr="00AE5020">
        <w:rPr>
          <w:bCs/>
          <w:lang w:val="en-US"/>
        </w:rPr>
        <w:t>phenotype</w:t>
      </w:r>
      <w:r w:rsidRPr="00AE5020">
        <w:rPr>
          <w:lang w:val="en-US"/>
        </w:rPr>
        <w:t>. Prior to analysis, the script verified the presence of three essential columns—"Gene," "Genotype," and "Phenotype"—to ensure data completeness. Entries missing any of these fields were excluded from downstream processing.</w:t>
      </w:r>
    </w:p>
    <w:p w14:paraId="1E0A9114" w14:textId="77777777" w:rsidR="00420BC8" w:rsidRPr="00AE5020" w:rsidRDefault="00420BC8" w:rsidP="00420BC8">
      <w:pPr>
        <w:jc w:val="both"/>
        <w:rPr>
          <w:lang w:val="en-US"/>
        </w:rPr>
      </w:pPr>
      <w:r w:rsidRPr="00AE5020">
        <w:rPr>
          <w:lang w:val="en-US"/>
        </w:rPr>
        <w:br/>
        <w:t xml:space="preserve">Following data validation, the dataset was grouped by </w:t>
      </w:r>
      <w:r w:rsidRPr="00AE5020">
        <w:rPr>
          <w:bCs/>
          <w:lang w:val="en-US"/>
        </w:rPr>
        <w:t>gene, genotype, and phenotype</w:t>
      </w:r>
      <w:r w:rsidRPr="00AE5020">
        <w:rPr>
          <w:lang w:val="en-US"/>
        </w:rPr>
        <w:t xml:space="preserve"> to determine the number of individuals exhibiting each unique genotype. For each gene, the </w:t>
      </w:r>
      <w:r w:rsidRPr="00AE5020">
        <w:rPr>
          <w:bCs/>
          <w:lang w:val="en-US"/>
        </w:rPr>
        <w:t>absolute count</w:t>
      </w:r>
      <w:r w:rsidRPr="00AE5020">
        <w:rPr>
          <w:lang w:val="en-US"/>
        </w:rPr>
        <w:t xml:space="preserve"> of individuals carrying a specific genotype was computed and stored as the variable "No of Subjects with Genotype".</w:t>
      </w:r>
    </w:p>
    <w:p w14:paraId="166C6750" w14:textId="77777777" w:rsidR="00420BC8" w:rsidRPr="00AE5020" w:rsidRDefault="00420BC8" w:rsidP="00420BC8">
      <w:pPr>
        <w:jc w:val="both"/>
        <w:rPr>
          <w:lang w:val="en-US"/>
        </w:rPr>
      </w:pPr>
    </w:p>
    <w:p w14:paraId="57C420A2" w14:textId="77777777" w:rsidR="00420BC8" w:rsidRPr="00AE5020" w:rsidRDefault="00420BC8" w:rsidP="00420BC8">
      <w:pPr>
        <w:jc w:val="both"/>
        <w:rPr>
          <w:lang w:val="en-US"/>
        </w:rPr>
      </w:pPr>
      <w:r w:rsidRPr="00AE5020">
        <w:rPr>
          <w:lang w:val="en-US"/>
        </w:rPr>
        <w:t xml:space="preserve">To account for differences in sample sizes across genes, </w:t>
      </w:r>
      <w:r w:rsidRPr="00AE5020">
        <w:rPr>
          <w:bCs/>
          <w:lang w:val="en-US"/>
        </w:rPr>
        <w:t>genotype frequency</w:t>
      </w:r>
      <w:r w:rsidRPr="00AE5020">
        <w:rPr>
          <w:lang w:val="en-US"/>
        </w:rPr>
        <w:t xml:space="preserve"> was calculated within each gene as follows:</w:t>
      </w:r>
    </w:p>
    <w:p w14:paraId="1A24C603" w14:textId="77777777" w:rsidR="00420BC8" w:rsidRPr="00AE5020" w:rsidRDefault="00420BC8" w:rsidP="00420BC8">
      <w:pPr>
        <w:jc w:val="both"/>
        <w:rPr>
          <w:lang w:val="en-US"/>
        </w:rPr>
      </w:pPr>
      <m:oMathPara>
        <m:oMath>
          <m:r>
            <w:rPr>
              <w:rFonts w:ascii="Cambria Math" w:hAnsi="Cambria Math"/>
              <w:lang w:val="en-US"/>
            </w:rPr>
            <w:lastRenderedPageBreak/>
            <m:t>Genotype Frequency=</m:t>
          </m:r>
          <m:f>
            <m:fPr>
              <m:ctrlPr>
                <w:rPr>
                  <w:rFonts w:ascii="Cambria Math" w:hAnsi="Cambria Math"/>
                  <w:i/>
                  <w:lang w:val="en-US"/>
                </w:rPr>
              </m:ctrlPr>
            </m:fPr>
            <m:num>
              <m:r>
                <w:rPr>
                  <w:rFonts w:ascii="Cambria Math" w:hAnsi="Cambria Math"/>
                  <w:lang w:val="en-US"/>
                </w:rPr>
                <m:t>No of Subjects with Genotype</m:t>
              </m:r>
            </m:num>
            <m:den>
              <m:r>
                <w:rPr>
                  <w:rFonts w:ascii="Cambria Math" w:hAnsi="Cambria Math"/>
                  <w:lang w:val="en-US"/>
                </w:rPr>
                <m:t>∑ All Genotypes for the Gene</m:t>
              </m:r>
            </m:den>
          </m:f>
          <m:r>
            <w:rPr>
              <w:rFonts w:ascii="Cambria Math" w:hAnsi="Cambria Math"/>
              <w:lang w:val="en-US"/>
            </w:rPr>
            <m:t xml:space="preserve">​ </m:t>
          </m:r>
        </m:oMath>
      </m:oMathPara>
    </w:p>
    <w:p w14:paraId="0FCD2ECB" w14:textId="77777777" w:rsidR="00420BC8" w:rsidRPr="00AE5020" w:rsidRDefault="00420BC8" w:rsidP="00420BC8">
      <w:pPr>
        <w:jc w:val="both"/>
        <w:rPr>
          <w:lang w:val="en-US"/>
        </w:rPr>
      </w:pPr>
    </w:p>
    <w:p w14:paraId="4D88E315" w14:textId="77777777" w:rsidR="00420BC8" w:rsidRPr="00AE5020" w:rsidRDefault="00420BC8" w:rsidP="00420BC8">
      <w:pPr>
        <w:jc w:val="both"/>
        <w:rPr>
          <w:lang w:val="en-US"/>
        </w:rPr>
      </w:pPr>
      <w:r w:rsidRPr="00AE5020">
        <w:rPr>
          <w:lang w:val="en-US"/>
        </w:rPr>
        <w:t xml:space="preserve">This value was further converted into a </w:t>
      </w:r>
      <w:r w:rsidRPr="00AE5020">
        <w:rPr>
          <w:bCs/>
          <w:lang w:val="en-US"/>
        </w:rPr>
        <w:t>percentage representation</w:t>
      </w:r>
      <w:r w:rsidRPr="00AE5020">
        <w:rPr>
          <w:lang w:val="en-US"/>
        </w:rPr>
        <w:t xml:space="preserve"> (Genotype Frequency (%)), allowing for easier cross-gene comparisons. Both the fractional and percentage-based frequency values were retained for reporting.</w:t>
      </w:r>
    </w:p>
    <w:p w14:paraId="177C8575" w14:textId="77777777" w:rsidR="00420BC8" w:rsidRPr="00AE5020" w:rsidRDefault="00420BC8" w:rsidP="00420BC8">
      <w:pPr>
        <w:jc w:val="both"/>
        <w:rPr>
          <w:lang w:val="en-US"/>
        </w:rPr>
      </w:pPr>
    </w:p>
    <w:p w14:paraId="1F189167" w14:textId="77777777" w:rsidR="00420BC8" w:rsidRPr="00AE5020" w:rsidRDefault="00420BC8" w:rsidP="00420BC8">
      <w:pPr>
        <w:jc w:val="both"/>
        <w:rPr>
          <w:lang w:val="en-US"/>
        </w:rPr>
      </w:pPr>
      <w:r w:rsidRPr="00AE5020">
        <w:rPr>
          <w:lang w:val="en-US"/>
        </w:rPr>
        <w:t xml:space="preserve">The final dataset was saved for compatibility with downstream statistical analysis and visualization tools. This dataset enables the characterization of </w:t>
      </w:r>
      <w:r w:rsidRPr="00AE5020">
        <w:rPr>
          <w:bCs/>
          <w:lang w:val="en-US"/>
        </w:rPr>
        <w:t>population-level genotype distributions</w:t>
      </w:r>
      <w:r w:rsidRPr="00AE5020">
        <w:rPr>
          <w:lang w:val="en-US"/>
        </w:rPr>
        <w:t>, facilitating insights into the genetic determinants of drug response.</w:t>
      </w:r>
    </w:p>
    <w:p w14:paraId="0C8EE33B" w14:textId="77777777" w:rsidR="00420BC8" w:rsidRPr="00AE5020" w:rsidRDefault="00420BC8" w:rsidP="00420BC8">
      <w:pPr>
        <w:jc w:val="both"/>
        <w:rPr>
          <w:lang w:val="en-US"/>
        </w:rPr>
      </w:pPr>
    </w:p>
    <w:p w14:paraId="60AFF47F" w14:textId="77777777" w:rsidR="00420BC8" w:rsidRPr="00BD07B8" w:rsidRDefault="00420BC8" w:rsidP="00BD07B8">
      <w:pPr>
        <w:pStyle w:val="Heading2"/>
      </w:pPr>
      <w:r w:rsidRPr="00BD07B8">
        <w:t>Population-Specific Genotype Frequency Analysis of Pharmacogenes</w:t>
      </w:r>
    </w:p>
    <w:p w14:paraId="59439077" w14:textId="77777777" w:rsidR="00420BC8" w:rsidRPr="00AE5020" w:rsidRDefault="00420BC8" w:rsidP="00420BC8">
      <w:pPr>
        <w:jc w:val="both"/>
        <w:rPr>
          <w:bCs/>
          <w:lang w:val="en-US"/>
        </w:rPr>
      </w:pPr>
      <w:r w:rsidRPr="00AE5020">
        <w:rPr>
          <w:lang w:val="en-US"/>
        </w:rPr>
        <w:t xml:space="preserve">To explore the distribution of pharmacogenomic variants across different Peruvian population groups, we calculated genotype frequencies stratified by gene and population for all analyzed 56 pharmacogenes. One of the key aspects of this analysis was the ability to </w:t>
      </w:r>
      <w:r w:rsidRPr="00AE5020">
        <w:rPr>
          <w:bCs/>
          <w:lang w:val="en-US"/>
        </w:rPr>
        <w:t>differentiate t</w:t>
      </w:r>
      <w:r w:rsidRPr="00AE5020">
        <w:rPr>
          <w:lang w:val="en-US"/>
        </w:rPr>
        <w:t>he observed genotype frequencies for a given gene</w:t>
      </w:r>
      <w:r w:rsidRPr="00AE5020">
        <w:rPr>
          <w:bCs/>
          <w:lang w:val="en-US"/>
        </w:rPr>
        <w:t xml:space="preserve"> by population group</w:t>
      </w:r>
      <w:r w:rsidRPr="00AE5020">
        <w:rPr>
          <w:lang w:val="en-US"/>
        </w:rPr>
        <w:t xml:space="preserve">. To determine how frequently each genotype appeared within a given population, the dataset was grouped by </w:t>
      </w:r>
      <w:r w:rsidRPr="00AE5020">
        <w:rPr>
          <w:bCs/>
          <w:lang w:val="en-US"/>
        </w:rPr>
        <w:t>population, gene, and genotype</w:t>
      </w:r>
      <w:r w:rsidRPr="00AE5020">
        <w:rPr>
          <w:lang w:val="en-US"/>
        </w:rPr>
        <w:t>. The number of individuals carrying each genotype was counted and used to compute:</w:t>
      </w:r>
    </w:p>
    <w:p w14:paraId="100A0764" w14:textId="77777777" w:rsidR="00420BC8" w:rsidRPr="00AE5020" w:rsidRDefault="00420BC8" w:rsidP="00420BC8">
      <w:pPr>
        <w:numPr>
          <w:ilvl w:val="0"/>
          <w:numId w:val="7"/>
        </w:numPr>
        <w:jc w:val="both"/>
        <w:rPr>
          <w:lang w:val="en-US"/>
        </w:rPr>
      </w:pPr>
      <w:r w:rsidRPr="00AE5020">
        <w:rPr>
          <w:bCs/>
          <w:lang w:val="en-US"/>
        </w:rPr>
        <w:t>Genotype prevalence within the population</w:t>
      </w:r>
      <w:r w:rsidRPr="00AE5020">
        <w:rPr>
          <w:lang w:val="en-US"/>
        </w:rPr>
        <w:t>: the total number of individuals carrying a particular genotype for each gene.</w:t>
      </w:r>
    </w:p>
    <w:p w14:paraId="6BCA38DA" w14:textId="77777777" w:rsidR="00420BC8" w:rsidRPr="00AE5020" w:rsidRDefault="00420BC8" w:rsidP="00420BC8">
      <w:pPr>
        <w:numPr>
          <w:ilvl w:val="0"/>
          <w:numId w:val="7"/>
        </w:numPr>
        <w:jc w:val="both"/>
        <w:rPr>
          <w:lang w:val="en-US"/>
        </w:rPr>
      </w:pPr>
      <w:r w:rsidRPr="00AE5020">
        <w:rPr>
          <w:bCs/>
          <w:lang w:val="en-US"/>
        </w:rPr>
        <w:t>Genotype frequency within each gene-population group</w:t>
      </w:r>
      <w:r w:rsidRPr="00AE5020">
        <w:rPr>
          <w:lang w:val="en-US"/>
        </w:rPr>
        <w:t>, calculated as:</w:t>
      </w:r>
    </w:p>
    <w:p w14:paraId="47F405DF" w14:textId="77777777" w:rsidR="00420BC8" w:rsidRPr="00AE5020" w:rsidRDefault="00420BC8" w:rsidP="00420BC8">
      <w:pPr>
        <w:numPr>
          <w:ilvl w:val="0"/>
          <w:numId w:val="7"/>
        </w:numPr>
        <w:jc w:val="both"/>
        <w:rPr>
          <w:lang w:val="en-US"/>
        </w:rPr>
      </w:pPr>
    </w:p>
    <w:p w14:paraId="77920D75" w14:textId="77777777" w:rsidR="00420BC8" w:rsidRPr="00AE5020" w:rsidRDefault="00420BC8" w:rsidP="00420BC8">
      <w:pPr>
        <w:jc w:val="both"/>
        <w:rPr>
          <w:rFonts w:eastAsiaTheme="minorEastAsia"/>
          <w:lang w:val="en-US"/>
        </w:rPr>
      </w:pPr>
      <m:oMathPara>
        <m:oMath>
          <m:r>
            <w:rPr>
              <w:rFonts w:ascii="Cambria Math" w:hAnsi="Cambria Math"/>
              <w:lang w:val="en-US"/>
            </w:rPr>
            <m:t>Genotype Frequency=</m:t>
          </m:r>
          <m:f>
            <m:fPr>
              <m:ctrlPr>
                <w:rPr>
                  <w:rFonts w:ascii="Cambria Math" w:hAnsi="Cambria Math"/>
                  <w:i/>
                  <w:lang w:val="en-US"/>
                </w:rPr>
              </m:ctrlPr>
            </m:fPr>
            <m:num>
              <m:r>
                <w:rPr>
                  <w:rFonts w:ascii="Cambria Math" w:hAnsi="Cambria Math"/>
                  <w:lang w:val="en-US"/>
                </w:rPr>
                <m:t>No of Subjects with Genotype</m:t>
              </m:r>
            </m:num>
            <m:den>
              <m:r>
                <w:rPr>
                  <w:rFonts w:ascii="Cambria Math" w:hAnsi="Cambria Math"/>
                  <w:lang w:val="en-US"/>
                </w:rPr>
                <m:t>∑ All Genotypes for the Gene in that Population</m:t>
              </m:r>
            </m:den>
          </m:f>
        </m:oMath>
      </m:oMathPara>
    </w:p>
    <w:p w14:paraId="391B2C5A" w14:textId="77777777" w:rsidR="00420BC8" w:rsidRPr="00AE5020" w:rsidRDefault="00420BC8" w:rsidP="00420BC8">
      <w:pPr>
        <w:jc w:val="both"/>
        <w:rPr>
          <w:lang w:val="en-US"/>
        </w:rPr>
      </w:pPr>
    </w:p>
    <w:p w14:paraId="62815348" w14:textId="77777777" w:rsidR="00420BC8" w:rsidRPr="00AE5020" w:rsidRDefault="00420BC8" w:rsidP="00420BC8">
      <w:pPr>
        <w:numPr>
          <w:ilvl w:val="0"/>
          <w:numId w:val="7"/>
        </w:numPr>
        <w:jc w:val="both"/>
        <w:rPr>
          <w:lang w:val="en-US"/>
        </w:rPr>
      </w:pPr>
      <w:r w:rsidRPr="00AE5020">
        <w:rPr>
          <w:bCs/>
          <w:lang w:val="en-US"/>
        </w:rPr>
        <w:t>Percentage representation of genotype frequency</w:t>
      </w:r>
      <w:r w:rsidRPr="00AE5020">
        <w:rPr>
          <w:lang w:val="en-US"/>
        </w:rPr>
        <w:t>, expressed as:</w:t>
      </w:r>
    </w:p>
    <w:p w14:paraId="1664E227" w14:textId="77777777" w:rsidR="00420BC8" w:rsidRPr="00AE5020" w:rsidRDefault="00420BC8" w:rsidP="00420BC8">
      <w:pPr>
        <w:jc w:val="both"/>
        <w:rPr>
          <w:lang w:val="en-US"/>
        </w:rPr>
      </w:pPr>
    </w:p>
    <w:p w14:paraId="3744A259" w14:textId="77777777" w:rsidR="00420BC8" w:rsidRPr="00AE5020" w:rsidRDefault="00420BC8" w:rsidP="00420BC8">
      <w:pPr>
        <w:jc w:val="both"/>
        <w:rPr>
          <w:lang w:val="en-US"/>
        </w:rPr>
      </w:pPr>
      <m:oMathPara>
        <m:oMath>
          <m:r>
            <w:rPr>
              <w:rFonts w:ascii="Cambria Math" w:hAnsi="Cambria Math"/>
              <w:lang w:val="en-US"/>
            </w:rPr>
            <m:t xml:space="preserve">Genotype Frequency (%)=Genotype Frequency×100 </m:t>
          </m:r>
        </m:oMath>
      </m:oMathPara>
    </w:p>
    <w:p w14:paraId="5F15024D" w14:textId="77777777" w:rsidR="00420BC8" w:rsidRPr="00AE5020" w:rsidRDefault="00420BC8" w:rsidP="00420BC8">
      <w:pPr>
        <w:jc w:val="both"/>
        <w:rPr>
          <w:lang w:val="en-US"/>
        </w:rPr>
      </w:pPr>
    </w:p>
    <w:p w14:paraId="4406393C" w14:textId="77777777" w:rsidR="00420BC8" w:rsidRPr="00AE5020" w:rsidRDefault="00420BC8" w:rsidP="00420BC8">
      <w:pPr>
        <w:jc w:val="both"/>
        <w:rPr>
          <w:lang w:val="en-US"/>
        </w:rPr>
      </w:pPr>
      <w:r w:rsidRPr="00AE5020">
        <w:rPr>
          <w:lang w:val="en-US"/>
        </w:rPr>
        <w:t xml:space="preserve">This calculation ensures that genotype distributions are </w:t>
      </w:r>
      <w:r w:rsidRPr="00AE5020">
        <w:rPr>
          <w:bCs/>
          <w:lang w:val="en-US"/>
        </w:rPr>
        <w:t>normalized within each population</w:t>
      </w:r>
      <w:r w:rsidRPr="00AE5020">
        <w:rPr>
          <w:lang w:val="en-US"/>
        </w:rPr>
        <w:t xml:space="preserve">, allowing for direct comparisons across genes and demographic groups. This population-stratified genotype frequency calculations allow for </w:t>
      </w:r>
      <w:r w:rsidRPr="00AE5020">
        <w:rPr>
          <w:bCs/>
          <w:lang w:val="en-US"/>
        </w:rPr>
        <w:t>comparative pharmacogenomic studies</w:t>
      </w:r>
      <w:r w:rsidRPr="00AE5020">
        <w:rPr>
          <w:lang w:val="en-US"/>
        </w:rPr>
        <w:t xml:space="preserve">, providing insights into </w:t>
      </w:r>
      <w:r w:rsidRPr="00AE5020">
        <w:rPr>
          <w:bCs/>
          <w:lang w:val="en-US"/>
        </w:rPr>
        <w:t>population-specific variability in drug response and genetic predisposition to adverse drug reactions</w:t>
      </w:r>
      <w:r w:rsidRPr="00AE5020">
        <w:rPr>
          <w:lang w:val="en-US"/>
        </w:rPr>
        <w:t xml:space="preserve">. </w:t>
      </w:r>
    </w:p>
    <w:p w14:paraId="3DCE96E7" w14:textId="77777777" w:rsidR="00420BC8" w:rsidRPr="00AE5020" w:rsidRDefault="00420BC8" w:rsidP="00420BC8">
      <w:pPr>
        <w:jc w:val="both"/>
        <w:rPr>
          <w:lang w:val="en-US"/>
        </w:rPr>
      </w:pPr>
    </w:p>
    <w:p w14:paraId="397FE92B" w14:textId="77777777" w:rsidR="00420BC8" w:rsidRPr="00BD07B8" w:rsidRDefault="00420BC8" w:rsidP="00BD07B8">
      <w:pPr>
        <w:pStyle w:val="Heading2"/>
      </w:pPr>
      <w:r w:rsidRPr="00BD07B8">
        <w:t>Principal Component Analysis</w:t>
      </w:r>
    </w:p>
    <w:p w14:paraId="7B20FADF" w14:textId="77777777" w:rsidR="00420BC8" w:rsidRPr="00AE5020" w:rsidRDefault="00420BC8" w:rsidP="00420BC8">
      <w:pPr>
        <w:jc w:val="both"/>
        <w:rPr>
          <w:lang w:val="en-US"/>
        </w:rPr>
      </w:pPr>
      <w:r w:rsidRPr="00AE5020">
        <w:rPr>
          <w:lang w:val="en-US"/>
        </w:rPr>
        <w:t>We investigated genetic population structure by performing a principal component analysis (PCA) on a set of genotyped samples. First, we applied an identity-by-descent (IBD) filter to remove related individuals and ensure that only unrelated samples were retained. After this filtering step, a total of 936,301 variants and 747 samples—representing 28 populations—remained for downstream analyses.</w:t>
      </w:r>
    </w:p>
    <w:p w14:paraId="3B453E90" w14:textId="77777777" w:rsidR="00420BC8" w:rsidRPr="00AE5020" w:rsidRDefault="00420BC8" w:rsidP="00420BC8">
      <w:pPr>
        <w:jc w:val="both"/>
        <w:rPr>
          <w:lang w:val="en-US"/>
        </w:rPr>
      </w:pPr>
    </w:p>
    <w:p w14:paraId="6A7DF666" w14:textId="77777777" w:rsidR="00420BC8" w:rsidRPr="00AE5020" w:rsidRDefault="00420BC8" w:rsidP="00420BC8">
      <w:pPr>
        <w:jc w:val="both"/>
        <w:rPr>
          <w:lang w:val="en-US"/>
        </w:rPr>
      </w:pPr>
      <w:r w:rsidRPr="00AE5020">
        <w:rPr>
          <w:lang w:val="en-US"/>
        </w:rPr>
        <w:t xml:space="preserve">We conducted the PCA using PLINK (v1.90) with the </w:t>
      </w:r>
      <w:r w:rsidRPr="00AE5020">
        <w:rPr>
          <w:bCs/>
          <w:lang w:val="en-US"/>
        </w:rPr>
        <w:t>--</w:t>
      </w:r>
      <w:proofErr w:type="spellStart"/>
      <w:r w:rsidRPr="00AE5020">
        <w:rPr>
          <w:bCs/>
          <w:lang w:val="en-US"/>
        </w:rPr>
        <w:t>pca</w:t>
      </w:r>
      <w:proofErr w:type="spellEnd"/>
      <w:r w:rsidRPr="00AE5020">
        <w:rPr>
          <w:lang w:val="en-US"/>
        </w:rPr>
        <w:t xml:space="preserve"> option. Briefly, the input was a VCF file containing the common variants. PLINK computed allele frequencies and constructed the genetic relationship matrix among all samples. Eigenvalues (quantifying the variance explained by each principal component) and eigenvectors (the coordinates of each sample in </w:t>
      </w:r>
      <w:r w:rsidRPr="00AE5020">
        <w:rPr>
          <w:lang w:val="en-US"/>
        </w:rPr>
        <w:lastRenderedPageBreak/>
        <w:t>the principal-component space) were then estimated. The output comprised two files, which were used to visualize the clustering patterns via scatter plots of the principal components (e.g., PC1 vs. PC2).</w:t>
      </w:r>
    </w:p>
    <w:p w14:paraId="7D6289F5" w14:textId="77777777" w:rsidR="00420BC8" w:rsidRPr="00AE5020" w:rsidRDefault="00420BC8" w:rsidP="00420BC8">
      <w:pPr>
        <w:jc w:val="both"/>
        <w:rPr>
          <w:lang w:val="en-US"/>
        </w:rPr>
      </w:pPr>
    </w:p>
    <w:p w14:paraId="48537337" w14:textId="1CA9DE6F" w:rsidR="00420BC8" w:rsidRPr="00AE5020" w:rsidRDefault="00420BC8" w:rsidP="00420BC8">
      <w:pPr>
        <w:jc w:val="both"/>
        <w:rPr>
          <w:lang w:val="en-US"/>
        </w:rPr>
      </w:pPr>
      <w:r w:rsidRPr="00AE5020">
        <w:rPr>
          <w:lang w:val="en-US"/>
        </w:rPr>
        <w:t xml:space="preserve">To further contextualize our Peruvian population samples within a global reference panel, we incorporated additional samples from the </w:t>
      </w:r>
      <w:bookmarkStart w:id="42" w:name="OLE_LINK75"/>
      <w:bookmarkStart w:id="43" w:name="OLE_LINK76"/>
      <w:r w:rsidRPr="00AE5020">
        <w:rPr>
          <w:lang w:val="en-US"/>
        </w:rPr>
        <w:t xml:space="preserve">Simons Genome Diversity Project </w:t>
      </w:r>
      <w:bookmarkEnd w:id="42"/>
      <w:bookmarkEnd w:id="43"/>
      <w:r w:rsidRPr="00AE5020">
        <w:rPr>
          <w:lang w:val="en-US"/>
        </w:rPr>
        <w:t xml:space="preserve">(SGDP) </w:t>
      </w:r>
      <w:r w:rsidRPr="00AE5020">
        <w:rPr>
          <w:lang w:val="en-US"/>
        </w:rPr>
        <w:fldChar w:fldCharType="begin"/>
      </w:r>
      <w:r w:rsidR="00C01C95">
        <w:rPr>
          <w:lang w:val="en-US"/>
        </w:rPr>
        <w:instrText xml:space="preserve"> ADDIN ZOTERO_ITEM CSL_CITATION {"citationID":"rlJbz3Lo","properties":{"formattedCitation":"\\super 57\\nosupersub{}","plainCitation":"57","noteIndex":0},"citationItems":[{"id":632,"uris":["http://zotero.org/users/16405780/items/346C7JLT"],"itemData":{"id":632,"type":"article-journal","abstract":"Here we report the Simons Genome Diversity Project data set: high quality genomes from 300 individuals from 142 diverse populations. These genomes include at least 5.8 million base pairs that are not present in the human reference genome. Our analysis reveals key features of the landscape of human genome variation, including that the rate of accumulation of mutations has accelerated by about 5% in non-Africans compared to Africans since divergence. We show that the ancestors of some pairs of present-day human populations were substantially separated by 100,000 years ago, well before the archaeologically attested onset of behavioural modernity. We also demonstrate that indigenous Australians, New Guineans and Andamanese do not derive substantial ancestry from an early dispersal of modern humans; instead, their modern human ancestry is consistent with coming from the same source as that of other non-Africans.","container-title":"Nature","DOI":"10.1038/nature18964","ISSN":"1476-4687","issue":"7624","language":"en","license":"2016 Macmillan Publishers Limited, part of Springer Nature. All rights reserved.","note":"publisher: Nature Publishing Group","page":"201-206","source":"www.nature.com","title":"The Simons Genome Diversity Project: 300 genomes from 142 diverse populations","title-short":"The Simons Genome Diversity Project","volume":"538","author":[{"family":"Mallick","given":"Swapan"},{"family":"Li","given":"Heng"},{"family":"Lipson","given":"Mark"},{"family":"Mathieson","given":"Iain"},{"family":"Gymrek","given":"Melissa"},{"family":"Racimo","given":"Fernando"},{"family":"Zhao","given":"Mengyao"},{"family":"Chennagiri","given":"Niru"},{"family":"Nordenfelt","given":"Susanne"},{"family":"Tandon","given":"Arti"},{"family":"Skoglund","given":"Pontus"},{"family":"Lazaridis","given":"Iosif"},{"family":"Sankararaman","given":"Sriram"},{"family":"Fu","given":"Qiaomei"},{"family":"Rohland","given":"Nadin"},{"family":"Renaud","given":"Gabriel"},{"family":"Erlich","given":"Yaniv"},{"family":"Willems","given":"Thomas"},{"family":"Gallo","given":"Carla"},{"family":"Spence","given":"Jeffrey P."},{"family":"Song","given":"Yun S."},{"family":"Poletti","given":"Giovanni"},{"family":"Balloux","given":"Francois"},{"family":"Driem","given":"George","non-dropping-particle":"van"},{"family":"Knijff","given":"Peter","non-dropping-particle":"de"},{"family":"Romero","given":"Irene Gallego"},{"family":"Jha","given":"Aashish R."},{"family":"Behar","given":"Doron M."},{"family":"Bravi","given":"Claudio M."},{"family":"Capelli","given":"Cristian"},{"family":"Hervig","given":"Tor"},{"family":"Moreno-Estrada","given":"Andres"},{"family":"Posukh","given":"Olga L."},{"family":"Balanovska","given":"Elena"},{"family":"Balanovsky","given":"Oleg"},{"family":"Karachanak-Yankova","given":"Sena"},{"family":"Sahakyan","given":"Hovhannes"},{"family":"Toncheva","given":"Draga"},{"family":"Yepiskoposyan","given":"Levon"},{"family":"Tyler-Smith","given":"Chris"},{"family":"Xue","given":"Yali"},{"family":"Abdullah","given":"M. Syafiq"},{"family":"Ruiz-Linares","given":"Andres"},{"family":"Beall","given":"Cynthia M."},{"family":"Di Rienzo","given":"Anna"},{"family":"Jeong","given":"Choongwon"},{"family":"Starikovskaya","given":"Elena B."},{"family":"Metspalu","given":"Ene"},{"family":"Parik","given":"Jüri"},{"family":"Villems","given":"Richard"},{"family":"Henn","given":"Brenna M."},{"family":"Hodoglugil","given":"Ugur"},{"family":"Mahley","given":"Robert"},{"family":"Sajantila","given":"Antti"},{"family":"Stamatoyannopoulos","given":"George"},{"family":"Wee","given":"Joseph T. S."},{"family":"Khusainova","given":"Rita"},{"family":"Khusnutdinova","given":"Elza"},{"family":"Litvinov","given":"Sergey"},{"family":"Ayodo","given":"George"},{"family":"Comas","given":"David"},{"family":"Hammer","given":"Michael F."},{"family":"Kivisild","given":"Toomas"},{"family":"Klitz","given":"William"},{"family":"Winkler","given":"Cheryl A."},{"family":"Labuda","given":"Damian"},{"family":"Bamshad","given":"Michael"},{"family":"Jorde","given":"Lynn B."},{"family":"Tishkoff","given":"Sarah A."},{"family":"Watkins","given":"W. Scott"},{"family":"Metspalu","given":"Mait"},{"family":"Dryomov","given":"Stanislav"},{"family":"Sukernik","given":"Rem"},{"family":"Singh","given":"Lalji"},{"family":"Thangaraj","given":"Kumarasamy"},{"family":"Pääbo","given":"Svante"},{"family":"Kelso","given":"Janet"},{"family":"Patterson","given":"Nick"},{"family":"Reich","given":"David"}],"issued":{"date-parts":[["2016",10]]}}}],"schema":"https://github.com/citation-style-language/schema/raw/master/csl-citation.json"} </w:instrText>
      </w:r>
      <w:r w:rsidRPr="00AE5020">
        <w:rPr>
          <w:lang w:val="en-US"/>
        </w:rPr>
        <w:fldChar w:fldCharType="separate"/>
      </w:r>
      <w:r w:rsidR="00C01C95" w:rsidRPr="00C01C95">
        <w:rPr>
          <w:rFonts w:ascii="Calibri" w:cs="Calibri"/>
          <w:vertAlign w:val="superscript"/>
        </w:rPr>
        <w:t>57</w:t>
      </w:r>
      <w:r w:rsidRPr="00AE5020">
        <w:rPr>
          <w:lang w:val="en-US"/>
        </w:rPr>
        <w:fldChar w:fldCharType="end"/>
      </w:r>
      <w:r w:rsidRPr="00AE5020">
        <w:rPr>
          <w:lang w:val="en-US"/>
        </w:rPr>
        <w:t xml:space="preserve"> using PLINK (v1.90). We obtained a preprocessed dataset containing 34,418,131 variants and 345 individuals (179 males, 129 females, and 37 ambiguous sex assignments) from the publicly available SGDP resource. After loading the binary PLINK files (.bed, .</w:t>
      </w:r>
      <w:proofErr w:type="spellStart"/>
      <w:r w:rsidRPr="00AE5020">
        <w:rPr>
          <w:lang w:val="en-US"/>
        </w:rPr>
        <w:t>bim</w:t>
      </w:r>
      <w:proofErr w:type="spellEnd"/>
      <w:r w:rsidRPr="00AE5020">
        <w:rPr>
          <w:lang w:val="en-US"/>
        </w:rPr>
        <w:t xml:space="preserve">, .fam), we recoded these data into a VCF format with the </w:t>
      </w:r>
      <w:r w:rsidRPr="00AE5020">
        <w:rPr>
          <w:b/>
          <w:bCs/>
          <w:lang w:val="en-US"/>
        </w:rPr>
        <w:t>--</w:t>
      </w:r>
      <w:r w:rsidRPr="00AE5020">
        <w:rPr>
          <w:bCs/>
          <w:lang w:val="en-US"/>
        </w:rPr>
        <w:t xml:space="preserve">recode </w:t>
      </w:r>
      <w:proofErr w:type="spellStart"/>
      <w:r w:rsidRPr="00AE5020">
        <w:rPr>
          <w:bCs/>
          <w:lang w:val="en-US"/>
        </w:rPr>
        <w:t>vcf</w:t>
      </w:r>
      <w:proofErr w:type="spellEnd"/>
      <w:r w:rsidRPr="00AE5020">
        <w:rPr>
          <w:lang w:val="en-US"/>
        </w:rPr>
        <w:t xml:space="preserve"> command.</w:t>
      </w:r>
    </w:p>
    <w:p w14:paraId="4477DE85" w14:textId="77777777" w:rsidR="00420BC8" w:rsidRPr="00AE5020" w:rsidRDefault="00420BC8" w:rsidP="00420BC8">
      <w:pPr>
        <w:jc w:val="both"/>
        <w:rPr>
          <w:lang w:val="en-US"/>
        </w:rPr>
      </w:pPr>
    </w:p>
    <w:p w14:paraId="45A0707A" w14:textId="77777777" w:rsidR="00420BC8" w:rsidRPr="00AE5020" w:rsidRDefault="00420BC8" w:rsidP="00420BC8">
      <w:pPr>
        <w:jc w:val="both"/>
        <w:rPr>
          <w:lang w:val="en-US"/>
        </w:rPr>
      </w:pPr>
      <w:r w:rsidRPr="00AE5020">
        <w:rPr>
          <w:lang w:val="en-US"/>
        </w:rPr>
        <w:t xml:space="preserve">Quality-control steps </w:t>
      </w:r>
      <w:proofErr w:type="gramStart"/>
      <w:r w:rsidRPr="00AE5020">
        <w:rPr>
          <w:lang w:val="en-US"/>
        </w:rPr>
        <w:t>similar to</w:t>
      </w:r>
      <w:proofErr w:type="gramEnd"/>
      <w:r w:rsidRPr="00AE5020">
        <w:rPr>
          <w:lang w:val="en-US"/>
        </w:rPr>
        <w:t xml:space="preserve"> those used for the Peruvian samples (e.g., ensuring correct sample sex annotations and handling haploid genotypes as missing) were performed. The SGDP VCF file was then ready to be merged with the Peruvian dataset </w:t>
      </w:r>
      <w:proofErr w:type="gramStart"/>
      <w:r w:rsidRPr="00AE5020">
        <w:rPr>
          <w:lang w:val="en-US"/>
        </w:rPr>
        <w:t>in order to</w:t>
      </w:r>
      <w:proofErr w:type="gramEnd"/>
      <w:r w:rsidRPr="00AE5020">
        <w:rPr>
          <w:lang w:val="en-US"/>
        </w:rPr>
        <w:t xml:space="preserve"> conduct joint PCA. This allowed for a comparative analysis of the Peruvian populations relative to a broad spectrum of globally distributed reference populations from the SGDP panel.</w:t>
      </w:r>
    </w:p>
    <w:p w14:paraId="3707E232" w14:textId="77777777" w:rsidR="00420BC8" w:rsidRPr="00AE5020" w:rsidRDefault="00420BC8" w:rsidP="00420BC8">
      <w:pPr>
        <w:jc w:val="both"/>
        <w:rPr>
          <w:lang w:val="en-US"/>
        </w:rPr>
      </w:pPr>
    </w:p>
    <w:p w14:paraId="447D64E4" w14:textId="77777777" w:rsidR="00420BC8" w:rsidRPr="00BD07B8" w:rsidRDefault="00420BC8" w:rsidP="00BD07B8">
      <w:pPr>
        <w:pStyle w:val="Heading2"/>
      </w:pPr>
      <w:r w:rsidRPr="00BD07B8">
        <w:t>D-Statistic and Di Calculation</w:t>
      </w:r>
    </w:p>
    <w:p w14:paraId="199458AB" w14:textId="3B2A156F" w:rsidR="00420BC8" w:rsidRPr="00AE5020" w:rsidRDefault="00420BC8" w:rsidP="00420BC8">
      <w:pPr>
        <w:jc w:val="both"/>
        <w:rPr>
          <w:lang w:val="en-US"/>
        </w:rPr>
      </w:pPr>
      <w:r w:rsidRPr="00AE5020">
        <w:rPr>
          <w:lang w:val="en-US"/>
        </w:rPr>
        <w:t xml:space="preserve">We assessed patterns of gene flow and population divergence using D-statistics computed through a custom analysis pipeline integrating </w:t>
      </w:r>
      <w:r w:rsidRPr="00AE5020">
        <w:rPr>
          <w:bCs/>
          <w:lang w:val="en-US"/>
        </w:rPr>
        <w:t>ADMIXTOOLS</w:t>
      </w:r>
      <w:r w:rsidRPr="00AE5020">
        <w:rPr>
          <w:lang w:val="en-US"/>
        </w:rPr>
        <w:t xml:space="preserve"> </w:t>
      </w:r>
      <w:r w:rsidRPr="00AE5020">
        <w:rPr>
          <w:lang w:val="en-US"/>
        </w:rPr>
        <w:fldChar w:fldCharType="begin"/>
      </w:r>
      <w:r w:rsidR="00C01C95">
        <w:rPr>
          <w:lang w:val="en-US"/>
        </w:rPr>
        <w:instrText xml:space="preserve"> ADDIN ZOTERO_ITEM CSL_CITATION {"citationID":"miEjcrJy","properties":{"formattedCitation":"\\super 58\\nosupersub{}","plainCitation":"58","noteIndex":0},"citationItems":[{"id":631,"uris":["http://zotero.org/users/16405780/items/6XVJKDPV"],"itemData":{"id":631,"type":"software","genre":"R","note":"original-date: 2019-12-20T20:15:32Z","source":"GitHub","title":"uqrmaie1/admixtools","URL":"https://github.com/uqrmaie1/admixtools","author":[{"family":"Maier","given":"Robert"}],"accessed":{"date-parts":[["2025",3,21]]},"issued":{"date-parts":[["2025",3,19]]}}}],"schema":"https://github.com/citation-style-language/schema/raw/master/csl-citation.json"} </w:instrText>
      </w:r>
      <w:r w:rsidRPr="00AE5020">
        <w:rPr>
          <w:lang w:val="en-US"/>
        </w:rPr>
        <w:fldChar w:fldCharType="separate"/>
      </w:r>
      <w:r w:rsidR="00C01C95" w:rsidRPr="00C01C95">
        <w:rPr>
          <w:rFonts w:ascii="Calibri" w:cs="Calibri"/>
          <w:vertAlign w:val="superscript"/>
        </w:rPr>
        <w:t>58</w:t>
      </w:r>
      <w:r w:rsidRPr="00AE5020">
        <w:rPr>
          <w:lang w:val="en-US"/>
        </w:rPr>
        <w:fldChar w:fldCharType="end"/>
      </w:r>
      <w:r w:rsidRPr="00AE5020">
        <w:rPr>
          <w:lang w:val="en-US"/>
        </w:rPr>
        <w:t xml:space="preserve"> and in-house Python scripts. The D-statistic approach is designed to detect excess allele sharing between pairs of populations (pop2, pop3) when compared to reference (pop1) and outgroup (pop4) populations. For example, in our analyses, we designated Cusco as the outgroup population in certain comparisons to test whether other populations showed evidence of historical admixture relative to this reference.</w:t>
      </w:r>
    </w:p>
    <w:p w14:paraId="6B1A69CA" w14:textId="77777777" w:rsidR="00420BC8" w:rsidRPr="00AE5020" w:rsidRDefault="00420BC8" w:rsidP="00420BC8">
      <w:pPr>
        <w:jc w:val="both"/>
        <w:rPr>
          <w:lang w:val="en-US"/>
        </w:rPr>
      </w:pPr>
    </w:p>
    <w:p w14:paraId="6F596A22" w14:textId="77777777" w:rsidR="00420BC8" w:rsidRPr="00AE5020" w:rsidRDefault="00420BC8" w:rsidP="00420BC8">
      <w:pPr>
        <w:jc w:val="both"/>
        <w:rPr>
          <w:lang w:val="en-US"/>
        </w:rPr>
      </w:pPr>
      <w:r w:rsidRPr="00AE5020">
        <w:rPr>
          <w:lang w:val="en-US"/>
        </w:rPr>
        <w:t>We began our analysis by assembling a filtered dataset of 747 samples and 936,301 SNPs in PLINK format (.bed, .</w:t>
      </w:r>
      <w:proofErr w:type="spellStart"/>
      <w:r w:rsidRPr="00AE5020">
        <w:rPr>
          <w:lang w:val="en-US"/>
        </w:rPr>
        <w:t>bim</w:t>
      </w:r>
      <w:proofErr w:type="spellEnd"/>
      <w:r w:rsidRPr="00AE5020">
        <w:rPr>
          <w:lang w:val="en-US"/>
        </w:rPr>
        <w:t>, .fam). These samples had already been processed to minimize relatedness through IBD (identity-by-descent) filtering, ensuring that only unrelated individuals were included. Next, we employed a custom Python script (calc-di-stat.py) to convert these PLINK files into EIGENSTRAT format (.</w:t>
      </w:r>
      <w:proofErr w:type="spellStart"/>
      <w:r w:rsidRPr="00AE5020">
        <w:rPr>
          <w:lang w:val="en-US"/>
        </w:rPr>
        <w:t>geno</w:t>
      </w:r>
      <w:proofErr w:type="spellEnd"/>
      <w:r w:rsidRPr="00AE5020">
        <w:rPr>
          <w:lang w:val="en-US"/>
        </w:rPr>
        <w:t>, .</w:t>
      </w:r>
      <w:proofErr w:type="spellStart"/>
      <w:r w:rsidRPr="00AE5020">
        <w:rPr>
          <w:lang w:val="en-US"/>
        </w:rPr>
        <w:t>snp</w:t>
      </w:r>
      <w:proofErr w:type="spellEnd"/>
      <w:r w:rsidRPr="00AE5020">
        <w:rPr>
          <w:lang w:val="en-US"/>
        </w:rPr>
        <w:t>, .</w:t>
      </w:r>
      <w:proofErr w:type="spellStart"/>
      <w:r w:rsidRPr="00AE5020">
        <w:rPr>
          <w:lang w:val="en-US"/>
        </w:rPr>
        <w:t>ind</w:t>
      </w:r>
      <w:proofErr w:type="spellEnd"/>
      <w:r w:rsidRPr="00AE5020">
        <w:rPr>
          <w:lang w:val="en-US"/>
        </w:rPr>
        <w:t xml:space="preserve">), which is required by ADMIXTOOLS. During this conversion, </w:t>
      </w:r>
      <w:proofErr w:type="gramStart"/>
      <w:r w:rsidRPr="00AE5020">
        <w:rPr>
          <w:lang w:val="en-US"/>
        </w:rPr>
        <w:t>each individual</w:t>
      </w:r>
      <w:proofErr w:type="gramEnd"/>
      <w:r w:rsidRPr="00AE5020">
        <w:rPr>
          <w:lang w:val="en-US"/>
        </w:rPr>
        <w:t xml:space="preserve"> was mapped to a corresponding population, and index files were created to record variant positions and track each sample’s assignment. Following additional quality-control steps—such as establishing thresholds for missing data and minor allele frequency—we narrowed the dataset down to a final set of 37,116 polymorphic SNPs for the D-statistic calculations. This focused subset balanced robustness with computational efficiency.</w:t>
      </w:r>
    </w:p>
    <w:p w14:paraId="54498F04" w14:textId="77777777" w:rsidR="00420BC8" w:rsidRPr="00AE5020" w:rsidRDefault="00420BC8" w:rsidP="00420BC8">
      <w:pPr>
        <w:jc w:val="both"/>
        <w:rPr>
          <w:lang w:val="en-US"/>
        </w:rPr>
      </w:pPr>
    </w:p>
    <w:p w14:paraId="25005F40" w14:textId="77777777" w:rsidR="00420BC8" w:rsidRPr="00AE5020" w:rsidRDefault="00420BC8" w:rsidP="00420BC8">
      <w:pPr>
        <w:jc w:val="both"/>
        <w:rPr>
          <w:lang w:val="en-US"/>
        </w:rPr>
      </w:pPr>
      <w:r w:rsidRPr="00AE5020">
        <w:rPr>
          <w:lang w:val="en-US"/>
        </w:rPr>
        <w:t xml:space="preserve">Because a reliable genetic linkage map was not available, we defined blocks of SNPs for jackknife estimation in D-statistics using a default physical distance of two </w:t>
      </w:r>
      <w:proofErr w:type="spellStart"/>
      <w:r w:rsidRPr="00AE5020">
        <w:rPr>
          <w:lang w:val="en-US"/>
        </w:rPr>
        <w:t>megabases</w:t>
      </w:r>
      <w:proofErr w:type="spellEnd"/>
      <w:r w:rsidRPr="00AE5020">
        <w:rPr>
          <w:lang w:val="en-US"/>
        </w:rPr>
        <w:t xml:space="preserve"> (2 Mb). While this approach did not explicitly account for recombination rates, it still provided a conservative way to estimate the variance of our computed statistics.</w:t>
      </w:r>
    </w:p>
    <w:p w14:paraId="1A52E914" w14:textId="77777777" w:rsidR="00420BC8" w:rsidRPr="00AE5020" w:rsidRDefault="00420BC8" w:rsidP="00420BC8">
      <w:pPr>
        <w:jc w:val="both"/>
        <w:rPr>
          <w:lang w:val="en-US"/>
        </w:rPr>
      </w:pPr>
    </w:p>
    <w:p w14:paraId="79C45B09" w14:textId="77777777" w:rsidR="00420BC8" w:rsidRPr="00AE5020" w:rsidRDefault="00420BC8" w:rsidP="00420BC8">
      <w:pPr>
        <w:jc w:val="both"/>
        <w:rPr>
          <w:lang w:val="en-US"/>
        </w:rPr>
      </w:pPr>
      <w:r w:rsidRPr="00AE5020">
        <w:rPr>
          <w:lang w:val="en-US"/>
        </w:rPr>
        <w:t xml:space="preserve">With our data prepared, we turned to the f2-based approach in ADMIXTOOLS (to calculate pairwise allele frequency differentiations. From these, we derived D-statistics of the form D(pop1, pop2, pop3, pop4), allowing us to test for excess allele sharing that might signal gene flow among specified population trios. In some of these analyses, we positioned the Cusco </w:t>
      </w:r>
      <w:r w:rsidRPr="00AE5020">
        <w:rPr>
          <w:lang w:val="en-US"/>
        </w:rPr>
        <w:lastRenderedPageBreak/>
        <w:t>population as an outgroup (pop4) due to its distinctive genetic characteristics, thereby establishing a baseline to detect any admixture events in the remaining populations. For visualization, we generated heatmaps that highlighted these gene flow relationships. By focusing on the more variable populations (pop2 and pop3), we could illustrate how different pairs of groups shared alleles relative to a consistent set of references (pop1) and outgroups (pop4).</w:t>
      </w:r>
    </w:p>
    <w:p w14:paraId="7CE56000" w14:textId="77777777" w:rsidR="00420BC8" w:rsidRPr="00AE5020" w:rsidRDefault="00420BC8" w:rsidP="00420BC8">
      <w:pPr>
        <w:jc w:val="both"/>
        <w:rPr>
          <w:lang w:val="en-US"/>
        </w:rPr>
      </w:pPr>
    </w:p>
    <w:p w14:paraId="06A0EA3F" w14:textId="77777777" w:rsidR="00420BC8" w:rsidRPr="00AE5020" w:rsidRDefault="00420BC8" w:rsidP="00420BC8">
      <w:pPr>
        <w:jc w:val="both"/>
        <w:rPr>
          <w:lang w:val="en-US"/>
        </w:rPr>
      </w:pPr>
      <w:r w:rsidRPr="00AE5020">
        <w:rPr>
          <w:lang w:val="en-US"/>
        </w:rPr>
        <w:t xml:space="preserve">To complement these broader D-statistics, we also computed a standardized per-locus measure, Di​, to gauge how each SNP deviated from the genome-wide mean of a chosen metric (e.g., </w:t>
      </w:r>
      <w:proofErr w:type="spellStart"/>
      <w:r w:rsidRPr="00AE5020">
        <w:rPr>
          <w:lang w:val="en-US"/>
        </w:rPr>
        <w:t>Fst</w:t>
      </w:r>
      <w:proofErr w:type="spellEnd"/>
      <w:r w:rsidRPr="00AE5020">
        <w:rPr>
          <w:lang w:val="en-US"/>
        </w:rPr>
        <w:t xml:space="preserve">​ or another summary statistic). A separate Python script read locus-specific </w:t>
      </w:r>
      <w:proofErr w:type="spellStart"/>
      <w:r w:rsidRPr="00AE5020">
        <w:rPr>
          <w:lang w:val="en-US"/>
        </w:rPr>
        <w:t>Fst</w:t>
      </w:r>
      <w:proofErr w:type="spellEnd"/>
      <w:r w:rsidRPr="00AE5020">
        <w:rPr>
          <w:lang w:val="en-US"/>
        </w:rPr>
        <w:t xml:space="preserve"> values, computed their mean and standard deviation, and then calculated Di= </w:t>
      </w:r>
      <m:oMath>
        <m:f>
          <m:fPr>
            <m:ctrlPr>
              <w:rPr>
                <w:rFonts w:ascii="Cambria Math" w:hAnsi="Cambria Math"/>
                <w:i/>
                <w:lang w:val="en-US"/>
              </w:rPr>
            </m:ctrlPr>
          </m:fPr>
          <m:num>
            <m:r>
              <w:rPr>
                <w:rFonts w:ascii="Cambria Math" w:hAnsi="Cambria Math"/>
                <w:lang w:val="en-US"/>
              </w:rPr>
              <m:t>Fst-</m:t>
            </m:r>
            <m:acc>
              <m:accPr>
                <m:chr m:val="̅"/>
                <m:ctrlPr>
                  <w:rPr>
                    <w:rFonts w:ascii="Cambria Math" w:hAnsi="Cambria Math"/>
                    <w:i/>
                    <w:lang w:val="en-US"/>
                  </w:rPr>
                </m:ctrlPr>
              </m:accPr>
              <m:e>
                <m:r>
                  <w:rPr>
                    <w:rFonts w:ascii="Cambria Math" w:hAnsi="Cambria Math"/>
                    <w:lang w:val="en-US"/>
                  </w:rPr>
                  <m:t>Fst</m:t>
                </m:r>
              </m:e>
            </m:acc>
          </m:num>
          <m:den>
            <m:r>
              <w:rPr>
                <w:rFonts w:ascii="Cambria Math" w:hAnsi="Cambria Math"/>
                <w:lang w:val="en-US"/>
              </w:rPr>
              <m:t>σFst</m:t>
            </m:r>
          </m:den>
        </m:f>
      </m:oMath>
      <w:r w:rsidRPr="00AE5020">
        <w:rPr>
          <w:lang w:val="en-US"/>
        </w:rPr>
        <w:t>​​​. SNPs whose Di​ values lay well beyond the average range signaled unusually high divergence patterns. Although this does not definitively prove positive selection, these outlier loci merit additional scrutiny, potentially through analyses targeting local adaptation or the role of historical gene flow.</w:t>
      </w:r>
    </w:p>
    <w:p w14:paraId="66472B4E" w14:textId="77777777" w:rsidR="00420BC8" w:rsidRPr="00AE5020" w:rsidRDefault="00420BC8" w:rsidP="00420BC8">
      <w:pPr>
        <w:jc w:val="both"/>
        <w:rPr>
          <w:lang w:val="en-US"/>
        </w:rPr>
      </w:pPr>
    </w:p>
    <w:p w14:paraId="535546EC" w14:textId="77777777" w:rsidR="00420BC8" w:rsidRPr="00AE5020" w:rsidRDefault="00420BC8" w:rsidP="00420BC8">
      <w:pPr>
        <w:jc w:val="both"/>
        <w:rPr>
          <w:lang w:val="en-US"/>
        </w:rPr>
      </w:pPr>
      <w:r w:rsidRPr="00AE5020">
        <w:rPr>
          <w:lang w:val="en-US"/>
        </w:rPr>
        <w:t>It is worth emphasizing that the D-statistic framework and any dendrograms derived from it should not be construed as depicting strict evolutionary relationships. Rather, they highlight relative levels of shared drift or admixture among populations. The decision to use Cusco as an outgroup, for instance, rests on the assumption that it reflects a unique ancestry component, but this may vary depending on historical gene flow events. Additionally, while these statistics can reveal pronounced patterns of allele sharing, identifying true signals of local adaptation or positive selection requires more specialized tests—such as examining haplotype structure or applying composite likelihood approaches—to verify any adaptive hypotheses suggested by our findings.</w:t>
      </w:r>
    </w:p>
    <w:p w14:paraId="098EA1AE" w14:textId="77777777" w:rsidR="00420BC8" w:rsidRPr="00AE5020" w:rsidRDefault="00420BC8" w:rsidP="00420BC8">
      <w:pPr>
        <w:jc w:val="both"/>
        <w:rPr>
          <w:lang w:val="en-US"/>
        </w:rPr>
      </w:pPr>
    </w:p>
    <w:p w14:paraId="3FDD50CD" w14:textId="77777777" w:rsidR="00420BC8" w:rsidRPr="00AE5020" w:rsidRDefault="00420BC8" w:rsidP="00420BC8">
      <w:pPr>
        <w:jc w:val="both"/>
        <w:rPr>
          <w:lang w:val="en-US"/>
        </w:rPr>
      </w:pPr>
      <w:r w:rsidRPr="00AE5020">
        <w:rPr>
          <w:lang w:val="en-US"/>
        </w:rPr>
        <w:t>Overall, combining D-statistics, jackknife-based variance estimations, and standardized SNP-level measures (Di) allowed us to examine both broad-scale admixture patterns among Peruvian populations and potential local genetic outliers within each population’s genome.</w:t>
      </w:r>
    </w:p>
    <w:p w14:paraId="287191FB" w14:textId="77777777" w:rsidR="00420BC8" w:rsidRPr="00AE5020" w:rsidRDefault="00420BC8" w:rsidP="00420BC8">
      <w:pPr>
        <w:jc w:val="both"/>
        <w:rPr>
          <w:lang w:val="en-US"/>
        </w:rPr>
      </w:pPr>
    </w:p>
    <w:p w14:paraId="27FA04EE" w14:textId="77777777" w:rsidR="00420BC8" w:rsidRPr="00AE5020" w:rsidRDefault="00420BC8" w:rsidP="00420BC8">
      <w:pPr>
        <w:pStyle w:val="Heading2"/>
        <w:rPr>
          <w:lang w:val="en-US"/>
        </w:rPr>
      </w:pPr>
      <w:r w:rsidRPr="00AE5020">
        <w:rPr>
          <w:lang w:val="en-US"/>
        </w:rPr>
        <w:t>Data Availability and Code Access</w:t>
      </w:r>
    </w:p>
    <w:p w14:paraId="3D9BE186" w14:textId="77777777" w:rsidR="00420BC8" w:rsidRPr="00AE5020" w:rsidRDefault="00420BC8" w:rsidP="00420BC8">
      <w:pPr>
        <w:jc w:val="both"/>
        <w:rPr>
          <w:lang w:val="en-US"/>
        </w:rPr>
      </w:pPr>
      <w:r w:rsidRPr="00AE5020">
        <w:rPr>
          <w:lang w:val="en-US"/>
        </w:rPr>
        <w:t>All genomic data generated from the Peruvian Genome Project (PGP) has been deposited in the European Genome-phenome Archive (EGA). The following datasets are accessible through the EGA:</w:t>
      </w:r>
    </w:p>
    <w:p w14:paraId="20279AF6" w14:textId="77777777" w:rsidR="00420BC8" w:rsidRPr="00AE5020" w:rsidRDefault="00420BC8" w:rsidP="00420BC8">
      <w:pPr>
        <w:numPr>
          <w:ilvl w:val="0"/>
          <w:numId w:val="8"/>
        </w:numPr>
        <w:jc w:val="both"/>
        <w:rPr>
          <w:lang w:val="en-US"/>
        </w:rPr>
      </w:pPr>
      <w:r w:rsidRPr="00AE5020">
        <w:rPr>
          <w:lang w:val="en-US"/>
        </w:rPr>
        <w:t>Whole genome sequences from 150 individuals (accession numbers: EGAD00010001958, EGAD00010001990).</w:t>
      </w:r>
    </w:p>
    <w:p w14:paraId="2A709B92" w14:textId="77777777" w:rsidR="00420BC8" w:rsidRPr="00AE5020" w:rsidRDefault="00420BC8" w:rsidP="00420BC8">
      <w:pPr>
        <w:numPr>
          <w:ilvl w:val="0"/>
          <w:numId w:val="8"/>
        </w:numPr>
        <w:jc w:val="both"/>
        <w:rPr>
          <w:lang w:val="en-US"/>
        </w:rPr>
      </w:pPr>
      <w:r w:rsidRPr="00AE5020">
        <w:rPr>
          <w:lang w:val="en-US"/>
        </w:rPr>
        <w:t>Genotypic data from 873 array-genotyped individuals (accession numbers: EGAD00010001991, EGAD00010001992).</w:t>
      </w:r>
    </w:p>
    <w:p w14:paraId="3D0CFF77" w14:textId="77777777" w:rsidR="00420BC8" w:rsidRPr="00AE5020" w:rsidRDefault="00420BC8" w:rsidP="00420BC8">
      <w:pPr>
        <w:jc w:val="both"/>
        <w:rPr>
          <w:lang w:val="en-US"/>
        </w:rPr>
      </w:pPr>
      <w:r w:rsidRPr="00AE5020">
        <w:rPr>
          <w:lang w:val="en-US"/>
        </w:rPr>
        <w:t>Access to these datasets will be provided upon request and approval of a Data Access Committee (DAC), following the Declaration of Helsinki and local regulations. Researchers requesting data will need to:</w:t>
      </w:r>
    </w:p>
    <w:p w14:paraId="36B14063" w14:textId="77777777" w:rsidR="00420BC8" w:rsidRPr="00AE5020" w:rsidRDefault="00420BC8" w:rsidP="00420BC8">
      <w:pPr>
        <w:numPr>
          <w:ilvl w:val="0"/>
          <w:numId w:val="9"/>
        </w:numPr>
        <w:jc w:val="both"/>
        <w:rPr>
          <w:lang w:val="en-US"/>
        </w:rPr>
      </w:pPr>
      <w:r w:rsidRPr="00AE5020">
        <w:rPr>
          <w:b/>
          <w:bCs/>
          <w:lang w:val="en-US"/>
        </w:rPr>
        <w:t>Submit a Data Access Request</w:t>
      </w:r>
      <w:r w:rsidRPr="00AE5020">
        <w:rPr>
          <w:lang w:val="en-US"/>
        </w:rPr>
        <w:t>: Interested parties must complete a Data Access Request form, detailing the purpose of the research and any plans for data usage, including intentions for data sharing and publication.</w:t>
      </w:r>
    </w:p>
    <w:p w14:paraId="48FFECBB" w14:textId="77777777" w:rsidR="00420BC8" w:rsidRPr="00AE5020" w:rsidRDefault="00420BC8" w:rsidP="00420BC8">
      <w:pPr>
        <w:numPr>
          <w:ilvl w:val="0"/>
          <w:numId w:val="9"/>
        </w:numPr>
        <w:jc w:val="both"/>
        <w:rPr>
          <w:lang w:val="en-US"/>
        </w:rPr>
      </w:pPr>
      <w:r w:rsidRPr="00AE5020">
        <w:rPr>
          <w:b/>
          <w:bCs/>
          <w:lang w:val="en-US"/>
        </w:rPr>
        <w:lastRenderedPageBreak/>
        <w:t>Adhere to Ethical Considerations</w:t>
      </w:r>
      <w:r w:rsidRPr="00AE5020">
        <w:rPr>
          <w:lang w:val="en-US"/>
        </w:rPr>
        <w:t>: In line with the informed consent provided by the indigenous communities, access will only be granted to research that maintains participant confidentiality and respects community-specific agreements.</w:t>
      </w:r>
    </w:p>
    <w:p w14:paraId="1D29A8D0" w14:textId="77777777" w:rsidR="00420BC8" w:rsidRPr="00AE5020" w:rsidRDefault="00420BC8" w:rsidP="00420BC8">
      <w:pPr>
        <w:numPr>
          <w:ilvl w:val="0"/>
          <w:numId w:val="9"/>
        </w:numPr>
        <w:jc w:val="both"/>
        <w:rPr>
          <w:lang w:val="en-US"/>
        </w:rPr>
      </w:pPr>
      <w:r w:rsidRPr="00AE5020">
        <w:rPr>
          <w:b/>
          <w:bCs/>
          <w:lang w:val="en-US"/>
        </w:rPr>
        <w:t>Data Usage Restrictions</w:t>
      </w:r>
      <w:r w:rsidRPr="00AE5020">
        <w:rPr>
          <w:lang w:val="en-US"/>
        </w:rPr>
        <w:t>: These data must be requested to answer the scientific objectives posed in the request form only. For any other changes of usage please submit a new application submission. Data must not be shared with any author or institution not explicitly mentioned and approved by the DAC.</w:t>
      </w:r>
    </w:p>
    <w:p w14:paraId="623DF619" w14:textId="77777777" w:rsidR="00420BC8" w:rsidRPr="00AE5020" w:rsidRDefault="00420BC8" w:rsidP="00420BC8">
      <w:pPr>
        <w:jc w:val="both"/>
        <w:rPr>
          <w:lang w:val="en-US"/>
        </w:rPr>
      </w:pPr>
      <w:r w:rsidRPr="00AE5020">
        <w:rPr>
          <w:lang w:val="en-US"/>
        </w:rPr>
        <w:t xml:space="preserve">All requests should be directed to the corresponding authors, and the DAC will review applications on a case-by-case basis to ensure alignment with the project’s mission of promoting equitable research while safeguarding participant rights. The datasets will be available under controlled access in accordance with the security protocols established by the EGA. </w:t>
      </w:r>
    </w:p>
    <w:p w14:paraId="7E17024F" w14:textId="77777777" w:rsidR="00420BC8" w:rsidRPr="00AE5020" w:rsidRDefault="00420BC8" w:rsidP="00420BC8">
      <w:pPr>
        <w:jc w:val="both"/>
        <w:rPr>
          <w:lang w:val="en-US"/>
        </w:rPr>
      </w:pPr>
    </w:p>
    <w:p w14:paraId="53C079BF" w14:textId="77777777" w:rsidR="00420BC8" w:rsidRPr="00AE5020" w:rsidRDefault="00420BC8" w:rsidP="00420BC8">
      <w:pPr>
        <w:jc w:val="both"/>
        <w:rPr>
          <w:lang w:val="en-US"/>
        </w:rPr>
      </w:pPr>
      <w:r w:rsidRPr="00AE5020">
        <w:rPr>
          <w:lang w:val="en-US"/>
        </w:rPr>
        <w:t xml:space="preserve">In accordance with ethical guidelines and local norms, we established a community‐led framework to govern if and how individual or group‐level findings are shared back with participants. We provided each participating community the option to receive aggregate summaries (e.g., frequency of certain high‐impact variants) and, where requested, </w:t>
      </w:r>
      <w:proofErr w:type="gramStart"/>
      <w:r w:rsidRPr="00AE5020">
        <w:rPr>
          <w:lang w:val="en-US"/>
        </w:rPr>
        <w:t>have the opportunity to</w:t>
      </w:r>
      <w:proofErr w:type="gramEnd"/>
      <w:r w:rsidRPr="00AE5020">
        <w:rPr>
          <w:lang w:val="en-US"/>
        </w:rPr>
        <w:t xml:space="preserve"> consult with local healthcare providers about individual results. Our protocol further stipulates that data sovereignty remains with each Indigenous community; any secondary analyses beyond the scope of this project require approval from both the institutional review board and community leaders. By respecting self‐determination in data use, we seek to avoid historical patterns of extractive research and ensure that community members retain a meaningful role in decision‐making around these genomic resources.</w:t>
      </w:r>
    </w:p>
    <w:p w14:paraId="1A0B878E" w14:textId="77777777" w:rsidR="00420BC8" w:rsidRPr="00AE5020" w:rsidRDefault="00420BC8" w:rsidP="00420BC8">
      <w:pPr>
        <w:jc w:val="both"/>
        <w:rPr>
          <w:lang w:val="en-US"/>
        </w:rPr>
      </w:pPr>
    </w:p>
    <w:p w14:paraId="3B38735D" w14:textId="5B0B1A77" w:rsidR="00420BC8" w:rsidRPr="00AE5020" w:rsidRDefault="00420BC8" w:rsidP="00420BC8">
      <w:pPr>
        <w:jc w:val="both"/>
        <w:rPr>
          <w:lang w:val="en-US"/>
        </w:rPr>
      </w:pPr>
      <w:r w:rsidRPr="00AE5020">
        <w:rPr>
          <w:lang w:val="en-US"/>
        </w:rPr>
        <w:t>We have also made our primary data processing pipelines publicly available on GitHub at https://github.com/manuelcorpas/15-PERU, which includes step‐by‐step scripts and configuration files that replicate our workflow end‐to‐end. We encourage other researchers to leverage these resources for transparent and reproducible analyses.</w:t>
      </w:r>
    </w:p>
    <w:p w14:paraId="00FD849D" w14:textId="52DEE96D" w:rsidR="00BD07B8" w:rsidRDefault="00BD07B8" w:rsidP="00965FA4">
      <w:pPr>
        <w:pStyle w:val="Heading1"/>
      </w:pPr>
      <w:r w:rsidRPr="00BD07B8">
        <w:t>References</w:t>
      </w:r>
    </w:p>
    <w:p w14:paraId="4730F687" w14:textId="77777777" w:rsidR="00965FA4" w:rsidRPr="00965FA4" w:rsidRDefault="00965FA4" w:rsidP="00965FA4"/>
    <w:p w14:paraId="56C2B933" w14:textId="77777777" w:rsidR="00C01C95" w:rsidRPr="00C01C95" w:rsidRDefault="00BD07B8" w:rsidP="00C01C95">
      <w:pPr>
        <w:pStyle w:val="Bibliography"/>
        <w:spacing w:line="240" w:lineRule="auto"/>
      </w:pPr>
      <w:r>
        <w:rPr>
          <w:lang w:val="en-US"/>
        </w:rPr>
        <w:fldChar w:fldCharType="begin"/>
      </w:r>
      <w:r>
        <w:rPr>
          <w:lang w:val="en-US"/>
        </w:rPr>
        <w:instrText xml:space="preserve"> ADDIN ZOTERO_BIBL {"uncited":[],"omitted":[],"custom":[]} CSL_BIBLIOGRAPHY </w:instrText>
      </w:r>
      <w:r>
        <w:rPr>
          <w:lang w:val="en-US"/>
        </w:rPr>
        <w:fldChar w:fldCharType="separate"/>
      </w:r>
      <w:r w:rsidR="00C01C95" w:rsidRPr="00C01C95">
        <w:t>1.</w:t>
      </w:r>
      <w:r w:rsidR="00C01C95" w:rsidRPr="00C01C95">
        <w:tab/>
        <w:t xml:space="preserve">Riedel, S. Edward Jenner and the history of smallpox and vaccination. </w:t>
      </w:r>
      <w:r w:rsidR="00C01C95" w:rsidRPr="00C01C95">
        <w:rPr>
          <w:i/>
          <w:iCs/>
        </w:rPr>
        <w:t>Proc (</w:t>
      </w:r>
      <w:proofErr w:type="spellStart"/>
      <w:r w:rsidR="00C01C95" w:rsidRPr="00C01C95">
        <w:rPr>
          <w:i/>
          <w:iCs/>
        </w:rPr>
        <w:t>Bayl</w:t>
      </w:r>
      <w:proofErr w:type="spellEnd"/>
      <w:r w:rsidR="00C01C95" w:rsidRPr="00C01C95">
        <w:rPr>
          <w:i/>
          <w:iCs/>
        </w:rPr>
        <w:t xml:space="preserve"> </w:t>
      </w:r>
      <w:proofErr w:type="spellStart"/>
      <w:r w:rsidR="00C01C95" w:rsidRPr="00C01C95">
        <w:rPr>
          <w:i/>
          <w:iCs/>
        </w:rPr>
        <w:t>Univ</w:t>
      </w:r>
      <w:proofErr w:type="spellEnd"/>
      <w:r w:rsidR="00C01C95" w:rsidRPr="00C01C95">
        <w:rPr>
          <w:i/>
          <w:iCs/>
        </w:rPr>
        <w:t xml:space="preserve"> Med Cent)</w:t>
      </w:r>
      <w:r w:rsidR="00C01C95" w:rsidRPr="00C01C95">
        <w:t xml:space="preserve"> </w:t>
      </w:r>
      <w:r w:rsidR="00C01C95" w:rsidRPr="00C01C95">
        <w:rPr>
          <w:b/>
          <w:bCs/>
        </w:rPr>
        <w:t>18</w:t>
      </w:r>
      <w:r w:rsidR="00C01C95" w:rsidRPr="00C01C95">
        <w:t>, 21–25 (2005).</w:t>
      </w:r>
    </w:p>
    <w:p w14:paraId="0747C67A" w14:textId="77777777" w:rsidR="00C01C95" w:rsidRPr="00C01C95" w:rsidRDefault="00C01C95" w:rsidP="00C01C95">
      <w:pPr>
        <w:pStyle w:val="Bibliography"/>
        <w:spacing w:line="240" w:lineRule="auto"/>
      </w:pPr>
      <w:r w:rsidRPr="00C01C95">
        <w:t>2.</w:t>
      </w:r>
      <w:r w:rsidRPr="00C01C95">
        <w:tab/>
        <w:t xml:space="preserve">Ehrenpreis, J. E. &amp; Ehrenpreis, E. D. A Historical Perspective of Healthcare Disparity and Infectious Disease in the Native American Population. </w:t>
      </w:r>
      <w:r w:rsidRPr="00C01C95">
        <w:rPr>
          <w:i/>
          <w:iCs/>
        </w:rPr>
        <w:t>Am J Med Sci</w:t>
      </w:r>
      <w:r w:rsidRPr="00C01C95">
        <w:t xml:space="preserve"> </w:t>
      </w:r>
      <w:r w:rsidRPr="00C01C95">
        <w:rPr>
          <w:b/>
          <w:bCs/>
        </w:rPr>
        <w:t>363</w:t>
      </w:r>
      <w:r w:rsidRPr="00C01C95">
        <w:t>, 288–294 (2022).</w:t>
      </w:r>
    </w:p>
    <w:p w14:paraId="6795EDD7" w14:textId="77777777" w:rsidR="00C01C95" w:rsidRPr="00C01C95" w:rsidRDefault="00C01C95" w:rsidP="00C01C95">
      <w:pPr>
        <w:pStyle w:val="Bibliography"/>
        <w:spacing w:line="240" w:lineRule="auto"/>
      </w:pPr>
      <w:r w:rsidRPr="00C01C95">
        <w:t>3.</w:t>
      </w:r>
      <w:r w:rsidRPr="00C01C95">
        <w:tab/>
        <w:t>The Impact of European Diseases on Native Americans | Encyclopedia.com. https://www.encyclopedia.com/science/encyclopedias-almanacs-transcripts-and-maps/impact-european-diseases-native-americans.</w:t>
      </w:r>
    </w:p>
    <w:p w14:paraId="7DD241CB" w14:textId="77777777" w:rsidR="00C01C95" w:rsidRPr="00C01C95" w:rsidRDefault="00C01C95" w:rsidP="00C01C95">
      <w:pPr>
        <w:pStyle w:val="Bibliography"/>
        <w:spacing w:line="240" w:lineRule="auto"/>
        <w:rPr>
          <w:lang w:val="pt-BR"/>
        </w:rPr>
      </w:pPr>
      <w:r w:rsidRPr="00C01C95">
        <w:t>4.</w:t>
      </w:r>
      <w:r w:rsidRPr="00C01C95">
        <w:tab/>
        <w:t xml:space="preserve">Harris, D. N. </w:t>
      </w:r>
      <w:r w:rsidRPr="00C01C95">
        <w:rPr>
          <w:i/>
          <w:iCs/>
        </w:rPr>
        <w:t>et al.</w:t>
      </w:r>
      <w:r w:rsidRPr="00C01C95">
        <w:t xml:space="preserve"> Evolutionary genomic dynamics of Peruvians before, during, and after the Inca Empire. </w:t>
      </w:r>
      <w:proofErr w:type="spellStart"/>
      <w:r w:rsidRPr="00C01C95">
        <w:rPr>
          <w:i/>
          <w:iCs/>
          <w:lang w:val="pt-BR"/>
        </w:rPr>
        <w:t>Proc</w:t>
      </w:r>
      <w:proofErr w:type="spellEnd"/>
      <w:r w:rsidRPr="00C01C95">
        <w:rPr>
          <w:i/>
          <w:iCs/>
          <w:lang w:val="pt-BR"/>
        </w:rPr>
        <w:t xml:space="preserve"> </w:t>
      </w:r>
      <w:proofErr w:type="spellStart"/>
      <w:r w:rsidRPr="00C01C95">
        <w:rPr>
          <w:i/>
          <w:iCs/>
          <w:lang w:val="pt-BR"/>
        </w:rPr>
        <w:t>Natl</w:t>
      </w:r>
      <w:proofErr w:type="spellEnd"/>
      <w:r w:rsidRPr="00C01C95">
        <w:rPr>
          <w:i/>
          <w:iCs/>
          <w:lang w:val="pt-BR"/>
        </w:rPr>
        <w:t xml:space="preserve"> Acad </w:t>
      </w:r>
      <w:proofErr w:type="spellStart"/>
      <w:r w:rsidRPr="00C01C95">
        <w:rPr>
          <w:i/>
          <w:iCs/>
          <w:lang w:val="pt-BR"/>
        </w:rPr>
        <w:t>Sci</w:t>
      </w:r>
      <w:proofErr w:type="spellEnd"/>
      <w:r w:rsidRPr="00C01C95">
        <w:rPr>
          <w:i/>
          <w:iCs/>
          <w:lang w:val="pt-BR"/>
        </w:rPr>
        <w:t xml:space="preserve"> U S A</w:t>
      </w:r>
      <w:r w:rsidRPr="00C01C95">
        <w:rPr>
          <w:lang w:val="pt-BR"/>
        </w:rPr>
        <w:t xml:space="preserve"> </w:t>
      </w:r>
      <w:r w:rsidRPr="00C01C95">
        <w:rPr>
          <w:b/>
          <w:bCs/>
          <w:lang w:val="pt-BR"/>
        </w:rPr>
        <w:t>115</w:t>
      </w:r>
      <w:r w:rsidRPr="00C01C95">
        <w:rPr>
          <w:lang w:val="pt-BR"/>
        </w:rPr>
        <w:t>, E6526–E6535 (2018).</w:t>
      </w:r>
    </w:p>
    <w:p w14:paraId="06331025" w14:textId="77777777" w:rsidR="00C01C95" w:rsidRPr="00C01C95" w:rsidRDefault="00C01C95" w:rsidP="00C01C95">
      <w:pPr>
        <w:pStyle w:val="Bibliography"/>
        <w:spacing w:line="240" w:lineRule="auto"/>
      </w:pPr>
      <w:r w:rsidRPr="00C01C95">
        <w:rPr>
          <w:lang w:val="pt-BR"/>
        </w:rPr>
        <w:t>5.</w:t>
      </w:r>
      <w:r w:rsidRPr="00C01C95">
        <w:rPr>
          <w:lang w:val="pt-BR"/>
        </w:rPr>
        <w:tab/>
        <w:t xml:space="preserve">Ochoa, D. Inca </w:t>
      </w:r>
      <w:proofErr w:type="spellStart"/>
      <w:r w:rsidRPr="00C01C95">
        <w:rPr>
          <w:lang w:val="pt-BR"/>
        </w:rPr>
        <w:t>Population</w:t>
      </w:r>
      <w:proofErr w:type="spellEnd"/>
      <w:r w:rsidRPr="00C01C95">
        <w:rPr>
          <w:lang w:val="pt-BR"/>
        </w:rPr>
        <w:t xml:space="preserve"> </w:t>
      </w:r>
      <w:proofErr w:type="spellStart"/>
      <w:r w:rsidRPr="00C01C95">
        <w:rPr>
          <w:lang w:val="pt-BR"/>
        </w:rPr>
        <w:t>Estimates</w:t>
      </w:r>
      <w:proofErr w:type="spellEnd"/>
      <w:r w:rsidRPr="00C01C95">
        <w:rPr>
          <w:lang w:val="pt-BR"/>
        </w:rPr>
        <w:t xml:space="preserve">. </w:t>
      </w:r>
      <w:r w:rsidRPr="00C01C95">
        <w:rPr>
          <w:i/>
          <w:iCs/>
        </w:rPr>
        <w:t>How to Peru</w:t>
      </w:r>
      <w:r w:rsidRPr="00C01C95">
        <w:t xml:space="preserve"> https://howtoperu.com/inca-population-estimates/ (2012).</w:t>
      </w:r>
    </w:p>
    <w:p w14:paraId="6FFF179B" w14:textId="77777777" w:rsidR="00C01C95" w:rsidRPr="00C01C95" w:rsidRDefault="00C01C95" w:rsidP="00C01C95">
      <w:pPr>
        <w:pStyle w:val="Bibliography"/>
        <w:spacing w:line="240" w:lineRule="auto"/>
      </w:pPr>
      <w:r w:rsidRPr="00C01C95">
        <w:t>6.</w:t>
      </w:r>
      <w:r w:rsidRPr="00C01C95">
        <w:tab/>
      </w:r>
      <w:proofErr w:type="spellStart"/>
      <w:r w:rsidRPr="00C01C95">
        <w:t>Skantharajah</w:t>
      </w:r>
      <w:proofErr w:type="spellEnd"/>
      <w:r w:rsidRPr="00C01C95">
        <w:t xml:space="preserve">, N. </w:t>
      </w:r>
      <w:r w:rsidRPr="00C01C95">
        <w:rPr>
          <w:i/>
          <w:iCs/>
        </w:rPr>
        <w:t>et al.</w:t>
      </w:r>
      <w:r w:rsidRPr="00C01C95">
        <w:t xml:space="preserve"> Equity, diversity, and inclusion at the Global Alliance for Genomics and Health. </w:t>
      </w:r>
      <w:r w:rsidRPr="00C01C95">
        <w:rPr>
          <w:i/>
          <w:iCs/>
        </w:rPr>
        <w:t>Cell Genomics</w:t>
      </w:r>
      <w:r w:rsidRPr="00C01C95">
        <w:t xml:space="preserve"> </w:t>
      </w:r>
      <w:r w:rsidRPr="00C01C95">
        <w:rPr>
          <w:b/>
          <w:bCs/>
        </w:rPr>
        <w:t>3</w:t>
      </w:r>
      <w:r w:rsidRPr="00C01C95">
        <w:t>, 100386 (2023).</w:t>
      </w:r>
    </w:p>
    <w:p w14:paraId="2839900B" w14:textId="77777777" w:rsidR="00C01C95" w:rsidRPr="00C01C95" w:rsidRDefault="00C01C95" w:rsidP="00C01C95">
      <w:pPr>
        <w:pStyle w:val="Bibliography"/>
        <w:spacing w:line="240" w:lineRule="auto"/>
      </w:pPr>
      <w:r w:rsidRPr="00C01C95">
        <w:t>7.</w:t>
      </w:r>
      <w:r w:rsidRPr="00C01C95">
        <w:tab/>
        <w:t xml:space="preserve">Corpas, M. </w:t>
      </w:r>
      <w:r w:rsidRPr="00C01C95">
        <w:rPr>
          <w:i/>
          <w:iCs/>
        </w:rPr>
        <w:t>et al.</w:t>
      </w:r>
      <w:r w:rsidRPr="00C01C95">
        <w:t xml:space="preserve"> Bridging genomics’ greatest challenge: The diversity gap. </w:t>
      </w:r>
      <w:r w:rsidRPr="00C01C95">
        <w:rPr>
          <w:i/>
          <w:iCs/>
        </w:rPr>
        <w:t>Cell genomics</w:t>
      </w:r>
      <w:r w:rsidRPr="00C01C95">
        <w:t xml:space="preserve"> </w:t>
      </w:r>
      <w:r w:rsidRPr="00C01C95">
        <w:rPr>
          <w:b/>
          <w:bCs/>
        </w:rPr>
        <w:t>5</w:t>
      </w:r>
      <w:r w:rsidRPr="00C01C95">
        <w:t>, (2025).</w:t>
      </w:r>
    </w:p>
    <w:p w14:paraId="4357BDB4" w14:textId="77777777" w:rsidR="00C01C95" w:rsidRPr="00C01C95" w:rsidRDefault="00C01C95" w:rsidP="00C01C95">
      <w:pPr>
        <w:pStyle w:val="Bibliography"/>
        <w:spacing w:line="240" w:lineRule="auto"/>
      </w:pPr>
      <w:r w:rsidRPr="00C01C95">
        <w:lastRenderedPageBreak/>
        <w:t>8.</w:t>
      </w:r>
      <w:r w:rsidRPr="00C01C95">
        <w:tab/>
        <w:t xml:space="preserve">Batai, K., Hooker, S. &amp; Kittles, R. A. Leveraging genetic ancestry to study health disparities. </w:t>
      </w:r>
      <w:r w:rsidRPr="00C01C95">
        <w:rPr>
          <w:i/>
          <w:iCs/>
        </w:rPr>
        <w:t xml:space="preserve">Am J Phys </w:t>
      </w:r>
      <w:proofErr w:type="spellStart"/>
      <w:r w:rsidRPr="00C01C95">
        <w:rPr>
          <w:i/>
          <w:iCs/>
        </w:rPr>
        <w:t>Anthropol</w:t>
      </w:r>
      <w:proofErr w:type="spellEnd"/>
      <w:r w:rsidRPr="00C01C95">
        <w:t xml:space="preserve"> </w:t>
      </w:r>
      <w:r w:rsidRPr="00C01C95">
        <w:rPr>
          <w:b/>
          <w:bCs/>
        </w:rPr>
        <w:t>175</w:t>
      </w:r>
      <w:r w:rsidRPr="00C01C95">
        <w:t>, 363–375 (2021).</w:t>
      </w:r>
    </w:p>
    <w:p w14:paraId="181575B7" w14:textId="77777777" w:rsidR="00C01C95" w:rsidRPr="00C01C95" w:rsidRDefault="00C01C95" w:rsidP="00C01C95">
      <w:pPr>
        <w:pStyle w:val="Bibliography"/>
        <w:spacing w:line="240" w:lineRule="auto"/>
        <w:rPr>
          <w:lang w:val="it-IT"/>
        </w:rPr>
      </w:pPr>
      <w:r w:rsidRPr="00C01C95">
        <w:t>9.</w:t>
      </w:r>
      <w:r w:rsidRPr="00C01C95">
        <w:tab/>
        <w:t xml:space="preserve">COVID-19 deaths per capita by country. </w:t>
      </w:r>
      <w:r w:rsidRPr="00C01C95">
        <w:rPr>
          <w:i/>
          <w:iCs/>
          <w:lang w:val="it-IT"/>
        </w:rPr>
        <w:t>Statista</w:t>
      </w:r>
      <w:r w:rsidRPr="00C01C95">
        <w:rPr>
          <w:lang w:val="it-IT"/>
        </w:rPr>
        <w:t xml:space="preserve"> https://www.statista.com/statistics/1104709/coronavirus-deaths-worldwide-per-million-inhabitants/.</w:t>
      </w:r>
    </w:p>
    <w:p w14:paraId="0A51A05C" w14:textId="77777777" w:rsidR="00C01C95" w:rsidRPr="00C01C95" w:rsidRDefault="00C01C95" w:rsidP="00C01C95">
      <w:pPr>
        <w:pStyle w:val="Bibliography"/>
        <w:spacing w:line="240" w:lineRule="auto"/>
      </w:pPr>
      <w:r w:rsidRPr="00C01C95">
        <w:t>10.</w:t>
      </w:r>
      <w:r w:rsidRPr="00C01C95">
        <w:tab/>
        <w:t>Li, H. Aligning sequence reads, clone sequences and assembly contigs with BWA-MEM. Preprint at https://doi.org/10.48550/arXiv.1303.3997 (2013).</w:t>
      </w:r>
    </w:p>
    <w:p w14:paraId="7881A9B5" w14:textId="77777777" w:rsidR="00C01C95" w:rsidRPr="00C01C95" w:rsidRDefault="00C01C95" w:rsidP="00C01C95">
      <w:pPr>
        <w:pStyle w:val="Bibliography"/>
        <w:spacing w:line="240" w:lineRule="auto"/>
      </w:pPr>
      <w:r w:rsidRPr="00C01C95">
        <w:t>11.</w:t>
      </w:r>
      <w:r w:rsidRPr="00C01C95">
        <w:tab/>
        <w:t>Picard Tools - By Broad Institute. https://broadinstitute.github.io/picard/.</w:t>
      </w:r>
    </w:p>
    <w:p w14:paraId="21587F1D" w14:textId="77777777" w:rsidR="00C01C95" w:rsidRPr="00C01C95" w:rsidRDefault="00C01C95" w:rsidP="00C01C95">
      <w:pPr>
        <w:pStyle w:val="Bibliography"/>
        <w:spacing w:line="240" w:lineRule="auto"/>
      </w:pPr>
      <w:r w:rsidRPr="00C01C95">
        <w:t>12.</w:t>
      </w:r>
      <w:r w:rsidRPr="00C01C95">
        <w:tab/>
      </w:r>
      <w:proofErr w:type="spellStart"/>
      <w:r w:rsidRPr="00C01C95">
        <w:t>DePristo</w:t>
      </w:r>
      <w:proofErr w:type="spellEnd"/>
      <w:r w:rsidRPr="00C01C95">
        <w:t xml:space="preserve">, M. A. </w:t>
      </w:r>
      <w:r w:rsidRPr="00C01C95">
        <w:rPr>
          <w:i/>
          <w:iCs/>
        </w:rPr>
        <w:t>et al.</w:t>
      </w:r>
      <w:r w:rsidRPr="00C01C95">
        <w:t xml:space="preserve"> A framework for variation discovery and genotyping using next-generation DNA sequencing data. </w:t>
      </w:r>
      <w:r w:rsidRPr="00C01C95">
        <w:rPr>
          <w:i/>
          <w:iCs/>
        </w:rPr>
        <w:t>Nat Genet</w:t>
      </w:r>
      <w:r w:rsidRPr="00C01C95">
        <w:t xml:space="preserve"> </w:t>
      </w:r>
      <w:r w:rsidRPr="00C01C95">
        <w:rPr>
          <w:b/>
          <w:bCs/>
        </w:rPr>
        <w:t>43</w:t>
      </w:r>
      <w:r w:rsidRPr="00C01C95">
        <w:t>, 491–498 (2011).</w:t>
      </w:r>
    </w:p>
    <w:p w14:paraId="5B1146D6" w14:textId="77777777" w:rsidR="00C01C95" w:rsidRPr="00C01C95" w:rsidRDefault="00C01C95" w:rsidP="00C01C95">
      <w:pPr>
        <w:pStyle w:val="Bibliography"/>
        <w:spacing w:line="240" w:lineRule="auto"/>
      </w:pPr>
      <w:r w:rsidRPr="00C01C95">
        <w:t>13.</w:t>
      </w:r>
      <w:r w:rsidRPr="00C01C95">
        <w:tab/>
        <w:t xml:space="preserve">McLaren, W. </w:t>
      </w:r>
      <w:r w:rsidRPr="00C01C95">
        <w:rPr>
          <w:i/>
          <w:iCs/>
        </w:rPr>
        <w:t>et al.</w:t>
      </w:r>
      <w:r w:rsidRPr="00C01C95">
        <w:t xml:space="preserve"> The </w:t>
      </w:r>
      <w:proofErr w:type="spellStart"/>
      <w:r w:rsidRPr="00C01C95">
        <w:t>Ensembl</w:t>
      </w:r>
      <w:proofErr w:type="spellEnd"/>
      <w:r w:rsidRPr="00C01C95">
        <w:t xml:space="preserve"> Variant Effect Predictor. </w:t>
      </w:r>
      <w:r w:rsidRPr="00C01C95">
        <w:rPr>
          <w:i/>
          <w:iCs/>
        </w:rPr>
        <w:t>Genome Biology</w:t>
      </w:r>
      <w:r w:rsidRPr="00C01C95">
        <w:t xml:space="preserve"> </w:t>
      </w:r>
      <w:r w:rsidRPr="00C01C95">
        <w:rPr>
          <w:b/>
          <w:bCs/>
        </w:rPr>
        <w:t>17</w:t>
      </w:r>
      <w:r w:rsidRPr="00C01C95">
        <w:t>, 122 (2016).</w:t>
      </w:r>
    </w:p>
    <w:p w14:paraId="40D76EA3" w14:textId="77777777" w:rsidR="00C01C95" w:rsidRPr="00C01C95" w:rsidRDefault="00C01C95" w:rsidP="00C01C95">
      <w:pPr>
        <w:pStyle w:val="Bibliography"/>
        <w:spacing w:line="240" w:lineRule="auto"/>
      </w:pPr>
      <w:r w:rsidRPr="00C01C95">
        <w:t>14.</w:t>
      </w:r>
      <w:r w:rsidRPr="00C01C95">
        <w:tab/>
        <w:t xml:space="preserve">Landrum, M. J. </w:t>
      </w:r>
      <w:r w:rsidRPr="00C01C95">
        <w:rPr>
          <w:i/>
          <w:iCs/>
        </w:rPr>
        <w:t>et al.</w:t>
      </w:r>
      <w:r w:rsidRPr="00C01C95">
        <w:t xml:space="preserve"> </w:t>
      </w:r>
      <w:proofErr w:type="spellStart"/>
      <w:r w:rsidRPr="00C01C95">
        <w:t>ClinVar</w:t>
      </w:r>
      <w:proofErr w:type="spellEnd"/>
      <w:r w:rsidRPr="00C01C95">
        <w:t xml:space="preserve">: improvements to accessing data. </w:t>
      </w:r>
      <w:r w:rsidRPr="00C01C95">
        <w:rPr>
          <w:i/>
          <w:iCs/>
        </w:rPr>
        <w:t>Nucleic Acids Research</w:t>
      </w:r>
      <w:r w:rsidRPr="00C01C95">
        <w:t xml:space="preserve"> </w:t>
      </w:r>
      <w:r w:rsidRPr="00C01C95">
        <w:rPr>
          <w:b/>
          <w:bCs/>
        </w:rPr>
        <w:t>48</w:t>
      </w:r>
      <w:r w:rsidRPr="00C01C95">
        <w:t>, D835–D844 (2020).</w:t>
      </w:r>
    </w:p>
    <w:p w14:paraId="23BC3676" w14:textId="77777777" w:rsidR="00C01C95" w:rsidRPr="00C01C95" w:rsidRDefault="00C01C95" w:rsidP="00C01C95">
      <w:pPr>
        <w:pStyle w:val="Bibliography"/>
        <w:spacing w:line="240" w:lineRule="auto"/>
      </w:pPr>
      <w:r w:rsidRPr="00C01C95">
        <w:t>15.</w:t>
      </w:r>
      <w:r w:rsidRPr="00C01C95">
        <w:tab/>
        <w:t xml:space="preserve">Frankish, A. </w:t>
      </w:r>
      <w:r w:rsidRPr="00C01C95">
        <w:rPr>
          <w:i/>
          <w:iCs/>
        </w:rPr>
        <w:t>et al.</w:t>
      </w:r>
      <w:r w:rsidRPr="00C01C95">
        <w:t xml:space="preserve"> GENCODE reference annotation for the human and mouse genomes. </w:t>
      </w:r>
      <w:r w:rsidRPr="00C01C95">
        <w:rPr>
          <w:i/>
          <w:iCs/>
        </w:rPr>
        <w:t>Nucleic Acids Research</w:t>
      </w:r>
      <w:r w:rsidRPr="00C01C95">
        <w:t xml:space="preserve"> </w:t>
      </w:r>
      <w:r w:rsidRPr="00C01C95">
        <w:rPr>
          <w:b/>
          <w:bCs/>
        </w:rPr>
        <w:t>47</w:t>
      </w:r>
      <w:r w:rsidRPr="00C01C95">
        <w:t>, D766–D773 (2019).</w:t>
      </w:r>
    </w:p>
    <w:p w14:paraId="06821F24" w14:textId="77777777" w:rsidR="00C01C95" w:rsidRPr="00C01C95" w:rsidRDefault="00C01C95" w:rsidP="00C01C95">
      <w:pPr>
        <w:pStyle w:val="Bibliography"/>
        <w:spacing w:line="240" w:lineRule="auto"/>
      </w:pPr>
      <w:r w:rsidRPr="00C01C95">
        <w:t>16.</w:t>
      </w:r>
      <w:r w:rsidRPr="00C01C95">
        <w:tab/>
      </w:r>
      <w:proofErr w:type="spellStart"/>
      <w:r w:rsidRPr="00C01C95">
        <w:t>Rentzsch</w:t>
      </w:r>
      <w:proofErr w:type="spellEnd"/>
      <w:r w:rsidRPr="00C01C95">
        <w:t xml:space="preserve">, P., Witten, D., Cooper, G. M., </w:t>
      </w:r>
      <w:proofErr w:type="spellStart"/>
      <w:r w:rsidRPr="00C01C95">
        <w:t>Shendure</w:t>
      </w:r>
      <w:proofErr w:type="spellEnd"/>
      <w:r w:rsidRPr="00C01C95">
        <w:t xml:space="preserve">, J. &amp; Kircher, M. CADD: predicting the deleteriousness of variants throughout the human genome. </w:t>
      </w:r>
      <w:r w:rsidRPr="00C01C95">
        <w:rPr>
          <w:i/>
          <w:iCs/>
        </w:rPr>
        <w:t>Nucleic Acids Research</w:t>
      </w:r>
      <w:r w:rsidRPr="00C01C95">
        <w:t xml:space="preserve"> </w:t>
      </w:r>
      <w:r w:rsidRPr="00C01C95">
        <w:rPr>
          <w:b/>
          <w:bCs/>
        </w:rPr>
        <w:t>47</w:t>
      </w:r>
      <w:r w:rsidRPr="00C01C95">
        <w:t>, D886–D894 (2019).</w:t>
      </w:r>
    </w:p>
    <w:p w14:paraId="48F16C7D" w14:textId="77777777" w:rsidR="00C01C95" w:rsidRPr="00C01C95" w:rsidRDefault="00C01C95" w:rsidP="00C01C95">
      <w:pPr>
        <w:pStyle w:val="Bibliography"/>
        <w:spacing w:line="240" w:lineRule="auto"/>
      </w:pPr>
      <w:r w:rsidRPr="00C01C95">
        <w:t>17.</w:t>
      </w:r>
      <w:r w:rsidRPr="00C01C95">
        <w:tab/>
        <w:t>USP29 ubiquitin specific peptidase 29 [Homo sapiens (human)] - Gene - NCBI. https://www.ncbi.nlm.nih.gov/gene/57663.</w:t>
      </w:r>
    </w:p>
    <w:p w14:paraId="70DBCB07" w14:textId="77777777" w:rsidR="00C01C95" w:rsidRPr="00C01C95" w:rsidRDefault="00C01C95" w:rsidP="00C01C95">
      <w:pPr>
        <w:pStyle w:val="Bibliography"/>
        <w:spacing w:line="240" w:lineRule="auto"/>
      </w:pPr>
      <w:r w:rsidRPr="00C01C95">
        <w:t>18.</w:t>
      </w:r>
      <w:r w:rsidRPr="00C01C95">
        <w:tab/>
        <w:t xml:space="preserve">Gao, W. </w:t>
      </w:r>
      <w:r w:rsidRPr="00C01C95">
        <w:rPr>
          <w:i/>
          <w:iCs/>
        </w:rPr>
        <w:t>et al.</w:t>
      </w:r>
      <w:r w:rsidRPr="00C01C95">
        <w:t xml:space="preserve"> The </w:t>
      </w:r>
      <w:proofErr w:type="spellStart"/>
      <w:r w:rsidRPr="00C01C95">
        <w:t>Deubiquitinase</w:t>
      </w:r>
      <w:proofErr w:type="spellEnd"/>
      <w:r w:rsidRPr="00C01C95">
        <w:t xml:space="preserve"> USP29 Promotes SARS-CoV-2 Virulence by Preventing Proteasome Degradation of ORF9b. </w:t>
      </w:r>
      <w:r w:rsidRPr="00C01C95">
        <w:rPr>
          <w:i/>
          <w:iCs/>
        </w:rPr>
        <w:t>mBio</w:t>
      </w:r>
      <w:r w:rsidRPr="00C01C95">
        <w:t xml:space="preserve"> </w:t>
      </w:r>
      <w:r w:rsidRPr="00C01C95">
        <w:rPr>
          <w:b/>
          <w:bCs/>
        </w:rPr>
        <w:t>13</w:t>
      </w:r>
      <w:r w:rsidRPr="00C01C95">
        <w:t>, e0130022 (2022).</w:t>
      </w:r>
    </w:p>
    <w:p w14:paraId="3B08C0A8" w14:textId="77777777" w:rsidR="00C01C95" w:rsidRPr="00C01C95" w:rsidRDefault="00C01C95" w:rsidP="00C01C95">
      <w:pPr>
        <w:pStyle w:val="Bibliography"/>
        <w:spacing w:line="240" w:lineRule="auto"/>
        <w:rPr>
          <w:lang w:val="it-IT"/>
        </w:rPr>
      </w:pPr>
      <w:r w:rsidRPr="00C01C95">
        <w:t>19.</w:t>
      </w:r>
      <w:r w:rsidRPr="00C01C95">
        <w:tab/>
        <w:t xml:space="preserve">COVID-19 deaths per capita by country. </w:t>
      </w:r>
      <w:r w:rsidRPr="00C01C95">
        <w:rPr>
          <w:i/>
          <w:iCs/>
          <w:lang w:val="it-IT"/>
        </w:rPr>
        <w:t>Statista</w:t>
      </w:r>
      <w:r w:rsidRPr="00C01C95">
        <w:rPr>
          <w:lang w:val="it-IT"/>
        </w:rPr>
        <w:t xml:space="preserve"> https://www.statista.com/statistics/1104709/coronavirus-deaths-worldwide-per-million-inhabitants/.</w:t>
      </w:r>
    </w:p>
    <w:p w14:paraId="59D3C346" w14:textId="77777777" w:rsidR="00C01C95" w:rsidRPr="00C01C95" w:rsidRDefault="00C01C95" w:rsidP="00C01C95">
      <w:pPr>
        <w:pStyle w:val="Bibliography"/>
        <w:spacing w:line="240" w:lineRule="auto"/>
      </w:pPr>
      <w:r w:rsidRPr="00C01C95">
        <w:t>20.</w:t>
      </w:r>
      <w:r w:rsidRPr="00C01C95">
        <w:tab/>
        <w:t xml:space="preserve">Salazar, G. </w:t>
      </w:r>
      <w:r w:rsidRPr="00C01C95">
        <w:rPr>
          <w:i/>
          <w:iCs/>
        </w:rPr>
        <w:t>et al.</w:t>
      </w:r>
      <w:r w:rsidRPr="00C01C95">
        <w:t xml:space="preserve"> Gene expression profiling reveals novel protective effects of </w:t>
      </w:r>
      <w:proofErr w:type="spellStart"/>
      <w:r w:rsidRPr="00C01C95">
        <w:t>Aminaphtone</w:t>
      </w:r>
      <w:proofErr w:type="spellEnd"/>
      <w:r w:rsidRPr="00C01C95">
        <w:t xml:space="preserve"> on ECV304 endothelial cells. </w:t>
      </w:r>
      <w:r w:rsidRPr="00C01C95">
        <w:rPr>
          <w:i/>
          <w:iCs/>
        </w:rPr>
        <w:t>European Journal of Pharmacology</w:t>
      </w:r>
      <w:r w:rsidRPr="00C01C95">
        <w:t xml:space="preserve"> </w:t>
      </w:r>
      <w:r w:rsidRPr="00C01C95">
        <w:rPr>
          <w:b/>
          <w:bCs/>
        </w:rPr>
        <w:t>782</w:t>
      </w:r>
      <w:r w:rsidRPr="00C01C95">
        <w:t>, 59–69 (2016).</w:t>
      </w:r>
    </w:p>
    <w:p w14:paraId="2BF730E5" w14:textId="77777777" w:rsidR="00C01C95" w:rsidRPr="00C01C95" w:rsidRDefault="00C01C95" w:rsidP="00C01C95">
      <w:pPr>
        <w:pStyle w:val="Bibliography"/>
        <w:spacing w:line="240" w:lineRule="auto"/>
      </w:pPr>
      <w:r w:rsidRPr="00C01C95">
        <w:t>21.</w:t>
      </w:r>
      <w:r w:rsidRPr="00C01C95">
        <w:tab/>
        <w:t xml:space="preserve">Jacobs, S. R. &amp; Damania, B. NLRs, inflammasomes, and viral infection. </w:t>
      </w:r>
      <w:r w:rsidRPr="00C01C95">
        <w:rPr>
          <w:i/>
          <w:iCs/>
        </w:rPr>
        <w:t xml:space="preserve">J </w:t>
      </w:r>
      <w:proofErr w:type="spellStart"/>
      <w:r w:rsidRPr="00C01C95">
        <w:rPr>
          <w:i/>
          <w:iCs/>
        </w:rPr>
        <w:t>Leukoc</w:t>
      </w:r>
      <w:proofErr w:type="spellEnd"/>
      <w:r w:rsidRPr="00C01C95">
        <w:rPr>
          <w:i/>
          <w:iCs/>
        </w:rPr>
        <w:t xml:space="preserve"> Biol</w:t>
      </w:r>
      <w:r w:rsidRPr="00C01C95">
        <w:t xml:space="preserve"> </w:t>
      </w:r>
      <w:r w:rsidRPr="00C01C95">
        <w:rPr>
          <w:b/>
          <w:bCs/>
        </w:rPr>
        <w:t>92</w:t>
      </w:r>
      <w:r w:rsidRPr="00C01C95">
        <w:t>, 469–477 (2012).</w:t>
      </w:r>
    </w:p>
    <w:p w14:paraId="451B7A36" w14:textId="77777777" w:rsidR="00C01C95" w:rsidRPr="00C01C95" w:rsidRDefault="00C01C95" w:rsidP="00C01C95">
      <w:pPr>
        <w:pStyle w:val="Bibliography"/>
        <w:spacing w:line="240" w:lineRule="auto"/>
      </w:pPr>
      <w:r w:rsidRPr="00C01C95">
        <w:t>22.</w:t>
      </w:r>
      <w:r w:rsidRPr="00C01C95">
        <w:tab/>
        <w:t xml:space="preserve">Zhu, W. </w:t>
      </w:r>
      <w:r w:rsidRPr="00C01C95">
        <w:rPr>
          <w:i/>
          <w:iCs/>
        </w:rPr>
        <w:t>et al.</w:t>
      </w:r>
      <w:r w:rsidRPr="00C01C95">
        <w:t xml:space="preserve"> A pan-cancer analysis of the oncogenic role of zinc finger protein 419 in human cancer. </w:t>
      </w:r>
      <w:r w:rsidRPr="00C01C95">
        <w:rPr>
          <w:i/>
          <w:iCs/>
        </w:rPr>
        <w:t>Front Oncol</w:t>
      </w:r>
      <w:r w:rsidRPr="00C01C95">
        <w:t xml:space="preserve"> </w:t>
      </w:r>
      <w:r w:rsidRPr="00C01C95">
        <w:rPr>
          <w:b/>
          <w:bCs/>
        </w:rPr>
        <w:t>12</w:t>
      </w:r>
      <w:r w:rsidRPr="00C01C95">
        <w:t>, 1042118 (2022).</w:t>
      </w:r>
    </w:p>
    <w:p w14:paraId="4A2C4C39" w14:textId="77777777" w:rsidR="00C01C95" w:rsidRPr="00C01C95" w:rsidRDefault="00C01C95" w:rsidP="00C01C95">
      <w:pPr>
        <w:pStyle w:val="Bibliography"/>
        <w:spacing w:line="240" w:lineRule="auto"/>
      </w:pPr>
      <w:r w:rsidRPr="00C01C95">
        <w:t>23.</w:t>
      </w:r>
      <w:r w:rsidRPr="00C01C95">
        <w:tab/>
      </w:r>
      <w:proofErr w:type="spellStart"/>
      <w:r w:rsidRPr="00C01C95">
        <w:t>Orecchioni</w:t>
      </w:r>
      <w:proofErr w:type="spellEnd"/>
      <w:r w:rsidRPr="00C01C95">
        <w:t xml:space="preserve">, M., Matsunami, H. &amp; Ley, K. Olfactory receptors in macrophages and inflammation. </w:t>
      </w:r>
      <w:r w:rsidRPr="00C01C95">
        <w:rPr>
          <w:i/>
          <w:iCs/>
        </w:rPr>
        <w:t>Front Immunol</w:t>
      </w:r>
      <w:r w:rsidRPr="00C01C95">
        <w:t xml:space="preserve"> </w:t>
      </w:r>
      <w:r w:rsidRPr="00C01C95">
        <w:rPr>
          <w:b/>
          <w:bCs/>
        </w:rPr>
        <w:t>13</w:t>
      </w:r>
      <w:r w:rsidRPr="00C01C95">
        <w:t>, 1029244 (2022).</w:t>
      </w:r>
    </w:p>
    <w:p w14:paraId="2075020C" w14:textId="77777777" w:rsidR="00C01C95" w:rsidRPr="00C01C95" w:rsidRDefault="00C01C95" w:rsidP="00C01C95">
      <w:pPr>
        <w:pStyle w:val="Bibliography"/>
        <w:spacing w:line="240" w:lineRule="auto"/>
      </w:pPr>
      <w:r w:rsidRPr="00C01C95">
        <w:t>24.</w:t>
      </w:r>
      <w:r w:rsidRPr="00C01C95">
        <w:tab/>
      </w:r>
      <w:proofErr w:type="spellStart"/>
      <w:r w:rsidRPr="00C01C95">
        <w:t>Bryche</w:t>
      </w:r>
      <w:proofErr w:type="spellEnd"/>
      <w:r w:rsidRPr="00C01C95">
        <w:t xml:space="preserve">, B., Baly, C. &amp; Meunier, N. Modulation of olfactory signal detection in the olfactory epithelium: focus on the internal and external environment, and the emerging role of the immune system. </w:t>
      </w:r>
      <w:r w:rsidRPr="00C01C95">
        <w:rPr>
          <w:i/>
          <w:iCs/>
        </w:rPr>
        <w:t>Cell Tissue Res</w:t>
      </w:r>
      <w:r w:rsidRPr="00C01C95">
        <w:t xml:space="preserve"> </w:t>
      </w:r>
      <w:r w:rsidRPr="00C01C95">
        <w:rPr>
          <w:b/>
          <w:bCs/>
        </w:rPr>
        <w:t>384</w:t>
      </w:r>
      <w:r w:rsidRPr="00C01C95">
        <w:t>, 589–605 (2021).</w:t>
      </w:r>
    </w:p>
    <w:p w14:paraId="43DC49F2" w14:textId="77777777" w:rsidR="00C01C95" w:rsidRPr="00C01C95" w:rsidRDefault="00C01C95" w:rsidP="00C01C95">
      <w:pPr>
        <w:pStyle w:val="Bibliography"/>
        <w:spacing w:line="240" w:lineRule="auto"/>
      </w:pPr>
      <w:r w:rsidRPr="00C01C95">
        <w:t>25.</w:t>
      </w:r>
      <w:r w:rsidRPr="00C01C95">
        <w:tab/>
        <w:t>Olfactory Receptors as an Emerging Chemical Sensing Scaffold | Biochemistry. https://pubs.acs.org/doi/10.1021/acs.biochem.2c00486.</w:t>
      </w:r>
    </w:p>
    <w:p w14:paraId="750D9C9B" w14:textId="77777777" w:rsidR="00C01C95" w:rsidRPr="00C01C95" w:rsidRDefault="00C01C95" w:rsidP="00C01C95">
      <w:pPr>
        <w:pStyle w:val="Bibliography"/>
        <w:spacing w:line="240" w:lineRule="auto"/>
      </w:pPr>
      <w:r w:rsidRPr="00C01C95">
        <w:t>26.</w:t>
      </w:r>
      <w:r w:rsidRPr="00C01C95">
        <w:tab/>
      </w:r>
      <w:proofErr w:type="spellStart"/>
      <w:r w:rsidRPr="00C01C95">
        <w:t>Erdogmus</w:t>
      </w:r>
      <w:proofErr w:type="spellEnd"/>
      <w:r w:rsidRPr="00C01C95">
        <w:t xml:space="preserve">, S. </w:t>
      </w:r>
      <w:r w:rsidRPr="00C01C95">
        <w:rPr>
          <w:i/>
          <w:iCs/>
        </w:rPr>
        <w:t>et al.</w:t>
      </w:r>
      <w:r w:rsidRPr="00C01C95">
        <w:t xml:space="preserve"> Cavβ1 regulates T cell expansion and apoptosis independently of voltage-gated Ca2+ channel function. </w:t>
      </w:r>
      <w:r w:rsidRPr="00C01C95">
        <w:rPr>
          <w:i/>
          <w:iCs/>
        </w:rPr>
        <w:t>Nat Commun</w:t>
      </w:r>
      <w:r w:rsidRPr="00C01C95">
        <w:t xml:space="preserve"> </w:t>
      </w:r>
      <w:r w:rsidRPr="00C01C95">
        <w:rPr>
          <w:b/>
          <w:bCs/>
        </w:rPr>
        <w:t>13</w:t>
      </w:r>
      <w:r w:rsidRPr="00C01C95">
        <w:t>, 2033 (2022).</w:t>
      </w:r>
    </w:p>
    <w:p w14:paraId="263DE264" w14:textId="77777777" w:rsidR="00C01C95" w:rsidRPr="00C01C95" w:rsidRDefault="00C01C95" w:rsidP="00C01C95">
      <w:pPr>
        <w:pStyle w:val="Bibliography"/>
        <w:spacing w:line="240" w:lineRule="auto"/>
      </w:pPr>
      <w:r w:rsidRPr="00C01C95">
        <w:t>27.</w:t>
      </w:r>
      <w:r w:rsidRPr="00C01C95">
        <w:tab/>
        <w:t xml:space="preserve">Lee, M. J. </w:t>
      </w:r>
      <w:r w:rsidRPr="00C01C95">
        <w:rPr>
          <w:i/>
          <w:iCs/>
        </w:rPr>
        <w:t>et al.</w:t>
      </w:r>
      <w:r w:rsidRPr="00C01C95">
        <w:t xml:space="preserve"> UBE2N is essential for maintenance of skin homeostasis and suppression of inflammation. </w:t>
      </w:r>
      <w:proofErr w:type="spellStart"/>
      <w:r w:rsidRPr="00C01C95">
        <w:rPr>
          <w:i/>
          <w:iCs/>
        </w:rPr>
        <w:t>bioRxiv</w:t>
      </w:r>
      <w:proofErr w:type="spellEnd"/>
      <w:r w:rsidRPr="00C01C95">
        <w:t xml:space="preserve"> 2023.12.01.569631 (2023) doi:10.1101/2023.12.01.569631.</w:t>
      </w:r>
    </w:p>
    <w:p w14:paraId="2F22E860" w14:textId="77777777" w:rsidR="00C01C95" w:rsidRPr="00C01C95" w:rsidRDefault="00C01C95" w:rsidP="00C01C95">
      <w:pPr>
        <w:pStyle w:val="Bibliography"/>
        <w:spacing w:line="240" w:lineRule="auto"/>
      </w:pPr>
      <w:r w:rsidRPr="00C01C95">
        <w:rPr>
          <w:lang w:val="da-DK"/>
        </w:rPr>
        <w:t>28.</w:t>
      </w:r>
      <w:r w:rsidRPr="00C01C95">
        <w:rPr>
          <w:lang w:val="da-DK"/>
        </w:rPr>
        <w:tab/>
      </w:r>
      <w:proofErr w:type="spellStart"/>
      <w:r w:rsidRPr="00C01C95">
        <w:rPr>
          <w:lang w:val="da-DK"/>
        </w:rPr>
        <w:t>Arnaiz-Villena</w:t>
      </w:r>
      <w:proofErr w:type="spellEnd"/>
      <w:r w:rsidRPr="00C01C95">
        <w:rPr>
          <w:lang w:val="da-DK"/>
        </w:rPr>
        <w:t xml:space="preserve">, A. </w:t>
      </w:r>
      <w:r w:rsidRPr="00C01C95">
        <w:rPr>
          <w:i/>
          <w:iCs/>
          <w:lang w:val="da-DK"/>
        </w:rPr>
        <w:t>et al.</w:t>
      </w:r>
      <w:r w:rsidRPr="00C01C95">
        <w:rPr>
          <w:lang w:val="da-DK"/>
        </w:rPr>
        <w:t xml:space="preserve"> </w:t>
      </w:r>
      <w:r w:rsidRPr="00C01C95">
        <w:t xml:space="preserve">HLA genes in Uros from </w:t>
      </w:r>
      <w:proofErr w:type="spellStart"/>
      <w:r w:rsidRPr="00C01C95">
        <w:t>Titikaka</w:t>
      </w:r>
      <w:proofErr w:type="spellEnd"/>
      <w:r w:rsidRPr="00C01C95">
        <w:t xml:space="preserve"> Lake, Peru: origin and relationship with other Amerindians and worldwide populations. </w:t>
      </w:r>
      <w:r w:rsidRPr="00C01C95">
        <w:rPr>
          <w:i/>
          <w:iCs/>
        </w:rPr>
        <w:t xml:space="preserve">Int J </w:t>
      </w:r>
      <w:proofErr w:type="spellStart"/>
      <w:r w:rsidRPr="00C01C95">
        <w:rPr>
          <w:i/>
          <w:iCs/>
        </w:rPr>
        <w:t>Immunogenet</w:t>
      </w:r>
      <w:proofErr w:type="spellEnd"/>
      <w:r w:rsidRPr="00C01C95">
        <w:t xml:space="preserve"> </w:t>
      </w:r>
      <w:r w:rsidRPr="00C01C95">
        <w:rPr>
          <w:b/>
          <w:bCs/>
        </w:rPr>
        <w:t>36</w:t>
      </w:r>
      <w:r w:rsidRPr="00C01C95">
        <w:t>, 159–167 (2009).</w:t>
      </w:r>
    </w:p>
    <w:p w14:paraId="693980BE" w14:textId="77777777" w:rsidR="00C01C95" w:rsidRPr="00C01C95" w:rsidRDefault="00C01C95" w:rsidP="00C01C95">
      <w:pPr>
        <w:pStyle w:val="Bibliography"/>
        <w:spacing w:line="240" w:lineRule="auto"/>
      </w:pPr>
      <w:r w:rsidRPr="00C01C95">
        <w:lastRenderedPageBreak/>
        <w:t>29.</w:t>
      </w:r>
      <w:r w:rsidRPr="00C01C95">
        <w:tab/>
        <w:t xml:space="preserve">Hosokawa, N. </w:t>
      </w:r>
      <w:r w:rsidRPr="00C01C95">
        <w:rPr>
          <w:i/>
          <w:iCs/>
        </w:rPr>
        <w:t>et al.</w:t>
      </w:r>
      <w:r w:rsidRPr="00C01C95">
        <w:t xml:space="preserve"> Human XTP3-B forms an endoplasmic reticulum quality control scaffold with the HRD1-SEL1L ubiquitin ligase complex and </w:t>
      </w:r>
      <w:proofErr w:type="spellStart"/>
      <w:r w:rsidRPr="00C01C95">
        <w:t>BiP</w:t>
      </w:r>
      <w:proofErr w:type="spellEnd"/>
      <w:r w:rsidRPr="00C01C95">
        <w:t xml:space="preserve">. </w:t>
      </w:r>
      <w:r w:rsidRPr="00C01C95">
        <w:rPr>
          <w:i/>
          <w:iCs/>
        </w:rPr>
        <w:t>J Biol Chem</w:t>
      </w:r>
      <w:r w:rsidRPr="00C01C95">
        <w:t xml:space="preserve"> </w:t>
      </w:r>
      <w:r w:rsidRPr="00C01C95">
        <w:rPr>
          <w:b/>
          <w:bCs/>
        </w:rPr>
        <w:t>283</w:t>
      </w:r>
      <w:r w:rsidRPr="00C01C95">
        <w:t>, 20914–20924 (2008).</w:t>
      </w:r>
    </w:p>
    <w:p w14:paraId="5E0CD901" w14:textId="77777777" w:rsidR="00C01C95" w:rsidRPr="00C01C95" w:rsidRDefault="00C01C95" w:rsidP="00C01C95">
      <w:pPr>
        <w:pStyle w:val="Bibliography"/>
        <w:spacing w:line="240" w:lineRule="auto"/>
      </w:pPr>
      <w:r w:rsidRPr="00C01C95">
        <w:t>30.</w:t>
      </w:r>
      <w:r w:rsidRPr="00C01C95">
        <w:tab/>
        <w:t xml:space="preserve">Dean, L. &amp; Kane, M. Fluorouracil Therapy and DPYD Genotype. in </w:t>
      </w:r>
      <w:r w:rsidRPr="00C01C95">
        <w:rPr>
          <w:i/>
          <w:iCs/>
        </w:rPr>
        <w:t>Medical Genetics Summaries</w:t>
      </w:r>
      <w:r w:rsidRPr="00C01C95">
        <w:t xml:space="preserve"> (eds. Pratt, V. M. et al.) (National </w:t>
      </w:r>
      <w:proofErr w:type="spellStart"/>
      <w:r w:rsidRPr="00C01C95">
        <w:t>Center</w:t>
      </w:r>
      <w:proofErr w:type="spellEnd"/>
      <w:r w:rsidRPr="00C01C95">
        <w:t xml:space="preserve"> for Biotechnology Information (US), Bethesda (MD), 2012).</w:t>
      </w:r>
    </w:p>
    <w:p w14:paraId="2DEDEF5B" w14:textId="77777777" w:rsidR="00C01C95" w:rsidRPr="00C01C95" w:rsidRDefault="00C01C95" w:rsidP="00C01C95">
      <w:pPr>
        <w:pStyle w:val="Bibliography"/>
        <w:spacing w:line="240" w:lineRule="auto"/>
      </w:pPr>
      <w:r w:rsidRPr="00C01C95">
        <w:t>31.</w:t>
      </w:r>
      <w:r w:rsidRPr="00C01C95">
        <w:tab/>
        <w:t xml:space="preserve">Sim, E., </w:t>
      </w:r>
      <w:proofErr w:type="spellStart"/>
      <w:r w:rsidRPr="00C01C95">
        <w:t>Abuhammad</w:t>
      </w:r>
      <w:proofErr w:type="spellEnd"/>
      <w:r w:rsidRPr="00C01C95">
        <w:t xml:space="preserve">, A. &amp; Ryan, A. Arylamine N-acetyltransferases: from drug metabolism and pharmacogenetics to drug discovery. </w:t>
      </w:r>
      <w:r w:rsidRPr="00C01C95">
        <w:rPr>
          <w:i/>
          <w:iCs/>
        </w:rPr>
        <w:t xml:space="preserve">Br J </w:t>
      </w:r>
      <w:proofErr w:type="spellStart"/>
      <w:r w:rsidRPr="00C01C95">
        <w:rPr>
          <w:i/>
          <w:iCs/>
        </w:rPr>
        <w:t>Pharmacol</w:t>
      </w:r>
      <w:proofErr w:type="spellEnd"/>
      <w:r w:rsidRPr="00C01C95">
        <w:t xml:space="preserve"> </w:t>
      </w:r>
      <w:r w:rsidRPr="00C01C95">
        <w:rPr>
          <w:b/>
          <w:bCs/>
        </w:rPr>
        <w:t>171</w:t>
      </w:r>
      <w:r w:rsidRPr="00C01C95">
        <w:t>, 2705–2725 (2014).</w:t>
      </w:r>
    </w:p>
    <w:p w14:paraId="1C04306E" w14:textId="77777777" w:rsidR="00C01C95" w:rsidRPr="00C01C95" w:rsidRDefault="00C01C95" w:rsidP="00C01C95">
      <w:pPr>
        <w:pStyle w:val="Bibliography"/>
        <w:spacing w:line="240" w:lineRule="auto"/>
      </w:pPr>
      <w:r w:rsidRPr="00C01C95">
        <w:t>32.</w:t>
      </w:r>
      <w:r w:rsidRPr="00C01C95">
        <w:tab/>
        <w:t xml:space="preserve">Skinner, K. T., Palkar, A. M. &amp; Hong, A. L. Genetics of ABCB1 in Cancer. </w:t>
      </w:r>
      <w:r w:rsidRPr="00C01C95">
        <w:rPr>
          <w:i/>
          <w:iCs/>
        </w:rPr>
        <w:t>Cancers (Basel)</w:t>
      </w:r>
      <w:r w:rsidRPr="00C01C95">
        <w:t xml:space="preserve"> </w:t>
      </w:r>
      <w:r w:rsidRPr="00C01C95">
        <w:rPr>
          <w:b/>
          <w:bCs/>
        </w:rPr>
        <w:t>15</w:t>
      </w:r>
      <w:r w:rsidRPr="00C01C95">
        <w:t>, 4236 (2023).</w:t>
      </w:r>
    </w:p>
    <w:p w14:paraId="67C2B28B" w14:textId="77777777" w:rsidR="00C01C95" w:rsidRPr="00C01C95" w:rsidRDefault="00C01C95" w:rsidP="00C01C95">
      <w:pPr>
        <w:pStyle w:val="Bibliography"/>
        <w:spacing w:line="240" w:lineRule="auto"/>
      </w:pPr>
      <w:r w:rsidRPr="00C01C95">
        <w:t>33.</w:t>
      </w:r>
      <w:r w:rsidRPr="00C01C95">
        <w:tab/>
        <w:t xml:space="preserve">Dean, L. Azathioprine Therapy and TPMT and NUDT15 Genotype. in </w:t>
      </w:r>
      <w:r w:rsidRPr="00C01C95">
        <w:rPr>
          <w:i/>
          <w:iCs/>
        </w:rPr>
        <w:t>Medical Genetics Summaries</w:t>
      </w:r>
      <w:r w:rsidRPr="00C01C95">
        <w:t xml:space="preserve"> (eds. Pratt, V. M. et al.) (National </w:t>
      </w:r>
      <w:proofErr w:type="spellStart"/>
      <w:r w:rsidRPr="00C01C95">
        <w:t>Center</w:t>
      </w:r>
      <w:proofErr w:type="spellEnd"/>
      <w:r w:rsidRPr="00C01C95">
        <w:t xml:space="preserve"> for Biotechnology Information (US), Bethesda (MD), 2012).</w:t>
      </w:r>
    </w:p>
    <w:p w14:paraId="33485C62" w14:textId="77777777" w:rsidR="00C01C95" w:rsidRPr="00C01C95" w:rsidRDefault="00C01C95" w:rsidP="00C01C95">
      <w:pPr>
        <w:pStyle w:val="Bibliography"/>
        <w:spacing w:line="240" w:lineRule="auto"/>
      </w:pPr>
      <w:r w:rsidRPr="00C01C95">
        <w:t>34.</w:t>
      </w:r>
      <w:r w:rsidRPr="00C01C95">
        <w:tab/>
        <w:t xml:space="preserve">SEARCH Collaborative Group </w:t>
      </w:r>
      <w:r w:rsidRPr="00C01C95">
        <w:rPr>
          <w:i/>
          <w:iCs/>
        </w:rPr>
        <w:t>et al.</w:t>
      </w:r>
      <w:r w:rsidRPr="00C01C95">
        <w:t xml:space="preserve"> SLCO1B1 variants and statin-induced myopathy--a </w:t>
      </w:r>
      <w:proofErr w:type="spellStart"/>
      <w:r w:rsidRPr="00C01C95">
        <w:t>genomewide</w:t>
      </w:r>
      <w:proofErr w:type="spellEnd"/>
      <w:r w:rsidRPr="00C01C95">
        <w:t xml:space="preserve"> study. </w:t>
      </w:r>
      <w:r w:rsidRPr="00C01C95">
        <w:rPr>
          <w:i/>
          <w:iCs/>
        </w:rPr>
        <w:t>N Engl J Med</w:t>
      </w:r>
      <w:r w:rsidRPr="00C01C95">
        <w:t xml:space="preserve"> </w:t>
      </w:r>
      <w:r w:rsidRPr="00C01C95">
        <w:rPr>
          <w:b/>
          <w:bCs/>
        </w:rPr>
        <w:t>359</w:t>
      </w:r>
      <w:r w:rsidRPr="00C01C95">
        <w:t>, 789–799 (2008).</w:t>
      </w:r>
    </w:p>
    <w:p w14:paraId="7A0CE5ED" w14:textId="77777777" w:rsidR="00C01C95" w:rsidRPr="00C01C95" w:rsidRDefault="00C01C95" w:rsidP="00C01C95">
      <w:pPr>
        <w:pStyle w:val="Bibliography"/>
        <w:spacing w:line="240" w:lineRule="auto"/>
      </w:pPr>
      <w:r w:rsidRPr="00C01C95">
        <w:t>35.</w:t>
      </w:r>
      <w:r w:rsidRPr="00C01C95">
        <w:tab/>
        <w:t xml:space="preserve">Rosenberg, H., </w:t>
      </w:r>
      <w:proofErr w:type="spellStart"/>
      <w:r w:rsidRPr="00C01C95">
        <w:t>Sambuughin</w:t>
      </w:r>
      <w:proofErr w:type="spellEnd"/>
      <w:r w:rsidRPr="00C01C95">
        <w:t xml:space="preserve">, N., Riazi, S. &amp; Dirksen, R. Malignant Hyperthermia Susceptibility. in </w:t>
      </w:r>
      <w:proofErr w:type="spellStart"/>
      <w:r w:rsidRPr="00C01C95">
        <w:rPr>
          <w:i/>
          <w:iCs/>
        </w:rPr>
        <w:t>GeneReviews</w:t>
      </w:r>
      <w:proofErr w:type="spellEnd"/>
      <w:r w:rsidRPr="00C01C95">
        <w:rPr>
          <w:i/>
          <w:iCs/>
        </w:rPr>
        <w:t>®</w:t>
      </w:r>
      <w:r w:rsidRPr="00C01C95">
        <w:t xml:space="preserve"> (eds. Adam, M. P. et al.) (University of Washington, Seattle, Seattle (WA), 1993).</w:t>
      </w:r>
    </w:p>
    <w:p w14:paraId="5BDDBC7E" w14:textId="77777777" w:rsidR="00C01C95" w:rsidRPr="00C01C95" w:rsidRDefault="00C01C95" w:rsidP="00C01C95">
      <w:pPr>
        <w:pStyle w:val="Bibliography"/>
        <w:spacing w:line="240" w:lineRule="auto"/>
      </w:pPr>
      <w:r w:rsidRPr="00C01C95">
        <w:t>36.</w:t>
      </w:r>
      <w:r w:rsidRPr="00C01C95">
        <w:tab/>
      </w:r>
      <w:proofErr w:type="spellStart"/>
      <w:r w:rsidRPr="00C01C95">
        <w:t>Gaedigk</w:t>
      </w:r>
      <w:proofErr w:type="spellEnd"/>
      <w:r w:rsidRPr="00C01C95">
        <w:t xml:space="preserve">, A., </w:t>
      </w:r>
      <w:proofErr w:type="spellStart"/>
      <w:r w:rsidRPr="00C01C95">
        <w:t>Sangkuhl</w:t>
      </w:r>
      <w:proofErr w:type="spellEnd"/>
      <w:r w:rsidRPr="00C01C95">
        <w:t xml:space="preserve">, K., Whirl-Carrillo, M., Klein, T. &amp; Leeder, J. S. Prediction of CYP2D6 phenotype from genotype across world populations. </w:t>
      </w:r>
      <w:r w:rsidRPr="00C01C95">
        <w:rPr>
          <w:i/>
          <w:iCs/>
        </w:rPr>
        <w:t>Genetics in Medicine</w:t>
      </w:r>
      <w:r w:rsidRPr="00C01C95">
        <w:t xml:space="preserve"> </w:t>
      </w:r>
      <w:r w:rsidRPr="00C01C95">
        <w:rPr>
          <w:b/>
          <w:bCs/>
        </w:rPr>
        <w:t>19</w:t>
      </w:r>
      <w:r w:rsidRPr="00C01C95">
        <w:t>, 69–76 (2017).</w:t>
      </w:r>
    </w:p>
    <w:p w14:paraId="6495104D" w14:textId="77777777" w:rsidR="00C01C95" w:rsidRPr="00C01C95" w:rsidRDefault="00C01C95" w:rsidP="00C01C95">
      <w:pPr>
        <w:pStyle w:val="Bibliography"/>
        <w:spacing w:line="240" w:lineRule="auto"/>
      </w:pPr>
      <w:r w:rsidRPr="00C01C95">
        <w:t>37.</w:t>
      </w:r>
      <w:r w:rsidRPr="00C01C95">
        <w:tab/>
        <w:t xml:space="preserve">Gonzalez-Covarrubias, V. </w:t>
      </w:r>
      <w:r w:rsidRPr="00C01C95">
        <w:rPr>
          <w:i/>
          <w:iCs/>
        </w:rPr>
        <w:t>et al.</w:t>
      </w:r>
      <w:r w:rsidRPr="00C01C95">
        <w:t xml:space="preserve"> Variation in Actionable Pharmacogenetic Markers in Natives and Mestizos </w:t>
      </w:r>
      <w:proofErr w:type="gramStart"/>
      <w:r w:rsidRPr="00C01C95">
        <w:t>From</w:t>
      </w:r>
      <w:proofErr w:type="gramEnd"/>
      <w:r w:rsidRPr="00C01C95">
        <w:t xml:space="preserve"> Mexico. </w:t>
      </w:r>
      <w:r w:rsidRPr="00C01C95">
        <w:rPr>
          <w:i/>
          <w:iCs/>
        </w:rPr>
        <w:t xml:space="preserve">Front. </w:t>
      </w:r>
      <w:proofErr w:type="spellStart"/>
      <w:r w:rsidRPr="00C01C95">
        <w:rPr>
          <w:i/>
          <w:iCs/>
        </w:rPr>
        <w:t>Pharmacol</w:t>
      </w:r>
      <w:proofErr w:type="spellEnd"/>
      <w:r w:rsidRPr="00C01C95">
        <w:rPr>
          <w:i/>
          <w:iCs/>
        </w:rPr>
        <w:t>.</w:t>
      </w:r>
      <w:r w:rsidRPr="00C01C95">
        <w:t xml:space="preserve"> </w:t>
      </w:r>
      <w:r w:rsidRPr="00C01C95">
        <w:rPr>
          <w:b/>
          <w:bCs/>
        </w:rPr>
        <w:t>10</w:t>
      </w:r>
      <w:r w:rsidRPr="00C01C95">
        <w:t>, (2019).</w:t>
      </w:r>
    </w:p>
    <w:p w14:paraId="459F54B5" w14:textId="77777777" w:rsidR="00C01C95" w:rsidRPr="00C01C95" w:rsidRDefault="00C01C95" w:rsidP="00C01C95">
      <w:pPr>
        <w:pStyle w:val="Bibliography"/>
        <w:spacing w:line="240" w:lineRule="auto"/>
      </w:pPr>
      <w:r w:rsidRPr="00C01C95">
        <w:t>38.</w:t>
      </w:r>
      <w:r w:rsidRPr="00C01C95">
        <w:tab/>
        <w:t xml:space="preserve">(PDF) CYP2W1 Variant Alleles in Caucasians and Association of the CYP2W1 G541A (Ala181Thr) Polymorphism with Increased Colorectal Cancer Risk. </w:t>
      </w:r>
      <w:r w:rsidRPr="00C01C95">
        <w:rPr>
          <w:i/>
          <w:iCs/>
        </w:rPr>
        <w:t>ResearchGate</w:t>
      </w:r>
      <w:r w:rsidRPr="00C01C95">
        <w:t xml:space="preserve"> (2025) doi:10.2217/pgs.10.66.</w:t>
      </w:r>
    </w:p>
    <w:p w14:paraId="0C816B77" w14:textId="77777777" w:rsidR="00C01C95" w:rsidRPr="00C01C95" w:rsidRDefault="00C01C95" w:rsidP="00C01C95">
      <w:pPr>
        <w:pStyle w:val="Bibliography"/>
        <w:spacing w:line="240" w:lineRule="auto"/>
      </w:pPr>
      <w:r w:rsidRPr="00C01C95">
        <w:t>39.</w:t>
      </w:r>
      <w:r w:rsidRPr="00C01C95">
        <w:tab/>
        <w:t xml:space="preserve">Saitou, M., Satta, Y. &amp; </w:t>
      </w:r>
      <w:proofErr w:type="spellStart"/>
      <w:r w:rsidRPr="00C01C95">
        <w:t>Gokcumen</w:t>
      </w:r>
      <w:proofErr w:type="spellEnd"/>
      <w:r w:rsidRPr="00C01C95">
        <w:t xml:space="preserve">, O. Complex Haplotypes of GSTM1 Gene Deletions Harbor Signatures of a Selective Sweep in East Asian Populations. </w:t>
      </w:r>
      <w:r w:rsidRPr="00C01C95">
        <w:rPr>
          <w:i/>
          <w:iCs/>
        </w:rPr>
        <w:t>G3 (Bethesda)</w:t>
      </w:r>
      <w:r w:rsidRPr="00C01C95">
        <w:t xml:space="preserve"> </w:t>
      </w:r>
      <w:r w:rsidRPr="00C01C95">
        <w:rPr>
          <w:b/>
          <w:bCs/>
        </w:rPr>
        <w:t>8</w:t>
      </w:r>
      <w:r w:rsidRPr="00C01C95">
        <w:t>, 2953–2966 (2018).</w:t>
      </w:r>
    </w:p>
    <w:p w14:paraId="5C046130" w14:textId="77777777" w:rsidR="00C01C95" w:rsidRPr="00C01C95" w:rsidRDefault="00C01C95" w:rsidP="00C01C95">
      <w:pPr>
        <w:pStyle w:val="Bibliography"/>
        <w:spacing w:line="240" w:lineRule="auto"/>
      </w:pPr>
      <w:r w:rsidRPr="00C01C95">
        <w:t>40.</w:t>
      </w:r>
      <w:r w:rsidRPr="00C01C95">
        <w:tab/>
        <w:t xml:space="preserve">Hemlata </w:t>
      </w:r>
      <w:r w:rsidRPr="00C01C95">
        <w:rPr>
          <w:i/>
          <w:iCs/>
        </w:rPr>
        <w:t>et al.</w:t>
      </w:r>
      <w:r w:rsidRPr="00C01C95">
        <w:t xml:space="preserve"> Comparative frequency distribution of glutathione S-transferase mu (GSTM1) and theta (GSTT1) allelic forms in Himachal Pradesh population. </w:t>
      </w:r>
      <w:r w:rsidRPr="00C01C95">
        <w:rPr>
          <w:i/>
          <w:iCs/>
        </w:rPr>
        <w:t>Egyptian Journal of Medical Human Genetics</w:t>
      </w:r>
      <w:r w:rsidRPr="00C01C95">
        <w:t xml:space="preserve"> </w:t>
      </w:r>
      <w:r w:rsidRPr="00C01C95">
        <w:rPr>
          <w:b/>
          <w:bCs/>
        </w:rPr>
        <w:t>23</w:t>
      </w:r>
      <w:r w:rsidRPr="00C01C95">
        <w:t>, 86 (2022).</w:t>
      </w:r>
    </w:p>
    <w:p w14:paraId="2F1147AE" w14:textId="77777777" w:rsidR="00C01C95" w:rsidRPr="00C01C95" w:rsidRDefault="00C01C95" w:rsidP="00C01C95">
      <w:pPr>
        <w:pStyle w:val="Bibliography"/>
        <w:spacing w:line="240" w:lineRule="auto"/>
      </w:pPr>
      <w:r w:rsidRPr="00C01C95">
        <w:t>41.</w:t>
      </w:r>
      <w:r w:rsidRPr="00C01C95">
        <w:tab/>
        <w:t xml:space="preserve">Fernandez-Rhodes, L. </w:t>
      </w:r>
      <w:r w:rsidRPr="00C01C95">
        <w:rPr>
          <w:i/>
          <w:iCs/>
        </w:rPr>
        <w:t>et al.</w:t>
      </w:r>
      <w:r w:rsidRPr="00C01C95">
        <w:t xml:space="preserve"> Importance of Genetic Studies of Cardiometabolic Disease in Diverse Populations. </w:t>
      </w:r>
      <w:proofErr w:type="spellStart"/>
      <w:r w:rsidRPr="00C01C95">
        <w:rPr>
          <w:i/>
          <w:iCs/>
        </w:rPr>
        <w:t>Circ</w:t>
      </w:r>
      <w:proofErr w:type="spellEnd"/>
      <w:r w:rsidRPr="00C01C95">
        <w:rPr>
          <w:i/>
          <w:iCs/>
        </w:rPr>
        <w:t xml:space="preserve"> Res</w:t>
      </w:r>
      <w:r w:rsidRPr="00C01C95">
        <w:t xml:space="preserve"> </w:t>
      </w:r>
      <w:r w:rsidRPr="00C01C95">
        <w:rPr>
          <w:b/>
          <w:bCs/>
        </w:rPr>
        <w:t>126</w:t>
      </w:r>
      <w:r w:rsidRPr="00C01C95">
        <w:t>, 1816–1840 (2020).</w:t>
      </w:r>
    </w:p>
    <w:p w14:paraId="44F79E80" w14:textId="77777777" w:rsidR="00C01C95" w:rsidRPr="00C01C95" w:rsidRDefault="00C01C95" w:rsidP="00C01C95">
      <w:pPr>
        <w:pStyle w:val="Bibliography"/>
        <w:spacing w:line="240" w:lineRule="auto"/>
      </w:pPr>
      <w:r w:rsidRPr="00C01C95">
        <w:t>42.</w:t>
      </w:r>
      <w:r w:rsidRPr="00C01C95">
        <w:tab/>
        <w:t xml:space="preserve">Nguyen, A. B., Cavallari, L. H., Rossi, J. S., Stouffer, G. A. &amp; Lee, C. R. Evaluation of race and ethnicity disparities in outcome studies of CYP2C19 genotype-guided antiplatelet therapy. </w:t>
      </w:r>
      <w:r w:rsidRPr="00C01C95">
        <w:rPr>
          <w:i/>
          <w:iCs/>
        </w:rPr>
        <w:t>Front Cardiovasc Med</w:t>
      </w:r>
      <w:r w:rsidRPr="00C01C95">
        <w:t xml:space="preserve"> </w:t>
      </w:r>
      <w:r w:rsidRPr="00C01C95">
        <w:rPr>
          <w:b/>
          <w:bCs/>
        </w:rPr>
        <w:t>9</w:t>
      </w:r>
      <w:r w:rsidRPr="00C01C95">
        <w:t>, 991646 (2022).</w:t>
      </w:r>
    </w:p>
    <w:p w14:paraId="6A88687E" w14:textId="77777777" w:rsidR="00C01C95" w:rsidRPr="00C01C95" w:rsidRDefault="00C01C95" w:rsidP="00C01C95">
      <w:pPr>
        <w:pStyle w:val="Bibliography"/>
        <w:spacing w:line="240" w:lineRule="auto"/>
      </w:pPr>
      <w:r w:rsidRPr="00C01C95">
        <w:t>43.</w:t>
      </w:r>
      <w:r w:rsidRPr="00C01C95">
        <w:tab/>
        <w:t xml:space="preserve">Gutiérrez-Virgen, J. E. </w:t>
      </w:r>
      <w:r w:rsidRPr="00C01C95">
        <w:rPr>
          <w:i/>
          <w:iCs/>
        </w:rPr>
        <w:t>et al.</w:t>
      </w:r>
      <w:r w:rsidRPr="00C01C95">
        <w:t xml:space="preserve"> NAT2 global landscape: Genetic diversity and acetylation statuses from a systematic review. </w:t>
      </w:r>
      <w:r w:rsidRPr="00C01C95">
        <w:rPr>
          <w:i/>
          <w:iCs/>
        </w:rPr>
        <w:t>PLOS ONE</w:t>
      </w:r>
      <w:r w:rsidRPr="00C01C95">
        <w:t xml:space="preserve"> </w:t>
      </w:r>
      <w:r w:rsidRPr="00C01C95">
        <w:rPr>
          <w:b/>
          <w:bCs/>
        </w:rPr>
        <w:t>18</w:t>
      </w:r>
      <w:r w:rsidRPr="00C01C95">
        <w:t>, e0283726 (2023).</w:t>
      </w:r>
    </w:p>
    <w:p w14:paraId="0E1D9B5E" w14:textId="77777777" w:rsidR="00C01C95" w:rsidRPr="00C01C95" w:rsidRDefault="00C01C95" w:rsidP="00C01C95">
      <w:pPr>
        <w:pStyle w:val="Bibliography"/>
        <w:spacing w:line="240" w:lineRule="auto"/>
      </w:pPr>
      <w:r w:rsidRPr="00C01C95">
        <w:t>44.</w:t>
      </w:r>
      <w:r w:rsidRPr="00C01C95">
        <w:tab/>
        <w:t xml:space="preserve">(PDF) N-acetyltransferase 2: Slow, intermediate or fast? A booming question of the molecular epidemiology in cancer research. </w:t>
      </w:r>
      <w:r w:rsidRPr="00C01C95">
        <w:rPr>
          <w:i/>
          <w:iCs/>
        </w:rPr>
        <w:t>ResearchGate</w:t>
      </w:r>
      <w:r w:rsidRPr="00C01C95">
        <w:t xml:space="preserve"> (2024) doi:10.4236/ojgen.2012.24028.</w:t>
      </w:r>
    </w:p>
    <w:p w14:paraId="20DE26B7" w14:textId="77777777" w:rsidR="00C01C95" w:rsidRPr="00C01C95" w:rsidRDefault="00C01C95" w:rsidP="00C01C95">
      <w:pPr>
        <w:pStyle w:val="Bibliography"/>
        <w:spacing w:line="240" w:lineRule="auto"/>
      </w:pPr>
      <w:r w:rsidRPr="00C01C95">
        <w:t>45.</w:t>
      </w:r>
      <w:r w:rsidRPr="00C01C95">
        <w:tab/>
        <w:t xml:space="preserve">Pietro, G. D., Gadelha, S. R., Sousa, S. M. B., Melo, P. R. S. D. &amp; Santos, F. R. N-acetyltransferase 2: Slow, intermediate or fast? A booming question of the molecular epidemiology in cancer research. </w:t>
      </w:r>
      <w:proofErr w:type="spellStart"/>
      <w:r w:rsidRPr="00C01C95">
        <w:rPr>
          <w:i/>
          <w:iCs/>
        </w:rPr>
        <w:t>OJGen</w:t>
      </w:r>
      <w:proofErr w:type="spellEnd"/>
      <w:r w:rsidRPr="00C01C95">
        <w:t xml:space="preserve"> </w:t>
      </w:r>
      <w:r w:rsidRPr="00C01C95">
        <w:rPr>
          <w:b/>
          <w:bCs/>
        </w:rPr>
        <w:t>02</w:t>
      </w:r>
      <w:r w:rsidRPr="00C01C95">
        <w:t>, 221–235 (2012).</w:t>
      </w:r>
    </w:p>
    <w:p w14:paraId="057FEB7D" w14:textId="77777777" w:rsidR="00C01C95" w:rsidRPr="00C01C95" w:rsidRDefault="00C01C95" w:rsidP="00C01C95">
      <w:pPr>
        <w:pStyle w:val="Bibliography"/>
        <w:spacing w:line="240" w:lineRule="auto"/>
      </w:pPr>
      <w:r w:rsidRPr="00C01C95">
        <w:lastRenderedPageBreak/>
        <w:t>46.</w:t>
      </w:r>
      <w:r w:rsidRPr="00C01C95">
        <w:tab/>
        <w:t>Ivanov, A. &amp; Semenova, E. Gilbert’s Syndrome, Bilirubin Level and UGT1A1</w:t>
      </w:r>
      <w:r w:rsidRPr="00C01C95">
        <w:rPr>
          <w:rFonts w:ascii="Cambria Math" w:hAnsi="Cambria Math" w:cs="Cambria Math"/>
        </w:rPr>
        <w:t>∗</w:t>
      </w:r>
      <w:r w:rsidRPr="00C01C95">
        <w:t xml:space="preserve">28 Genotype in Men of North-West Region of Russia. </w:t>
      </w:r>
      <w:r w:rsidRPr="00C01C95">
        <w:rPr>
          <w:i/>
          <w:iCs/>
        </w:rPr>
        <w:t>J Clin Exp Hepatol</w:t>
      </w:r>
      <w:r w:rsidRPr="00C01C95">
        <w:t xml:space="preserve"> </w:t>
      </w:r>
      <w:r w:rsidRPr="00C01C95">
        <w:rPr>
          <w:b/>
          <w:bCs/>
        </w:rPr>
        <w:t>11</w:t>
      </w:r>
      <w:r w:rsidRPr="00C01C95">
        <w:t>, 691–699 (2021).</w:t>
      </w:r>
    </w:p>
    <w:p w14:paraId="1779C5F2" w14:textId="77777777" w:rsidR="00C01C95" w:rsidRPr="00C01C95" w:rsidRDefault="00C01C95" w:rsidP="00C01C95">
      <w:pPr>
        <w:pStyle w:val="Bibliography"/>
        <w:spacing w:line="240" w:lineRule="auto"/>
      </w:pPr>
      <w:r w:rsidRPr="00C01C95">
        <w:t>47.</w:t>
      </w:r>
      <w:r w:rsidRPr="00C01C95">
        <w:tab/>
        <w:t xml:space="preserve">Hulshof, E. C., </w:t>
      </w:r>
      <w:proofErr w:type="spellStart"/>
      <w:r w:rsidRPr="00C01C95">
        <w:t>Deenen</w:t>
      </w:r>
      <w:proofErr w:type="spellEnd"/>
      <w:r w:rsidRPr="00C01C95">
        <w:t xml:space="preserve">, M. J., </w:t>
      </w:r>
      <w:proofErr w:type="spellStart"/>
      <w:r w:rsidRPr="00C01C95">
        <w:t>Guchelaar</w:t>
      </w:r>
      <w:proofErr w:type="spellEnd"/>
      <w:r w:rsidRPr="00C01C95">
        <w:t xml:space="preserve">, H.-J. &amp; </w:t>
      </w:r>
      <w:proofErr w:type="spellStart"/>
      <w:r w:rsidRPr="00C01C95">
        <w:t>Gelderblom</w:t>
      </w:r>
      <w:proofErr w:type="spellEnd"/>
      <w:r w:rsidRPr="00C01C95">
        <w:t xml:space="preserve">, H. Pre-therapeutic </w:t>
      </w:r>
      <w:r w:rsidRPr="00C01C95">
        <w:rPr>
          <w:i/>
          <w:iCs/>
        </w:rPr>
        <w:t>UGT1A1</w:t>
      </w:r>
      <w:r w:rsidRPr="00C01C95">
        <w:t xml:space="preserve"> genotyping to reduce the risk of irinotecan-induced severe toxicity: Ready for prime time. </w:t>
      </w:r>
      <w:r w:rsidRPr="00C01C95">
        <w:rPr>
          <w:i/>
          <w:iCs/>
        </w:rPr>
        <w:t>European Journal of Cancer</w:t>
      </w:r>
      <w:r w:rsidRPr="00C01C95">
        <w:t xml:space="preserve"> </w:t>
      </w:r>
      <w:r w:rsidRPr="00C01C95">
        <w:rPr>
          <w:b/>
          <w:bCs/>
        </w:rPr>
        <w:t>141</w:t>
      </w:r>
      <w:r w:rsidRPr="00C01C95">
        <w:t>, 9–20 (2020).</w:t>
      </w:r>
    </w:p>
    <w:p w14:paraId="35AB9CD9" w14:textId="77777777" w:rsidR="00C01C95" w:rsidRPr="00C01C95" w:rsidRDefault="00C01C95" w:rsidP="00C01C95">
      <w:pPr>
        <w:pStyle w:val="Bibliography"/>
        <w:spacing w:line="240" w:lineRule="auto"/>
      </w:pPr>
      <w:r w:rsidRPr="00C01C95">
        <w:t>48.</w:t>
      </w:r>
      <w:r w:rsidRPr="00C01C95">
        <w:tab/>
        <w:t xml:space="preserve">Saeki, M. </w:t>
      </w:r>
      <w:r w:rsidRPr="00C01C95">
        <w:rPr>
          <w:i/>
          <w:iCs/>
        </w:rPr>
        <w:t>et al.</w:t>
      </w:r>
      <w:r w:rsidRPr="00C01C95">
        <w:t xml:space="preserve"> Genetic polymorphisms of UGT1A6 in a Japanese population. </w:t>
      </w:r>
      <w:r w:rsidRPr="00C01C95">
        <w:rPr>
          <w:i/>
          <w:iCs/>
        </w:rPr>
        <w:t xml:space="preserve">Drug </w:t>
      </w:r>
      <w:proofErr w:type="spellStart"/>
      <w:r w:rsidRPr="00C01C95">
        <w:rPr>
          <w:i/>
          <w:iCs/>
        </w:rPr>
        <w:t>Metab</w:t>
      </w:r>
      <w:proofErr w:type="spellEnd"/>
      <w:r w:rsidRPr="00C01C95">
        <w:rPr>
          <w:i/>
          <w:iCs/>
        </w:rPr>
        <w:t xml:space="preserve"> </w:t>
      </w:r>
      <w:proofErr w:type="spellStart"/>
      <w:r w:rsidRPr="00C01C95">
        <w:rPr>
          <w:i/>
          <w:iCs/>
        </w:rPr>
        <w:t>Pharmacokinet</w:t>
      </w:r>
      <w:proofErr w:type="spellEnd"/>
      <w:r w:rsidRPr="00C01C95">
        <w:t xml:space="preserve"> </w:t>
      </w:r>
      <w:r w:rsidRPr="00C01C95">
        <w:rPr>
          <w:b/>
          <w:bCs/>
        </w:rPr>
        <w:t>20</w:t>
      </w:r>
      <w:r w:rsidRPr="00C01C95">
        <w:t>, 85–90 (2005).</w:t>
      </w:r>
    </w:p>
    <w:p w14:paraId="13ACF2B2" w14:textId="77777777" w:rsidR="00C01C95" w:rsidRPr="00C01C95" w:rsidRDefault="00C01C95" w:rsidP="00C01C95">
      <w:pPr>
        <w:pStyle w:val="Bibliography"/>
        <w:spacing w:line="240" w:lineRule="auto"/>
      </w:pPr>
      <w:r w:rsidRPr="00C01C95">
        <w:t>49.</w:t>
      </w:r>
      <w:r w:rsidRPr="00C01C95">
        <w:tab/>
        <w:t xml:space="preserve">Zhang, D. </w:t>
      </w:r>
      <w:r w:rsidRPr="00C01C95">
        <w:rPr>
          <w:i/>
          <w:iCs/>
        </w:rPr>
        <w:t>et al.</w:t>
      </w:r>
      <w:r w:rsidRPr="00C01C95">
        <w:t xml:space="preserve"> Characterization of the UDP glucuronosyltransferase activity of human liver microsomes genotyped for the UGT1A1*28 polymorphism. </w:t>
      </w:r>
      <w:r w:rsidRPr="00C01C95">
        <w:rPr>
          <w:i/>
          <w:iCs/>
        </w:rPr>
        <w:t xml:space="preserve">Drug </w:t>
      </w:r>
      <w:proofErr w:type="spellStart"/>
      <w:r w:rsidRPr="00C01C95">
        <w:rPr>
          <w:i/>
          <w:iCs/>
        </w:rPr>
        <w:t>Metab</w:t>
      </w:r>
      <w:proofErr w:type="spellEnd"/>
      <w:r w:rsidRPr="00C01C95">
        <w:rPr>
          <w:i/>
          <w:iCs/>
        </w:rPr>
        <w:t xml:space="preserve"> </w:t>
      </w:r>
      <w:proofErr w:type="spellStart"/>
      <w:r w:rsidRPr="00C01C95">
        <w:rPr>
          <w:i/>
          <w:iCs/>
        </w:rPr>
        <w:t>Dispos</w:t>
      </w:r>
      <w:proofErr w:type="spellEnd"/>
      <w:r w:rsidRPr="00C01C95">
        <w:t xml:space="preserve"> </w:t>
      </w:r>
      <w:r w:rsidRPr="00C01C95">
        <w:rPr>
          <w:b/>
          <w:bCs/>
        </w:rPr>
        <w:t>35</w:t>
      </w:r>
      <w:r w:rsidRPr="00C01C95">
        <w:t>, 2270–2280 (2007).</w:t>
      </w:r>
    </w:p>
    <w:p w14:paraId="6CE7638A" w14:textId="77777777" w:rsidR="00C01C95" w:rsidRPr="00C01C95" w:rsidRDefault="00C01C95" w:rsidP="00C01C95">
      <w:pPr>
        <w:pStyle w:val="Bibliography"/>
        <w:spacing w:line="240" w:lineRule="auto"/>
      </w:pPr>
      <w:r w:rsidRPr="00C01C95">
        <w:rPr>
          <w:lang w:val="fr-FR"/>
        </w:rPr>
        <w:t>50.</w:t>
      </w:r>
      <w:r w:rsidRPr="00C01C95">
        <w:rPr>
          <w:lang w:val="fr-FR"/>
        </w:rPr>
        <w:tab/>
        <w:t xml:space="preserve">Gagné, J.-F. </w:t>
      </w:r>
      <w:r w:rsidRPr="00C01C95">
        <w:rPr>
          <w:i/>
          <w:iCs/>
          <w:lang w:val="fr-FR"/>
        </w:rPr>
        <w:t>et al.</w:t>
      </w:r>
      <w:r w:rsidRPr="00C01C95">
        <w:rPr>
          <w:lang w:val="fr-FR"/>
        </w:rPr>
        <w:t xml:space="preserve"> </w:t>
      </w:r>
      <w:r w:rsidRPr="00C01C95">
        <w:t xml:space="preserve">Common human UGT1A polymorphisms and the altered metabolism of irinotecan active metabolite 7-ethyl-10-hydroxycamptothecin (SN-38). </w:t>
      </w:r>
      <w:r w:rsidRPr="00C01C95">
        <w:rPr>
          <w:i/>
          <w:iCs/>
        </w:rPr>
        <w:t xml:space="preserve">Mol </w:t>
      </w:r>
      <w:proofErr w:type="spellStart"/>
      <w:r w:rsidRPr="00C01C95">
        <w:rPr>
          <w:i/>
          <w:iCs/>
        </w:rPr>
        <w:t>Pharmacol</w:t>
      </w:r>
      <w:proofErr w:type="spellEnd"/>
      <w:r w:rsidRPr="00C01C95">
        <w:t xml:space="preserve"> </w:t>
      </w:r>
      <w:r w:rsidRPr="00C01C95">
        <w:rPr>
          <w:b/>
          <w:bCs/>
        </w:rPr>
        <w:t>62</w:t>
      </w:r>
      <w:r w:rsidRPr="00C01C95">
        <w:t>, 608–617 (2002).</w:t>
      </w:r>
    </w:p>
    <w:p w14:paraId="03E28CEA" w14:textId="77777777" w:rsidR="00C01C95" w:rsidRPr="00C01C95" w:rsidRDefault="00C01C95" w:rsidP="00C01C95">
      <w:pPr>
        <w:pStyle w:val="Bibliography"/>
        <w:spacing w:line="240" w:lineRule="auto"/>
      </w:pPr>
      <w:r w:rsidRPr="00C01C95">
        <w:t>51.</w:t>
      </w:r>
      <w:r w:rsidRPr="00C01C95">
        <w:tab/>
        <w:t xml:space="preserve">Marques, S. C. &amp; </w:t>
      </w:r>
      <w:proofErr w:type="spellStart"/>
      <w:r w:rsidRPr="00C01C95">
        <w:t>Ikediobi</w:t>
      </w:r>
      <w:proofErr w:type="spellEnd"/>
      <w:r w:rsidRPr="00C01C95">
        <w:t xml:space="preserve">, O. N. The clinical application of UGT1A1 pharmacogenetic testing: Gene-environment interactions. </w:t>
      </w:r>
      <w:r w:rsidRPr="00C01C95">
        <w:rPr>
          <w:i/>
          <w:iCs/>
        </w:rPr>
        <w:t>Hum Genomics</w:t>
      </w:r>
      <w:r w:rsidRPr="00C01C95">
        <w:t xml:space="preserve"> </w:t>
      </w:r>
      <w:r w:rsidRPr="00C01C95">
        <w:rPr>
          <w:b/>
          <w:bCs/>
        </w:rPr>
        <w:t>4</w:t>
      </w:r>
      <w:r w:rsidRPr="00C01C95">
        <w:t>, 238–249 (2010).</w:t>
      </w:r>
    </w:p>
    <w:p w14:paraId="25449027" w14:textId="77777777" w:rsidR="00C01C95" w:rsidRPr="00C01C95" w:rsidRDefault="00C01C95" w:rsidP="00C01C95">
      <w:pPr>
        <w:pStyle w:val="Bibliography"/>
        <w:spacing w:line="240" w:lineRule="auto"/>
      </w:pPr>
      <w:r w:rsidRPr="00C01C95">
        <w:t>52.</w:t>
      </w:r>
      <w:r w:rsidRPr="00C01C95">
        <w:tab/>
        <w:t xml:space="preserve">Sherman, B. T. </w:t>
      </w:r>
      <w:r w:rsidRPr="00C01C95">
        <w:rPr>
          <w:i/>
          <w:iCs/>
        </w:rPr>
        <w:t>et al.</w:t>
      </w:r>
      <w:r w:rsidRPr="00C01C95">
        <w:t xml:space="preserve"> DAVID: a web server for functional enrichment analysis and functional annotation of gene lists (2021 update). </w:t>
      </w:r>
      <w:r w:rsidRPr="00C01C95">
        <w:rPr>
          <w:i/>
          <w:iCs/>
        </w:rPr>
        <w:t>Nucleic Acids Research</w:t>
      </w:r>
      <w:r w:rsidRPr="00C01C95">
        <w:t xml:space="preserve"> </w:t>
      </w:r>
      <w:r w:rsidRPr="00C01C95">
        <w:rPr>
          <w:b/>
          <w:bCs/>
        </w:rPr>
        <w:t>50</w:t>
      </w:r>
      <w:r w:rsidRPr="00C01C95">
        <w:t>, W216–W221 (2022).</w:t>
      </w:r>
    </w:p>
    <w:p w14:paraId="525AE2E9" w14:textId="77777777" w:rsidR="00C01C95" w:rsidRPr="00C01C95" w:rsidRDefault="00C01C95" w:rsidP="00C01C95">
      <w:pPr>
        <w:pStyle w:val="Bibliography"/>
        <w:spacing w:line="240" w:lineRule="auto"/>
      </w:pPr>
      <w:r w:rsidRPr="00C01C95">
        <w:t>53.</w:t>
      </w:r>
      <w:r w:rsidRPr="00C01C95">
        <w:tab/>
        <w:t xml:space="preserve">Ogata, H. </w:t>
      </w:r>
      <w:r w:rsidRPr="00C01C95">
        <w:rPr>
          <w:i/>
          <w:iCs/>
        </w:rPr>
        <w:t>et al.</w:t>
      </w:r>
      <w:r w:rsidRPr="00C01C95">
        <w:t xml:space="preserve"> KEGG: Kyoto </w:t>
      </w:r>
      <w:proofErr w:type="spellStart"/>
      <w:r w:rsidRPr="00C01C95">
        <w:t>Encyclopedia</w:t>
      </w:r>
      <w:proofErr w:type="spellEnd"/>
      <w:r w:rsidRPr="00C01C95">
        <w:t xml:space="preserve"> of Genes and Genomes. </w:t>
      </w:r>
      <w:r w:rsidRPr="00C01C95">
        <w:rPr>
          <w:i/>
          <w:iCs/>
        </w:rPr>
        <w:t>Nucleic Acids Research</w:t>
      </w:r>
      <w:r w:rsidRPr="00C01C95">
        <w:t xml:space="preserve"> </w:t>
      </w:r>
      <w:r w:rsidRPr="00C01C95">
        <w:rPr>
          <w:b/>
          <w:bCs/>
        </w:rPr>
        <w:t>27</w:t>
      </w:r>
      <w:r w:rsidRPr="00C01C95">
        <w:t>, 29–34 (1999).</w:t>
      </w:r>
    </w:p>
    <w:p w14:paraId="03BFEE13" w14:textId="77777777" w:rsidR="00C01C95" w:rsidRPr="00C01C95" w:rsidRDefault="00C01C95" w:rsidP="00C01C95">
      <w:pPr>
        <w:pStyle w:val="Bibliography"/>
        <w:spacing w:line="240" w:lineRule="auto"/>
      </w:pPr>
      <w:r w:rsidRPr="00C01C95">
        <w:t>54.</w:t>
      </w:r>
      <w:r w:rsidRPr="00C01C95">
        <w:tab/>
        <w:t xml:space="preserve">Gene Ontology Consortium. The Gene Ontology (GO) database and informatics resource. </w:t>
      </w:r>
      <w:r w:rsidRPr="00C01C95">
        <w:rPr>
          <w:i/>
          <w:iCs/>
        </w:rPr>
        <w:t>Nucleic Acids Research</w:t>
      </w:r>
      <w:r w:rsidRPr="00C01C95">
        <w:t xml:space="preserve"> </w:t>
      </w:r>
      <w:r w:rsidRPr="00C01C95">
        <w:rPr>
          <w:b/>
          <w:bCs/>
        </w:rPr>
        <w:t>32</w:t>
      </w:r>
      <w:r w:rsidRPr="00C01C95">
        <w:t>, D258–D261 (2004).</w:t>
      </w:r>
    </w:p>
    <w:p w14:paraId="751CF1D1" w14:textId="77777777" w:rsidR="00C01C95" w:rsidRPr="00C01C95" w:rsidRDefault="00C01C95" w:rsidP="00C01C95">
      <w:pPr>
        <w:pStyle w:val="Bibliography"/>
        <w:spacing w:line="240" w:lineRule="auto"/>
      </w:pPr>
      <w:r w:rsidRPr="00C01C95">
        <w:t>55.</w:t>
      </w:r>
      <w:r w:rsidRPr="00C01C95">
        <w:tab/>
        <w:t>The Indigenous World 2023: Peru - IWGIA - International Work Group for Indigenous Affairs. https://iwgia.org/en/peru/5102-iw-2023-peru.html.</w:t>
      </w:r>
    </w:p>
    <w:p w14:paraId="7275D17D" w14:textId="77777777" w:rsidR="00C01C95" w:rsidRPr="00C01C95" w:rsidRDefault="00C01C95" w:rsidP="00C01C95">
      <w:pPr>
        <w:pStyle w:val="Bibliography"/>
        <w:spacing w:line="240" w:lineRule="auto"/>
      </w:pPr>
      <w:r w:rsidRPr="00C01C95">
        <w:t>56.</w:t>
      </w:r>
      <w:r w:rsidRPr="00C01C95">
        <w:tab/>
        <w:t xml:space="preserve">Indigenous Latin America. </w:t>
      </w:r>
      <w:r w:rsidRPr="00C01C95">
        <w:rPr>
          <w:i/>
          <w:iCs/>
        </w:rPr>
        <w:t>World Bank</w:t>
      </w:r>
      <w:r w:rsidRPr="00C01C95">
        <w:t xml:space="preserve"> https://www.worldbank.org/en/region/lac/brief/indigenous-latin-america-in-the-twenty-first-century-brief-report-page.</w:t>
      </w:r>
    </w:p>
    <w:p w14:paraId="2CF29E46" w14:textId="77777777" w:rsidR="00C01C95" w:rsidRPr="00C01C95" w:rsidRDefault="00C01C95" w:rsidP="00C01C95">
      <w:pPr>
        <w:pStyle w:val="Bibliography"/>
        <w:spacing w:line="240" w:lineRule="auto"/>
      </w:pPr>
      <w:r w:rsidRPr="00C01C95">
        <w:t>57.</w:t>
      </w:r>
      <w:r w:rsidRPr="00C01C95">
        <w:tab/>
        <w:t xml:space="preserve">Mallick, S. </w:t>
      </w:r>
      <w:r w:rsidRPr="00C01C95">
        <w:rPr>
          <w:i/>
          <w:iCs/>
        </w:rPr>
        <w:t>et al.</w:t>
      </w:r>
      <w:r w:rsidRPr="00C01C95">
        <w:t xml:space="preserve"> The Simons Genome Diversity Project: 300 genomes from 142 diverse populations. </w:t>
      </w:r>
      <w:r w:rsidRPr="00C01C95">
        <w:rPr>
          <w:i/>
          <w:iCs/>
        </w:rPr>
        <w:t>Nature</w:t>
      </w:r>
      <w:r w:rsidRPr="00C01C95">
        <w:t xml:space="preserve"> </w:t>
      </w:r>
      <w:r w:rsidRPr="00C01C95">
        <w:rPr>
          <w:b/>
          <w:bCs/>
        </w:rPr>
        <w:t>538</w:t>
      </w:r>
      <w:r w:rsidRPr="00C01C95">
        <w:t>, 201–206 (2016).</w:t>
      </w:r>
    </w:p>
    <w:p w14:paraId="72AEB2A0" w14:textId="77777777" w:rsidR="00C01C95" w:rsidRPr="00C01C95" w:rsidRDefault="00C01C95" w:rsidP="00C01C95">
      <w:pPr>
        <w:pStyle w:val="Bibliography"/>
        <w:spacing w:line="240" w:lineRule="auto"/>
      </w:pPr>
      <w:r w:rsidRPr="00C01C95">
        <w:t>58.</w:t>
      </w:r>
      <w:r w:rsidRPr="00C01C95">
        <w:tab/>
        <w:t>Maier, R. uqrmaie1/</w:t>
      </w:r>
      <w:proofErr w:type="spellStart"/>
      <w:r w:rsidRPr="00C01C95">
        <w:t>admixtools</w:t>
      </w:r>
      <w:proofErr w:type="spellEnd"/>
      <w:r w:rsidRPr="00C01C95">
        <w:t>. (2025).</w:t>
      </w:r>
    </w:p>
    <w:p w14:paraId="1211E803" w14:textId="3307A41B" w:rsidR="00FB0C7F" w:rsidRDefault="00BD07B8" w:rsidP="00C01C95">
      <w:pPr>
        <w:pStyle w:val="Bibliography"/>
        <w:spacing w:line="240" w:lineRule="auto"/>
        <w:rPr>
          <w:lang w:val="en-US"/>
        </w:rPr>
      </w:pPr>
      <w:r>
        <w:rPr>
          <w:lang w:val="en-US"/>
        </w:rPr>
        <w:fldChar w:fldCharType="end"/>
      </w:r>
    </w:p>
    <w:p w14:paraId="7F501E75" w14:textId="77777777" w:rsidR="00657C04" w:rsidRPr="00657C04" w:rsidRDefault="00657C04" w:rsidP="00657C04">
      <w:pPr>
        <w:rPr>
          <w:lang w:val="en-US"/>
        </w:rPr>
      </w:pPr>
    </w:p>
    <w:p w14:paraId="7901AF8B" w14:textId="77777777" w:rsidR="00657C04" w:rsidRPr="00657C04" w:rsidRDefault="00657C04" w:rsidP="00657C04">
      <w:pPr>
        <w:rPr>
          <w:lang w:val="en-US"/>
        </w:rPr>
      </w:pPr>
    </w:p>
    <w:p w14:paraId="4BB7437C" w14:textId="77777777" w:rsidR="00657C04" w:rsidRPr="00657C04" w:rsidRDefault="00657C04" w:rsidP="00657C04">
      <w:pPr>
        <w:rPr>
          <w:lang w:val="en-US"/>
        </w:rPr>
      </w:pPr>
    </w:p>
    <w:p w14:paraId="5EB82B12" w14:textId="77777777" w:rsidR="00657C04" w:rsidRPr="00657C04" w:rsidRDefault="00657C04" w:rsidP="00657C04">
      <w:pPr>
        <w:rPr>
          <w:lang w:val="en-US"/>
        </w:rPr>
      </w:pPr>
    </w:p>
    <w:p w14:paraId="2DC76D09" w14:textId="77777777" w:rsidR="00657C04" w:rsidRPr="00657C04" w:rsidRDefault="00657C04" w:rsidP="00657C04">
      <w:pPr>
        <w:rPr>
          <w:lang w:val="en-US"/>
        </w:rPr>
      </w:pPr>
    </w:p>
    <w:p w14:paraId="093292DC" w14:textId="77777777" w:rsidR="00657C04" w:rsidRPr="00657C04" w:rsidRDefault="00657C04" w:rsidP="00657C04">
      <w:pPr>
        <w:rPr>
          <w:lang w:val="en-US"/>
        </w:rPr>
      </w:pPr>
    </w:p>
    <w:p w14:paraId="3D4F0A57" w14:textId="77777777" w:rsidR="00657C04" w:rsidRPr="00657C04" w:rsidRDefault="00657C04" w:rsidP="00657C04">
      <w:pPr>
        <w:rPr>
          <w:lang w:val="en-US"/>
        </w:rPr>
      </w:pPr>
    </w:p>
    <w:p w14:paraId="3F65EF8D" w14:textId="77777777" w:rsidR="00657C04" w:rsidRPr="00657C04" w:rsidRDefault="00657C04" w:rsidP="00657C04">
      <w:pPr>
        <w:rPr>
          <w:lang w:val="en-US"/>
        </w:rPr>
      </w:pPr>
    </w:p>
    <w:p w14:paraId="5A8F9435" w14:textId="77777777" w:rsidR="00657C04" w:rsidRPr="00657C04" w:rsidRDefault="00657C04" w:rsidP="00657C04">
      <w:pPr>
        <w:rPr>
          <w:lang w:val="en-US"/>
        </w:rPr>
      </w:pPr>
    </w:p>
    <w:p w14:paraId="120C775F" w14:textId="77777777" w:rsidR="00657C04" w:rsidRPr="00657C04" w:rsidRDefault="00657C04" w:rsidP="00657C04">
      <w:pPr>
        <w:rPr>
          <w:lang w:val="en-US"/>
        </w:rPr>
      </w:pPr>
    </w:p>
    <w:p w14:paraId="1E6FE2AF" w14:textId="77777777" w:rsidR="00657C04" w:rsidRPr="00657C04" w:rsidRDefault="00657C04" w:rsidP="00657C04">
      <w:pPr>
        <w:rPr>
          <w:lang w:val="en-US"/>
        </w:rPr>
      </w:pPr>
    </w:p>
    <w:p w14:paraId="60C7FBB8" w14:textId="7310A74B" w:rsidR="00657C04" w:rsidRPr="00657C04" w:rsidRDefault="00657C04" w:rsidP="00657C04">
      <w:pPr>
        <w:tabs>
          <w:tab w:val="left" w:pos="5083"/>
        </w:tabs>
        <w:rPr>
          <w:lang w:val="en-US"/>
        </w:rPr>
      </w:pPr>
      <w:r>
        <w:rPr>
          <w:lang w:val="en-US"/>
        </w:rPr>
        <w:tab/>
      </w:r>
    </w:p>
    <w:sectPr w:rsidR="00657C04" w:rsidRPr="00657C04" w:rsidSect="002A197B">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ppleSystemUIFont">
    <w:altName w:val="Calibri"/>
    <w:panose1 w:val="020B0604020202020204"/>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00574914"/>
      <w:docPartObj>
        <w:docPartGallery w:val="Page Numbers (Bottom of Page)"/>
        <w:docPartUnique/>
      </w:docPartObj>
    </w:sdtPr>
    <w:sdtContent>
      <w:p w14:paraId="210C2FBD" w14:textId="77777777" w:rsidR="00000000" w:rsidRDefault="00000000" w:rsidP="007A7A7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B903096" w14:textId="77777777" w:rsidR="00000000" w:rsidRDefault="00000000" w:rsidP="003167A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2371848"/>
      <w:docPartObj>
        <w:docPartGallery w:val="Page Numbers (Bottom of Page)"/>
        <w:docPartUnique/>
      </w:docPartObj>
    </w:sdtPr>
    <w:sdtContent>
      <w:p w14:paraId="70BB9834" w14:textId="77777777" w:rsidR="00000000" w:rsidRDefault="00000000" w:rsidP="007A7A7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7CB009E" w14:textId="77777777" w:rsidR="00000000" w:rsidRDefault="00000000" w:rsidP="003167AE">
    <w:pPr>
      <w:pStyle w:val="Footer"/>
      <w:ind w:right="360"/>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F40945"/>
    <w:multiLevelType w:val="multilevel"/>
    <w:tmpl w:val="BEF07C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E08400E"/>
    <w:multiLevelType w:val="multilevel"/>
    <w:tmpl w:val="4CD635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5B41935"/>
    <w:multiLevelType w:val="multilevel"/>
    <w:tmpl w:val="6DF237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6A64221"/>
    <w:multiLevelType w:val="multilevel"/>
    <w:tmpl w:val="3CFE38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13F57C1"/>
    <w:multiLevelType w:val="multilevel"/>
    <w:tmpl w:val="A866E5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2AC1247"/>
    <w:multiLevelType w:val="multilevel"/>
    <w:tmpl w:val="E9226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4F700B0"/>
    <w:multiLevelType w:val="multilevel"/>
    <w:tmpl w:val="0A20CB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2036268"/>
    <w:multiLevelType w:val="hybridMultilevel"/>
    <w:tmpl w:val="BC2672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7CC61459"/>
    <w:multiLevelType w:val="multilevel"/>
    <w:tmpl w:val="ABB025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51091897">
    <w:abstractNumId w:val="7"/>
  </w:num>
  <w:num w:numId="2" w16cid:durableId="322702137">
    <w:abstractNumId w:val="1"/>
  </w:num>
  <w:num w:numId="3" w16cid:durableId="255092899">
    <w:abstractNumId w:val="0"/>
  </w:num>
  <w:num w:numId="4" w16cid:durableId="1445341672">
    <w:abstractNumId w:val="3"/>
  </w:num>
  <w:num w:numId="5" w16cid:durableId="766578190">
    <w:abstractNumId w:val="2"/>
  </w:num>
  <w:num w:numId="6" w16cid:durableId="751587745">
    <w:abstractNumId w:val="6"/>
  </w:num>
  <w:num w:numId="7" w16cid:durableId="1137919570">
    <w:abstractNumId w:val="4"/>
  </w:num>
  <w:num w:numId="8" w16cid:durableId="1674604631">
    <w:abstractNumId w:val="5"/>
  </w:num>
  <w:num w:numId="9" w16cid:durableId="5312640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4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3BC3"/>
    <w:rsid w:val="000A2710"/>
    <w:rsid w:val="000C11E3"/>
    <w:rsid w:val="000C4C16"/>
    <w:rsid w:val="000D1138"/>
    <w:rsid w:val="000D6225"/>
    <w:rsid w:val="000F7F55"/>
    <w:rsid w:val="001312EF"/>
    <w:rsid w:val="00167618"/>
    <w:rsid w:val="0020106F"/>
    <w:rsid w:val="002A197B"/>
    <w:rsid w:val="00301D84"/>
    <w:rsid w:val="00420BC8"/>
    <w:rsid w:val="00424C6E"/>
    <w:rsid w:val="00541EEB"/>
    <w:rsid w:val="005A07C4"/>
    <w:rsid w:val="00657C04"/>
    <w:rsid w:val="006C749E"/>
    <w:rsid w:val="006E3BC3"/>
    <w:rsid w:val="00737667"/>
    <w:rsid w:val="007D7472"/>
    <w:rsid w:val="007F333F"/>
    <w:rsid w:val="00831720"/>
    <w:rsid w:val="0091087F"/>
    <w:rsid w:val="00921BBC"/>
    <w:rsid w:val="00965FA4"/>
    <w:rsid w:val="00A8274E"/>
    <w:rsid w:val="00AE5020"/>
    <w:rsid w:val="00BA2B25"/>
    <w:rsid w:val="00BD07B8"/>
    <w:rsid w:val="00C01C95"/>
    <w:rsid w:val="00C51A8E"/>
    <w:rsid w:val="00C70056"/>
    <w:rsid w:val="00C727FE"/>
    <w:rsid w:val="00CB552E"/>
    <w:rsid w:val="00D30F12"/>
    <w:rsid w:val="00D52863"/>
    <w:rsid w:val="00DD0DB6"/>
    <w:rsid w:val="00E30305"/>
    <w:rsid w:val="00E50757"/>
    <w:rsid w:val="00E54D71"/>
    <w:rsid w:val="00E90C19"/>
    <w:rsid w:val="00FB0C7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C4E573"/>
  <w15:chartTrackingRefBased/>
  <w15:docId w15:val="{1CED9018-1247-9F40-8769-B14BAF620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1D84"/>
  </w:style>
  <w:style w:type="paragraph" w:styleId="Heading1">
    <w:name w:val="heading 1"/>
    <w:basedOn w:val="Normal"/>
    <w:next w:val="Normal"/>
    <w:link w:val="Heading1Char"/>
    <w:uiPriority w:val="9"/>
    <w:qFormat/>
    <w:rsid w:val="00831720"/>
    <w:pPr>
      <w:keepNext/>
      <w:keepLines/>
      <w:spacing w:before="240"/>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unhideWhenUsed/>
    <w:qFormat/>
    <w:rsid w:val="006E3BC3"/>
    <w:pPr>
      <w:keepNext/>
      <w:keepLines/>
      <w:spacing w:before="40"/>
      <w:outlineLvl w:val="1"/>
    </w:pPr>
    <w:rPr>
      <w:rFonts w:asciiTheme="majorHAnsi" w:eastAsiaTheme="majorEastAsia" w:hAnsiTheme="majorHAnsi" w:cstheme="majorBidi"/>
      <w:b/>
      <w:color w:val="000000" w:themeColor="text1"/>
      <w:sz w:val="26"/>
      <w:szCs w:val="26"/>
    </w:rPr>
  </w:style>
  <w:style w:type="paragraph" w:styleId="Heading3">
    <w:name w:val="heading 3"/>
    <w:basedOn w:val="Normal"/>
    <w:next w:val="Normal"/>
    <w:link w:val="Heading3Char"/>
    <w:uiPriority w:val="9"/>
    <w:unhideWhenUsed/>
    <w:qFormat/>
    <w:rsid w:val="006E3BC3"/>
    <w:pPr>
      <w:keepNext/>
      <w:keepLines/>
      <w:spacing w:before="40"/>
      <w:outlineLvl w:val="2"/>
    </w:pPr>
    <w:rPr>
      <w:rFonts w:asciiTheme="majorHAnsi" w:eastAsiaTheme="majorEastAsia" w:hAnsiTheme="majorHAnsi" w:cstheme="majorBidi"/>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E3BC3"/>
    <w:rPr>
      <w:rFonts w:asciiTheme="majorHAnsi" w:eastAsiaTheme="majorEastAsia" w:hAnsiTheme="majorHAnsi" w:cstheme="majorBidi"/>
      <w:b/>
      <w:color w:val="000000" w:themeColor="text1"/>
      <w:sz w:val="26"/>
      <w:szCs w:val="26"/>
    </w:rPr>
  </w:style>
  <w:style w:type="character" w:customStyle="1" w:styleId="Heading3Char">
    <w:name w:val="Heading 3 Char"/>
    <w:basedOn w:val="DefaultParagraphFont"/>
    <w:link w:val="Heading3"/>
    <w:uiPriority w:val="9"/>
    <w:rsid w:val="006E3BC3"/>
    <w:rPr>
      <w:rFonts w:asciiTheme="majorHAnsi" w:eastAsiaTheme="majorEastAsia" w:hAnsiTheme="majorHAnsi" w:cstheme="majorBidi"/>
      <w:b/>
    </w:rPr>
  </w:style>
  <w:style w:type="character" w:customStyle="1" w:styleId="Heading1Char">
    <w:name w:val="Heading 1 Char"/>
    <w:basedOn w:val="DefaultParagraphFont"/>
    <w:link w:val="Heading1"/>
    <w:uiPriority w:val="9"/>
    <w:rsid w:val="00831720"/>
    <w:rPr>
      <w:rFonts w:asciiTheme="majorHAnsi" w:eastAsiaTheme="majorEastAsia" w:hAnsiTheme="majorHAnsi" w:cstheme="majorBidi"/>
      <w:b/>
      <w:sz w:val="32"/>
      <w:szCs w:val="32"/>
    </w:rPr>
  </w:style>
  <w:style w:type="paragraph" w:styleId="Title">
    <w:name w:val="Title"/>
    <w:basedOn w:val="Normal"/>
    <w:next w:val="Normal"/>
    <w:link w:val="TitleChar"/>
    <w:uiPriority w:val="10"/>
    <w:qFormat/>
    <w:rsid w:val="006E3BC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E3BC3"/>
    <w:rPr>
      <w:rFonts w:asciiTheme="majorHAnsi" w:eastAsiaTheme="majorEastAsia" w:hAnsiTheme="majorHAnsi" w:cstheme="majorBidi"/>
      <w:spacing w:val="-10"/>
      <w:kern w:val="28"/>
      <w:sz w:val="56"/>
      <w:szCs w:val="56"/>
    </w:rPr>
  </w:style>
  <w:style w:type="paragraph" w:styleId="Footer">
    <w:name w:val="footer"/>
    <w:basedOn w:val="Normal"/>
    <w:link w:val="FooterChar"/>
    <w:uiPriority w:val="99"/>
    <w:unhideWhenUsed/>
    <w:rsid w:val="00A8274E"/>
    <w:pPr>
      <w:tabs>
        <w:tab w:val="center" w:pos="4680"/>
        <w:tab w:val="right" w:pos="9360"/>
      </w:tabs>
    </w:pPr>
    <w:rPr>
      <w:lang w:val="en-US"/>
    </w:rPr>
  </w:style>
  <w:style w:type="character" w:customStyle="1" w:styleId="FooterChar">
    <w:name w:val="Footer Char"/>
    <w:basedOn w:val="DefaultParagraphFont"/>
    <w:link w:val="Footer"/>
    <w:uiPriority w:val="99"/>
    <w:rsid w:val="00A8274E"/>
    <w:rPr>
      <w:lang w:val="en-US"/>
    </w:rPr>
  </w:style>
  <w:style w:type="character" w:styleId="PageNumber">
    <w:name w:val="page number"/>
    <w:basedOn w:val="DefaultParagraphFont"/>
    <w:uiPriority w:val="99"/>
    <w:semiHidden/>
    <w:unhideWhenUsed/>
    <w:rsid w:val="00A8274E"/>
  </w:style>
  <w:style w:type="character" w:styleId="Hyperlink">
    <w:name w:val="Hyperlink"/>
    <w:basedOn w:val="DefaultParagraphFont"/>
    <w:uiPriority w:val="99"/>
    <w:unhideWhenUsed/>
    <w:rsid w:val="000D6225"/>
    <w:rPr>
      <w:color w:val="0563C1" w:themeColor="hyperlink"/>
      <w:u w:val="single"/>
    </w:rPr>
  </w:style>
  <w:style w:type="character" w:styleId="UnresolvedMention">
    <w:name w:val="Unresolved Mention"/>
    <w:basedOn w:val="DefaultParagraphFont"/>
    <w:uiPriority w:val="99"/>
    <w:semiHidden/>
    <w:unhideWhenUsed/>
    <w:rsid w:val="000D6225"/>
    <w:rPr>
      <w:color w:val="605E5C"/>
      <w:shd w:val="clear" w:color="auto" w:fill="E1DFDD"/>
    </w:rPr>
  </w:style>
  <w:style w:type="paragraph" w:styleId="Bibliography">
    <w:name w:val="Bibliography"/>
    <w:basedOn w:val="Normal"/>
    <w:next w:val="Normal"/>
    <w:uiPriority w:val="37"/>
    <w:unhideWhenUsed/>
    <w:rsid w:val="00BD07B8"/>
    <w:pPr>
      <w:tabs>
        <w:tab w:val="left" w:pos="380"/>
      </w:tabs>
      <w:spacing w:line="480" w:lineRule="auto"/>
      <w:ind w:left="384" w:hanging="3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5949193">
      <w:bodyDiv w:val="1"/>
      <w:marLeft w:val="0"/>
      <w:marRight w:val="0"/>
      <w:marTop w:val="0"/>
      <w:marBottom w:val="0"/>
      <w:divBdr>
        <w:top w:val="none" w:sz="0" w:space="0" w:color="auto"/>
        <w:left w:val="none" w:sz="0" w:space="0" w:color="auto"/>
        <w:bottom w:val="none" w:sz="0" w:space="0" w:color="auto"/>
        <w:right w:val="none" w:sz="0" w:space="0" w:color="auto"/>
      </w:divBdr>
    </w:div>
    <w:div w:id="877544263">
      <w:bodyDiv w:val="1"/>
      <w:marLeft w:val="0"/>
      <w:marRight w:val="0"/>
      <w:marTop w:val="0"/>
      <w:marBottom w:val="0"/>
      <w:divBdr>
        <w:top w:val="none" w:sz="0" w:space="0" w:color="auto"/>
        <w:left w:val="none" w:sz="0" w:space="0" w:color="auto"/>
        <w:bottom w:val="none" w:sz="0" w:space="0" w:color="auto"/>
        <w:right w:val="none" w:sz="0" w:space="0" w:color="auto"/>
      </w:divBdr>
    </w:div>
    <w:div w:id="1379547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footer" Target="footer2.xml"/><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37987</Words>
  <Characters>216532</Characters>
  <Application>Microsoft Office Word</Application>
  <DocSecurity>0</DocSecurity>
  <Lines>1804</Lines>
  <Paragraphs>508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Manuel Corpas</cp:lastModifiedBy>
  <cp:revision>2</cp:revision>
  <dcterms:created xsi:type="dcterms:W3CDTF">2025-04-02T13:30:00Z</dcterms:created>
  <dcterms:modified xsi:type="dcterms:W3CDTF">2025-04-02T13:30:00Z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zotero-version="7.0.11"&gt;&lt;session id="ckiOlbhH"/&gt;&lt;style id="http://www.zotero.org/styles/nature" hasBibliography="1" bibliographyStyleHasBeenSet="1"/&gt;&lt;prefs&gt;&lt;pref name="fieldType" value="Field"/&gt;&lt;/prefs&gt;&lt;/data&gt;</vt:lpwstr>
  </property>
</Properties>
</file>