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6ED4" w:rsidRPr="007114FE" w:rsidRDefault="00536ED4" w:rsidP="00536ED4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Supplementary Information</w:t>
      </w:r>
    </w:p>
    <w:p w:rsidR="00536ED4" w:rsidRDefault="00536ED4" w:rsidP="00536ED4">
      <w:pPr>
        <w:rPr>
          <w:rFonts w:ascii="Arial" w:hAnsi="Arial" w:cs="Arial"/>
          <w:b/>
          <w:sz w:val="22"/>
        </w:rPr>
      </w:pPr>
      <w:bookmarkStart w:id="0" w:name="_GoBack"/>
      <w:bookmarkEnd w:id="0"/>
    </w:p>
    <w:p w:rsidR="00536ED4" w:rsidRDefault="00536ED4" w:rsidP="00536ED4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Single PDF file containing:</w:t>
      </w:r>
    </w:p>
    <w:p w:rsidR="00536ED4" w:rsidRDefault="00536ED4" w:rsidP="00536ED4">
      <w:pPr>
        <w:rPr>
          <w:rFonts w:ascii="Arial" w:hAnsi="Arial" w:cs="Arial"/>
          <w:b/>
          <w:sz w:val="22"/>
        </w:rPr>
      </w:pPr>
    </w:p>
    <w:p w:rsidR="00536ED4" w:rsidRPr="00DF2806" w:rsidRDefault="00536ED4" w:rsidP="00536ED4">
      <w:pPr>
        <w:spacing w:line="480" w:lineRule="auto"/>
        <w:rPr>
          <w:rFonts w:ascii="Arial" w:hAnsi="Arial" w:cs="Arial"/>
          <w:sz w:val="22"/>
          <w:szCs w:val="22"/>
        </w:rPr>
      </w:pPr>
      <w:r w:rsidRPr="00DF2806">
        <w:rPr>
          <w:rFonts w:ascii="Arial" w:hAnsi="Arial" w:cs="Arial"/>
          <w:b/>
          <w:sz w:val="22"/>
          <w:szCs w:val="22"/>
        </w:rPr>
        <w:t>Figure S1.</w:t>
      </w:r>
      <w:r w:rsidRPr="00DF280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B7AB6">
        <w:rPr>
          <w:rFonts w:ascii="Arial" w:hAnsi="Arial" w:cs="Arial"/>
          <w:sz w:val="22"/>
          <w:szCs w:val="22"/>
        </w:rPr>
        <w:t>Cytoscape</w:t>
      </w:r>
      <w:proofErr w:type="spellEnd"/>
      <w:r w:rsidRPr="006B7AB6">
        <w:rPr>
          <w:rFonts w:ascii="Arial" w:hAnsi="Arial" w:cs="Arial"/>
          <w:sz w:val="22"/>
          <w:szCs w:val="22"/>
        </w:rPr>
        <w:t xml:space="preserve"> maps of metabolic pathways changed after ATP injection.</w:t>
      </w:r>
      <w:r w:rsidRPr="00DF2806">
        <w:rPr>
          <w:rFonts w:ascii="Arial" w:hAnsi="Arial" w:cs="Arial"/>
          <w:sz w:val="22"/>
          <w:szCs w:val="22"/>
        </w:rPr>
        <w:t xml:space="preserve">  </w:t>
      </w:r>
      <w:r w:rsidRPr="00413602">
        <w:rPr>
          <w:rFonts w:ascii="Arial" w:hAnsi="Arial" w:cs="Arial"/>
          <w:b/>
          <w:bCs/>
          <w:sz w:val="22"/>
          <w:szCs w:val="22"/>
        </w:rPr>
        <w:t>A.</w:t>
      </w:r>
      <w:r w:rsidRPr="00DF2806">
        <w:rPr>
          <w:rFonts w:ascii="Arial" w:hAnsi="Arial" w:cs="Arial"/>
          <w:sz w:val="22"/>
          <w:szCs w:val="22"/>
        </w:rPr>
        <w:t xml:space="preserve"> 30 minutes after injection. </w:t>
      </w:r>
      <w:r w:rsidRPr="00413602">
        <w:rPr>
          <w:rFonts w:ascii="Arial" w:hAnsi="Arial" w:cs="Arial"/>
          <w:b/>
          <w:bCs/>
          <w:sz w:val="22"/>
          <w:szCs w:val="22"/>
        </w:rPr>
        <w:t xml:space="preserve">B. </w:t>
      </w:r>
      <w:r w:rsidRPr="00DF2806">
        <w:rPr>
          <w:rFonts w:ascii="Arial" w:hAnsi="Arial" w:cs="Arial"/>
          <w:sz w:val="22"/>
          <w:szCs w:val="22"/>
        </w:rPr>
        <w:t>4 hours after injection. Percentages in black circles indicate the fractional metabolic impact measured by VIP scores.  Green indicates metabolites that were decreased. Red indicates metabolites that were increased. Dose = 0.5 µ</w:t>
      </w:r>
      <w:proofErr w:type="spellStart"/>
      <w:r w:rsidRPr="00DF2806">
        <w:rPr>
          <w:rFonts w:ascii="Arial" w:hAnsi="Arial" w:cs="Arial"/>
          <w:sz w:val="22"/>
          <w:szCs w:val="22"/>
        </w:rPr>
        <w:t>mol</w:t>
      </w:r>
      <w:proofErr w:type="spellEnd"/>
      <w:r w:rsidRPr="00DF2806">
        <w:rPr>
          <w:rFonts w:ascii="Arial" w:hAnsi="Arial" w:cs="Arial"/>
          <w:sz w:val="22"/>
          <w:szCs w:val="22"/>
        </w:rPr>
        <w:t xml:space="preserve">/g ATP IP, n = 7-8 C57Bl/6J males per group, </w:t>
      </w:r>
      <w:r w:rsidRPr="00DF2806">
        <w:rPr>
          <w:rFonts w:ascii="Arial" w:hAnsi="Arial" w:cs="Arial"/>
          <w:bCs/>
          <w:sz w:val="22"/>
          <w:szCs w:val="22"/>
        </w:rPr>
        <w:t>age = 12-13 weeks</w:t>
      </w:r>
      <w:r w:rsidRPr="00DF2806">
        <w:rPr>
          <w:rFonts w:ascii="Arial" w:hAnsi="Arial" w:cs="Arial"/>
          <w:sz w:val="22"/>
          <w:szCs w:val="22"/>
        </w:rPr>
        <w:t xml:space="preserve">.  </w:t>
      </w:r>
    </w:p>
    <w:p w:rsidR="00536ED4" w:rsidRPr="006B7AB6" w:rsidRDefault="00536ED4" w:rsidP="00536ED4">
      <w:pPr>
        <w:spacing w:line="480" w:lineRule="auto"/>
        <w:rPr>
          <w:rFonts w:ascii="Arial" w:hAnsi="Arial" w:cs="Arial"/>
          <w:sz w:val="22"/>
          <w:szCs w:val="22"/>
        </w:rPr>
      </w:pPr>
      <w:r w:rsidRPr="00DF2806">
        <w:rPr>
          <w:rFonts w:ascii="Arial" w:hAnsi="Arial" w:cs="Arial"/>
          <w:b/>
          <w:bCs/>
          <w:sz w:val="22"/>
          <w:szCs w:val="22"/>
        </w:rPr>
        <w:t>Figure S2.</w:t>
      </w:r>
      <w:r w:rsidRPr="00DF2806">
        <w:rPr>
          <w:rFonts w:ascii="Arial" w:hAnsi="Arial" w:cs="Arial"/>
          <w:sz w:val="22"/>
          <w:szCs w:val="22"/>
        </w:rPr>
        <w:t xml:space="preserve"> </w:t>
      </w:r>
      <w:r w:rsidRPr="006B7AB6">
        <w:rPr>
          <w:rFonts w:ascii="Arial" w:hAnsi="Arial" w:cs="Arial"/>
          <w:sz w:val="22"/>
          <w:szCs w:val="22"/>
        </w:rPr>
        <w:t>Plasma purines and pyrimidines changed after ATP injection.</w:t>
      </w:r>
    </w:p>
    <w:p w:rsidR="00536ED4" w:rsidRPr="00DF2806" w:rsidRDefault="00536ED4" w:rsidP="00536ED4">
      <w:pPr>
        <w:spacing w:line="480" w:lineRule="auto"/>
        <w:rPr>
          <w:rFonts w:ascii="Arial" w:hAnsi="Arial" w:cs="Arial"/>
          <w:sz w:val="22"/>
          <w:szCs w:val="22"/>
        </w:rPr>
      </w:pPr>
      <w:r w:rsidRPr="00DF2806">
        <w:rPr>
          <w:rFonts w:ascii="Arial" w:hAnsi="Arial" w:cs="Arial"/>
          <w:b/>
          <w:bCs/>
          <w:sz w:val="22"/>
          <w:szCs w:val="22"/>
        </w:rPr>
        <w:t>Figure S3</w:t>
      </w:r>
      <w:r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Pr="006B7AB6">
        <w:rPr>
          <w:rFonts w:ascii="Arial" w:hAnsi="Arial" w:cs="Arial"/>
          <w:sz w:val="22"/>
          <w:szCs w:val="22"/>
        </w:rPr>
        <w:t>Plasma amino acids were decreased after ATP injection.</w:t>
      </w:r>
    </w:p>
    <w:p w:rsidR="00536ED4" w:rsidRPr="00DF2806" w:rsidRDefault="00536ED4" w:rsidP="00536ED4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Figure S4.</w:t>
      </w:r>
      <w:r>
        <w:rPr>
          <w:rFonts w:ascii="Arial" w:hAnsi="Arial" w:cs="Arial"/>
          <w:sz w:val="22"/>
          <w:szCs w:val="22"/>
        </w:rPr>
        <w:t xml:space="preserve"> </w:t>
      </w:r>
      <w:r w:rsidRPr="006B7AB6">
        <w:rPr>
          <w:rFonts w:ascii="Arial" w:hAnsi="Arial" w:cs="Arial"/>
          <w:i/>
          <w:iCs/>
          <w:sz w:val="22"/>
          <w:szCs w:val="22"/>
        </w:rPr>
        <w:t>k</w:t>
      </w:r>
      <w:r w:rsidRPr="006B7AB6">
        <w:rPr>
          <w:rFonts w:ascii="Arial" w:hAnsi="Arial" w:cs="Arial"/>
          <w:sz w:val="22"/>
          <w:szCs w:val="22"/>
        </w:rPr>
        <w:t>-NN supercluster of increased metabolites after ATP injection.</w:t>
      </w:r>
    </w:p>
    <w:p w:rsidR="00536ED4" w:rsidRPr="00DF2806" w:rsidRDefault="00536ED4" w:rsidP="00536ED4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Figure S5.</w:t>
      </w:r>
      <w:r>
        <w:rPr>
          <w:rFonts w:ascii="Arial" w:hAnsi="Arial" w:cs="Arial"/>
          <w:sz w:val="22"/>
          <w:szCs w:val="22"/>
        </w:rPr>
        <w:t xml:space="preserve"> </w:t>
      </w:r>
      <w:r w:rsidRPr="006B7AB6">
        <w:rPr>
          <w:rFonts w:ascii="Arial" w:hAnsi="Arial" w:cs="Arial"/>
          <w:i/>
          <w:iCs/>
          <w:sz w:val="22"/>
          <w:szCs w:val="22"/>
        </w:rPr>
        <w:t>k</w:t>
      </w:r>
      <w:r w:rsidRPr="006B7AB6">
        <w:rPr>
          <w:rFonts w:ascii="Arial" w:hAnsi="Arial" w:cs="Arial"/>
          <w:sz w:val="22"/>
          <w:szCs w:val="22"/>
        </w:rPr>
        <w:t>-NN supercluster of decreased metabolites after ATP injection.</w:t>
      </w:r>
    </w:p>
    <w:p w:rsidR="00536ED4" w:rsidRPr="00DF2806" w:rsidRDefault="00536ED4" w:rsidP="00536ED4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Figure S6.</w:t>
      </w:r>
      <w:r>
        <w:rPr>
          <w:rFonts w:ascii="Arial" w:hAnsi="Arial" w:cs="Arial"/>
          <w:sz w:val="22"/>
          <w:szCs w:val="22"/>
        </w:rPr>
        <w:t xml:space="preserve"> </w:t>
      </w:r>
      <w:r w:rsidRPr="006B7AB6">
        <w:rPr>
          <w:rFonts w:ascii="Arial" w:hAnsi="Arial" w:cs="Arial"/>
          <w:sz w:val="22"/>
          <w:szCs w:val="22"/>
        </w:rPr>
        <w:t>Non-eicosanoid lipids and head groups changed after ATP injection.</w:t>
      </w:r>
    </w:p>
    <w:p w:rsidR="00536ED4" w:rsidRPr="006B7AB6" w:rsidRDefault="00536ED4" w:rsidP="00536ED4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Figure S7.</w:t>
      </w:r>
      <w:r>
        <w:rPr>
          <w:rFonts w:ascii="Arial" w:hAnsi="Arial" w:cs="Arial"/>
          <w:sz w:val="22"/>
          <w:szCs w:val="22"/>
        </w:rPr>
        <w:t xml:space="preserve"> </w:t>
      </w:r>
      <w:r w:rsidRPr="006B7AB6">
        <w:rPr>
          <w:rFonts w:ascii="Arial" w:hAnsi="Arial" w:cs="Arial"/>
          <w:sz w:val="22"/>
          <w:szCs w:val="22"/>
        </w:rPr>
        <w:t>Plasma microbiome metabolites increased after ATP injection.</w:t>
      </w:r>
    </w:p>
    <w:p w:rsidR="00536ED4" w:rsidRDefault="00536ED4" w:rsidP="00536ED4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Figure S8.</w:t>
      </w:r>
      <w:r>
        <w:rPr>
          <w:rFonts w:ascii="Arial" w:hAnsi="Arial" w:cs="Arial"/>
          <w:sz w:val="22"/>
          <w:szCs w:val="22"/>
        </w:rPr>
        <w:t xml:space="preserve"> </w:t>
      </w:r>
      <w:r w:rsidRPr="006B7AB6">
        <w:rPr>
          <w:rFonts w:ascii="Arial" w:hAnsi="Arial" w:cs="Arial"/>
          <w:sz w:val="22"/>
          <w:szCs w:val="22"/>
        </w:rPr>
        <w:t>Plasma vitamins changed after ATP injection.</w:t>
      </w:r>
    </w:p>
    <w:p w:rsidR="00536ED4" w:rsidRPr="00DF2806" w:rsidRDefault="00536ED4" w:rsidP="00536ED4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</w:rPr>
        <w:t>Figure S9.</w:t>
      </w:r>
      <w:r>
        <w:rPr>
          <w:rFonts w:ascii="Arial" w:hAnsi="Arial" w:cs="Arial"/>
        </w:rPr>
        <w:t xml:space="preserve"> </w:t>
      </w:r>
      <w:r w:rsidRPr="006B7AB6">
        <w:rPr>
          <w:rFonts w:ascii="Arial" w:hAnsi="Arial" w:cs="Arial"/>
        </w:rPr>
        <w:t>Coordinated changes in purine, amino acid, methylation, sulfur, polyamine, and nitrogen metabolism produced by ATP injection.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A.</w:t>
      </w:r>
      <w:r>
        <w:rPr>
          <w:rFonts w:ascii="Arial" w:hAnsi="Arial" w:cs="Arial"/>
        </w:rPr>
        <w:t xml:space="preserve"> Flow diagram of interrelated pathways. </w:t>
      </w:r>
      <w:r>
        <w:rPr>
          <w:rFonts w:ascii="Arial" w:hAnsi="Arial" w:cs="Arial"/>
          <w:b/>
          <w:bCs/>
        </w:rPr>
        <w:t>B.</w:t>
      </w:r>
      <w:r>
        <w:rPr>
          <w:rFonts w:ascii="Arial" w:hAnsi="Arial" w:cs="Arial"/>
        </w:rPr>
        <w:t xml:space="preserve"> Z-scores after 30 minutes.  The ATP dose was 0.5 µ</w:t>
      </w:r>
      <w:proofErr w:type="spellStart"/>
      <w:r>
        <w:rPr>
          <w:rFonts w:ascii="Arial" w:hAnsi="Arial" w:cs="Arial"/>
        </w:rPr>
        <w:t>mol</w:t>
      </w:r>
      <w:proofErr w:type="spellEnd"/>
      <w:r>
        <w:rPr>
          <w:rFonts w:ascii="Arial" w:hAnsi="Arial" w:cs="Arial"/>
        </w:rPr>
        <w:t xml:space="preserve">/g IP in C57Bl/6J male mice, 12-13 weeks old, n = 7-8 per group. Red numbers indicate the Z-scores of metabolites that were increased, and blue indicates metabolites that were decreased. </w:t>
      </w:r>
      <w:r>
        <w:rPr>
          <w:rFonts w:ascii="Arial" w:hAnsi="Arial" w:cs="Arial"/>
          <w:b/>
          <w:bCs/>
        </w:rPr>
        <w:t>Abbreviations:</w:t>
      </w:r>
      <w:r>
        <w:rPr>
          <w:rFonts w:ascii="Arial" w:hAnsi="Arial" w:cs="Arial"/>
        </w:rPr>
        <w:t xml:space="preserve"> LLOQ—lower limit of quantitation; n/a—metabolites that were not measured.</w:t>
      </w:r>
    </w:p>
    <w:p w:rsidR="00536ED4" w:rsidRPr="00F6572B" w:rsidRDefault="00536ED4" w:rsidP="00536ED4">
      <w:pPr>
        <w:spacing w:line="480" w:lineRule="auto"/>
        <w:rPr>
          <w:rFonts w:ascii="Arial" w:hAnsi="Arial" w:cs="Arial"/>
          <w:b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Figure S10. </w:t>
      </w:r>
      <w:r w:rsidRPr="006B7AB6">
        <w:rPr>
          <w:rFonts w:ascii="Arial" w:hAnsi="Arial" w:cs="Arial"/>
          <w:sz w:val="22"/>
          <w:szCs w:val="22"/>
        </w:rPr>
        <w:t xml:space="preserve">Principal components analysis of </w:t>
      </w:r>
      <w:proofErr w:type="spellStart"/>
      <w:r w:rsidRPr="006B7AB6">
        <w:rPr>
          <w:rFonts w:ascii="Arial" w:hAnsi="Arial" w:cs="Arial"/>
          <w:sz w:val="22"/>
          <w:szCs w:val="22"/>
        </w:rPr>
        <w:t>metabolomic</w:t>
      </w:r>
      <w:proofErr w:type="spellEnd"/>
      <w:r w:rsidRPr="006B7AB6">
        <w:rPr>
          <w:rFonts w:ascii="Arial" w:hAnsi="Arial" w:cs="Arial"/>
          <w:sz w:val="22"/>
          <w:szCs w:val="22"/>
        </w:rPr>
        <w:t xml:space="preserve"> effects of ATP injection.</w:t>
      </w:r>
      <w:r>
        <w:rPr>
          <w:rFonts w:ascii="Arial" w:hAnsi="Arial" w:cs="Arial"/>
          <w:sz w:val="22"/>
          <w:szCs w:val="22"/>
        </w:rPr>
        <w:t xml:space="preserve"> </w:t>
      </w:r>
      <w:r w:rsidRPr="007B5281">
        <w:rPr>
          <w:rFonts w:ascii="Arial" w:hAnsi="Arial" w:cs="Arial"/>
          <w:b/>
          <w:bCs/>
          <w:sz w:val="22"/>
          <w:szCs w:val="22"/>
        </w:rPr>
        <w:t>A.</w:t>
      </w:r>
      <w:r>
        <w:rPr>
          <w:rFonts w:ascii="Arial" w:hAnsi="Arial" w:cs="Arial"/>
          <w:sz w:val="22"/>
          <w:szCs w:val="22"/>
        </w:rPr>
        <w:t xml:space="preserve"> 30 minutes, </w:t>
      </w:r>
      <w:r w:rsidRPr="007B5281">
        <w:rPr>
          <w:rFonts w:ascii="Arial" w:hAnsi="Arial" w:cs="Arial"/>
          <w:b/>
          <w:bCs/>
          <w:sz w:val="22"/>
          <w:szCs w:val="22"/>
        </w:rPr>
        <w:t>B.</w:t>
      </w:r>
      <w:r>
        <w:rPr>
          <w:rFonts w:ascii="Arial" w:hAnsi="Arial" w:cs="Arial"/>
          <w:sz w:val="22"/>
          <w:szCs w:val="22"/>
        </w:rPr>
        <w:t xml:space="preserve"> 4 hours after injection. </w:t>
      </w:r>
      <w:r w:rsidRPr="008F4152">
        <w:rPr>
          <w:rFonts w:ascii="Arial" w:hAnsi="Arial" w:cs="Arial"/>
          <w:color w:val="000000" w:themeColor="text1"/>
          <w:sz w:val="22"/>
          <w:szCs w:val="22"/>
        </w:rPr>
        <w:t>The green lines indicate the cumulative proportion of phenotypic variation explained by up to 5 principal components.  The blue lines indicate the fraction of variance explained by each component.</w:t>
      </w:r>
    </w:p>
    <w:p w:rsidR="00536ED4" w:rsidRDefault="00536ED4" w:rsidP="00536ED4">
      <w:pPr>
        <w:spacing w:line="480" w:lineRule="auto"/>
        <w:rPr>
          <w:rFonts w:ascii="Arial" w:hAnsi="Arial" w:cs="Arial"/>
          <w:sz w:val="22"/>
        </w:rPr>
      </w:pPr>
      <w:r w:rsidRPr="00DF2806">
        <w:rPr>
          <w:rFonts w:ascii="Arial" w:hAnsi="Arial" w:cs="Arial"/>
          <w:b/>
          <w:bCs/>
          <w:sz w:val="22"/>
          <w:szCs w:val="22"/>
        </w:rPr>
        <w:lastRenderedPageBreak/>
        <w:t>Figure S</w:t>
      </w:r>
      <w:r>
        <w:rPr>
          <w:rFonts w:ascii="Arial" w:hAnsi="Arial" w:cs="Arial"/>
          <w:b/>
          <w:bCs/>
          <w:sz w:val="22"/>
          <w:szCs w:val="22"/>
        </w:rPr>
        <w:t>11</w:t>
      </w:r>
      <w:r w:rsidRPr="00DF2806">
        <w:rPr>
          <w:rFonts w:ascii="Arial" w:hAnsi="Arial" w:cs="Arial"/>
          <w:b/>
          <w:bCs/>
          <w:sz w:val="22"/>
          <w:szCs w:val="22"/>
        </w:rPr>
        <w:t xml:space="preserve">. </w:t>
      </w:r>
      <w:r w:rsidRPr="006B7AB6">
        <w:rPr>
          <w:rFonts w:ascii="Arial" w:hAnsi="Arial" w:cs="Arial"/>
          <w:sz w:val="22"/>
          <w:szCs w:val="22"/>
        </w:rPr>
        <w:t>Temperature response to additional purines and pyrimidines.</w:t>
      </w:r>
      <w:r w:rsidRPr="00DF2806">
        <w:rPr>
          <w:rFonts w:ascii="Arial" w:hAnsi="Arial" w:cs="Arial"/>
          <w:sz w:val="22"/>
          <w:szCs w:val="22"/>
        </w:rPr>
        <w:t xml:space="preserve"> Dose = 0.5 µ</w:t>
      </w:r>
      <w:proofErr w:type="spellStart"/>
      <w:r w:rsidRPr="00DF2806">
        <w:rPr>
          <w:rFonts w:ascii="Arial" w:hAnsi="Arial" w:cs="Arial"/>
          <w:sz w:val="22"/>
          <w:szCs w:val="22"/>
        </w:rPr>
        <w:t>mol</w:t>
      </w:r>
      <w:proofErr w:type="spellEnd"/>
      <w:r w:rsidRPr="00DF2806">
        <w:rPr>
          <w:rFonts w:ascii="Arial" w:hAnsi="Arial" w:cs="Arial"/>
          <w:sz w:val="22"/>
          <w:szCs w:val="22"/>
        </w:rPr>
        <w:t>/g, n = 6 per gr</w:t>
      </w:r>
      <w:r>
        <w:rPr>
          <w:rFonts w:ascii="Arial" w:hAnsi="Arial" w:cs="Arial"/>
          <w:sz w:val="22"/>
        </w:rPr>
        <w:t>oup, 5-6 months old C57Bl/6J males and females.</w:t>
      </w:r>
    </w:p>
    <w:p w:rsidR="00536ED4" w:rsidRPr="008D1941" w:rsidRDefault="00536ED4" w:rsidP="00536ED4">
      <w:pPr>
        <w:spacing w:line="480" w:lineRule="auto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</w:rPr>
        <w:t xml:space="preserve">Figure S12. </w:t>
      </w:r>
      <w:r w:rsidRPr="006B7AB6">
        <w:rPr>
          <w:rFonts w:ascii="Arial" w:hAnsi="Arial" w:cs="Arial"/>
        </w:rPr>
        <w:t>Frequency distributions for metabolite p values.</w:t>
      </w:r>
      <w:r>
        <w:rPr>
          <w:rFonts w:ascii="Arial" w:hAnsi="Arial" w:cs="Arial"/>
          <w:b/>
          <w:bCs/>
        </w:rPr>
        <w:t xml:space="preserve"> A. </w:t>
      </w:r>
      <w:r>
        <w:rPr>
          <w:rFonts w:ascii="Arial" w:hAnsi="Arial" w:cs="Arial"/>
        </w:rPr>
        <w:t xml:space="preserve">30 minutes after ATP injection, </w:t>
      </w:r>
      <w:r>
        <w:rPr>
          <w:rFonts w:ascii="Arial" w:hAnsi="Arial" w:cs="Arial"/>
          <w:b/>
          <w:bCs/>
        </w:rPr>
        <w:t>B.</w:t>
      </w:r>
      <w:r>
        <w:rPr>
          <w:rFonts w:ascii="Arial" w:hAnsi="Arial" w:cs="Arial"/>
        </w:rPr>
        <w:t xml:space="preserve"> 4 hours after ATP injection. N = 7-8 male C57BL/6J mice per group, 12-13 weeks old.  ATP dose = 0.5 µ</w:t>
      </w:r>
      <w:proofErr w:type="spellStart"/>
      <w:r>
        <w:rPr>
          <w:rFonts w:ascii="Arial" w:hAnsi="Arial" w:cs="Arial"/>
        </w:rPr>
        <w:t>mol</w:t>
      </w:r>
      <w:proofErr w:type="spellEnd"/>
      <w:r>
        <w:rPr>
          <w:rFonts w:ascii="Arial" w:hAnsi="Arial" w:cs="Arial"/>
        </w:rPr>
        <w:t>/g IP.</w:t>
      </w:r>
    </w:p>
    <w:p w:rsidR="00536ED4" w:rsidRPr="00E229A7" w:rsidRDefault="00536ED4" w:rsidP="00536ED4">
      <w:pPr>
        <w:spacing w:line="480" w:lineRule="auto"/>
        <w:rPr>
          <w:rFonts w:ascii="Arial" w:hAnsi="Arial" w:cs="Arial"/>
          <w:sz w:val="22"/>
        </w:rPr>
      </w:pPr>
    </w:p>
    <w:p w:rsidR="00536ED4" w:rsidRDefault="00536ED4" w:rsidP="00536ED4">
      <w:pPr>
        <w:spacing w:line="480" w:lineRule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Single Excel file containing:</w:t>
      </w:r>
    </w:p>
    <w:p w:rsidR="00536ED4" w:rsidRPr="002B441F" w:rsidRDefault="00536ED4" w:rsidP="00536ED4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Table S1.</w:t>
      </w:r>
      <w:r>
        <w:rPr>
          <w:rFonts w:ascii="Arial" w:hAnsi="Arial" w:cs="Arial"/>
          <w:sz w:val="22"/>
          <w:szCs w:val="22"/>
        </w:rPr>
        <w:t xml:space="preserve"> Raw metabolomics AUC data</w:t>
      </w:r>
    </w:p>
    <w:p w:rsidR="00536ED4" w:rsidRDefault="00536ED4" w:rsidP="00536ED4">
      <w:pPr>
        <w:spacing w:line="480" w:lineRule="auto"/>
        <w:rPr>
          <w:rFonts w:ascii="Arial" w:hAnsi="Arial" w:cs="Arial"/>
          <w:bCs/>
          <w:sz w:val="22"/>
          <w:szCs w:val="22"/>
        </w:rPr>
      </w:pPr>
      <w:r w:rsidRPr="0078541F">
        <w:rPr>
          <w:rFonts w:ascii="Arial" w:hAnsi="Arial" w:cs="Arial"/>
          <w:b/>
          <w:bCs/>
          <w:sz w:val="22"/>
          <w:szCs w:val="22"/>
        </w:rPr>
        <w:t>Table S</w:t>
      </w:r>
      <w:r>
        <w:rPr>
          <w:rFonts w:ascii="Arial" w:hAnsi="Arial" w:cs="Arial"/>
          <w:b/>
          <w:bCs/>
          <w:sz w:val="22"/>
          <w:szCs w:val="22"/>
        </w:rPr>
        <w:t>2</w:t>
      </w:r>
      <w:r w:rsidRPr="0078541F">
        <w:rPr>
          <w:rFonts w:ascii="Arial" w:hAnsi="Arial" w:cs="Arial"/>
          <w:b/>
          <w:bCs/>
          <w:sz w:val="22"/>
          <w:szCs w:val="22"/>
        </w:rPr>
        <w:t>.</w:t>
      </w:r>
      <w:r w:rsidRPr="0078541F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Statistical Analysis of Metabolomics 30 minutes post-ATP injection</w:t>
      </w:r>
    </w:p>
    <w:p w:rsidR="00536ED4" w:rsidRPr="00391DE1" w:rsidRDefault="00536ED4" w:rsidP="00536ED4">
      <w:pPr>
        <w:spacing w:line="48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Table S3. </w:t>
      </w:r>
      <w:r>
        <w:rPr>
          <w:rFonts w:ascii="Arial" w:hAnsi="Arial" w:cs="Arial"/>
          <w:bCs/>
          <w:sz w:val="22"/>
          <w:szCs w:val="22"/>
        </w:rPr>
        <w:t>Rank order of biochemical pathways changed at 30 minutes</w:t>
      </w:r>
    </w:p>
    <w:p w:rsidR="00536ED4" w:rsidRPr="00323528" w:rsidRDefault="00536ED4" w:rsidP="00536ED4">
      <w:pPr>
        <w:spacing w:line="48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Table S4.</w:t>
      </w:r>
      <w:r>
        <w:rPr>
          <w:rFonts w:ascii="Arial" w:hAnsi="Arial" w:cs="Arial"/>
          <w:bCs/>
          <w:sz w:val="22"/>
          <w:szCs w:val="22"/>
        </w:rPr>
        <w:t xml:space="preserve"> Rank order of metabolite clusters by k-NN analysis—30 minutes after ATP injection</w:t>
      </w:r>
    </w:p>
    <w:p w:rsidR="00536ED4" w:rsidRPr="002B441F" w:rsidRDefault="00536ED4" w:rsidP="00536ED4">
      <w:pPr>
        <w:spacing w:line="48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Table S5. </w:t>
      </w:r>
      <w:r>
        <w:rPr>
          <w:rFonts w:ascii="Arial" w:hAnsi="Arial" w:cs="Arial"/>
          <w:bCs/>
          <w:sz w:val="22"/>
          <w:szCs w:val="22"/>
        </w:rPr>
        <w:t>Top k-NN cluster of metabolites increased at 30 minutes</w:t>
      </w:r>
    </w:p>
    <w:p w:rsidR="00536ED4" w:rsidRPr="002B441F" w:rsidRDefault="00536ED4" w:rsidP="00536ED4">
      <w:pPr>
        <w:spacing w:line="48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Table S6. </w:t>
      </w:r>
      <w:r>
        <w:rPr>
          <w:rFonts w:ascii="Arial" w:hAnsi="Arial" w:cs="Arial"/>
          <w:bCs/>
          <w:sz w:val="22"/>
          <w:szCs w:val="22"/>
        </w:rPr>
        <w:t>Top k-NN cluster of metabolites decreased at 30 minutes</w:t>
      </w:r>
    </w:p>
    <w:p w:rsidR="00536ED4" w:rsidRDefault="00536ED4" w:rsidP="00536ED4">
      <w:pPr>
        <w:spacing w:line="480" w:lineRule="auto"/>
        <w:rPr>
          <w:rFonts w:ascii="Arial" w:hAnsi="Arial" w:cs="Arial"/>
          <w:bCs/>
          <w:sz w:val="22"/>
          <w:szCs w:val="22"/>
        </w:rPr>
      </w:pPr>
      <w:r w:rsidRPr="0078541F">
        <w:rPr>
          <w:rFonts w:ascii="Arial" w:hAnsi="Arial" w:cs="Arial"/>
          <w:b/>
          <w:sz w:val="22"/>
          <w:szCs w:val="22"/>
        </w:rPr>
        <w:t>Table S</w:t>
      </w:r>
      <w:r>
        <w:rPr>
          <w:rFonts w:ascii="Arial" w:hAnsi="Arial" w:cs="Arial"/>
          <w:b/>
          <w:sz w:val="22"/>
          <w:szCs w:val="22"/>
        </w:rPr>
        <w:t>7</w:t>
      </w:r>
      <w:r w:rsidRPr="0078541F">
        <w:rPr>
          <w:rFonts w:ascii="Arial" w:hAnsi="Arial" w:cs="Arial"/>
          <w:b/>
          <w:sz w:val="22"/>
          <w:szCs w:val="22"/>
        </w:rPr>
        <w:t>.</w:t>
      </w:r>
      <w:r>
        <w:rPr>
          <w:rFonts w:ascii="Arial" w:hAnsi="Arial" w:cs="Arial"/>
          <w:bCs/>
          <w:sz w:val="22"/>
          <w:szCs w:val="22"/>
        </w:rPr>
        <w:t xml:space="preserve"> Statistical Analysis of Metabolomics 4 hours post-ATP injection</w:t>
      </w:r>
    </w:p>
    <w:p w:rsidR="00536ED4" w:rsidRDefault="00536ED4" w:rsidP="00536ED4">
      <w:pPr>
        <w:spacing w:line="48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Table S8.</w:t>
      </w:r>
      <w:r>
        <w:rPr>
          <w:rFonts w:ascii="Arial" w:hAnsi="Arial" w:cs="Arial"/>
          <w:bCs/>
          <w:sz w:val="22"/>
          <w:szCs w:val="22"/>
        </w:rPr>
        <w:t xml:space="preserve"> Rank order of biochemical pathways changed at 4 hours</w:t>
      </w:r>
    </w:p>
    <w:p w:rsidR="00536ED4" w:rsidRPr="00145000" w:rsidRDefault="00536ED4" w:rsidP="00536ED4">
      <w:pPr>
        <w:spacing w:line="48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Table S9. </w:t>
      </w:r>
      <w:r>
        <w:rPr>
          <w:rFonts w:ascii="Arial" w:hAnsi="Arial" w:cs="Arial"/>
          <w:bCs/>
          <w:sz w:val="22"/>
          <w:szCs w:val="22"/>
        </w:rPr>
        <w:t>Rank order of metabolite clusters by k-NN analysis—4 hours after ATP injection</w:t>
      </w:r>
    </w:p>
    <w:p w:rsidR="00536ED4" w:rsidRPr="002B441F" w:rsidRDefault="00536ED4" w:rsidP="00536ED4">
      <w:pPr>
        <w:spacing w:line="48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Table S10.</w:t>
      </w:r>
      <w:r>
        <w:rPr>
          <w:rFonts w:ascii="Arial" w:hAnsi="Arial" w:cs="Arial"/>
          <w:bCs/>
          <w:sz w:val="22"/>
          <w:szCs w:val="22"/>
        </w:rPr>
        <w:t xml:space="preserve"> Top k-NN cluster of metabolites increased at 4 hours</w:t>
      </w:r>
    </w:p>
    <w:p w:rsidR="00536ED4" w:rsidRDefault="00536ED4" w:rsidP="00536ED4">
      <w:pPr>
        <w:spacing w:line="48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Table S11. </w:t>
      </w:r>
      <w:r>
        <w:rPr>
          <w:rFonts w:ascii="Arial" w:hAnsi="Arial" w:cs="Arial"/>
          <w:bCs/>
          <w:sz w:val="22"/>
          <w:szCs w:val="22"/>
        </w:rPr>
        <w:t>Top k-NN clusters of metabolites decreased at 4 hours</w:t>
      </w:r>
    </w:p>
    <w:p w:rsidR="00536ED4" w:rsidRPr="003F7385" w:rsidRDefault="00536ED4" w:rsidP="00536ED4">
      <w:pPr>
        <w:spacing w:line="48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Table S12. </w:t>
      </w:r>
      <w:r>
        <w:rPr>
          <w:rFonts w:ascii="Arial" w:hAnsi="Arial" w:cs="Arial"/>
          <w:bCs/>
          <w:sz w:val="22"/>
          <w:szCs w:val="22"/>
        </w:rPr>
        <w:t>Ranking of ATP-responsive metabolites by 3-group ANOVA: saline, 30 min, and 4 h</w:t>
      </w:r>
    </w:p>
    <w:p w:rsidR="00C208A5" w:rsidRDefault="00C208A5"/>
    <w:sectPr w:rsidR="00C208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ED4"/>
    <w:rsid w:val="00536ED4"/>
    <w:rsid w:val="00C20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A76719-C51E-4B0D-831D-57B19EF2F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6ED4"/>
    <w:pPr>
      <w:spacing w:after="0" w:line="240" w:lineRule="auto"/>
    </w:pPr>
    <w:rPr>
      <w:rFonts w:eastAsiaTheme="minorEastAsia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453</Words>
  <Characters>2583</Characters>
  <Application>Microsoft Office Word</Application>
  <DocSecurity>0</DocSecurity>
  <Lines>21</Lines>
  <Paragraphs>6</Paragraphs>
  <ScaleCrop>false</ScaleCrop>
  <Company>Springer Nature</Company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2020-08-31T14:00:00Z</dcterms:created>
  <dcterms:modified xsi:type="dcterms:W3CDTF">2020-08-31T14:00:00Z</dcterms:modified>
</cp:coreProperties>
</file>