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5ECF19" w14:textId="77777777" w:rsidR="00601783" w:rsidRPr="00BB0D03" w:rsidRDefault="00601783" w:rsidP="00601783">
      <w:pPr>
        <w:wordWrap/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BB0D03">
        <w:rPr>
          <w:rFonts w:ascii="Times New Roman" w:hAnsi="Times New Roman" w:cs="Times New Roman"/>
          <w:sz w:val="24"/>
        </w:rPr>
        <w:t xml:space="preserve">Table S1. </w:t>
      </w:r>
      <w:r w:rsidRPr="00BB0D03">
        <w:rPr>
          <w:rFonts w:ascii="Times New Roman" w:hAnsi="Times New Roman" w:cs="Times New Roman"/>
          <w:sz w:val="24"/>
          <w:szCs w:val="28"/>
        </w:rPr>
        <w:t xml:space="preserve">Treatment duration and recurrence in patients with </w:t>
      </w:r>
      <w:r w:rsidRPr="00BB0D03">
        <w:rPr>
          <w:rFonts w:ascii="Times New Roman" w:hAnsi="Times New Roman" w:cs="Times New Roman"/>
          <w:sz w:val="24"/>
        </w:rPr>
        <w:t>pulmonary TB and cavitary lesions or positive cultures at 2 months of treatment</w:t>
      </w:r>
    </w:p>
    <w:tbl>
      <w:tblPr>
        <w:tblStyle w:val="TableGrid"/>
        <w:tblW w:w="0" w:type="auto"/>
        <w:tblLayout w:type="fixed"/>
        <w:tblLook w:val="0600" w:firstRow="0" w:lastRow="0" w:firstColumn="0" w:lastColumn="0" w:noHBand="1" w:noVBand="1"/>
      </w:tblPr>
      <w:tblGrid>
        <w:gridCol w:w="2405"/>
        <w:gridCol w:w="1418"/>
        <w:gridCol w:w="1559"/>
        <w:gridCol w:w="1559"/>
        <w:gridCol w:w="813"/>
        <w:gridCol w:w="1514"/>
        <w:gridCol w:w="1514"/>
        <w:gridCol w:w="1945"/>
        <w:gridCol w:w="960"/>
      </w:tblGrid>
      <w:tr w:rsidR="00601783" w:rsidRPr="00BB0D03" w14:paraId="046B046C" w14:textId="77777777" w:rsidTr="00E672C5">
        <w:tc>
          <w:tcPr>
            <w:tcW w:w="2405" w:type="dxa"/>
            <w:vMerge w:val="restart"/>
            <w:vAlign w:val="center"/>
          </w:tcPr>
          <w:p w14:paraId="393BE4CC" w14:textId="77777777" w:rsidR="00601783" w:rsidRPr="00BB0D03" w:rsidRDefault="00601783" w:rsidP="00E672C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179059785"/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Variables</w:t>
            </w:r>
          </w:p>
        </w:tc>
        <w:tc>
          <w:tcPr>
            <w:tcW w:w="5349" w:type="dxa"/>
            <w:gridSpan w:val="4"/>
            <w:vAlign w:val="center"/>
          </w:tcPr>
          <w:p w14:paraId="49C5438B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All patients</w:t>
            </w:r>
          </w:p>
        </w:tc>
        <w:tc>
          <w:tcPr>
            <w:tcW w:w="5933" w:type="dxa"/>
            <w:gridSpan w:val="4"/>
            <w:vAlign w:val="center"/>
          </w:tcPr>
          <w:p w14:paraId="2FBD18BE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Propensity score-matched patients</w:t>
            </w:r>
          </w:p>
        </w:tc>
      </w:tr>
      <w:bookmarkEnd w:id="0"/>
      <w:tr w:rsidR="00601783" w:rsidRPr="00BB0D03" w14:paraId="71C1637D" w14:textId="77777777" w:rsidTr="00E672C5">
        <w:tc>
          <w:tcPr>
            <w:tcW w:w="2405" w:type="dxa"/>
            <w:vMerge/>
            <w:vAlign w:val="center"/>
          </w:tcPr>
          <w:p w14:paraId="18955D15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3520AACC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BB0D03">
              <w:rPr>
                <w:rFonts w:ascii="Times New Roman" w:hAnsi="Times New Roman" w:cs="Times New Roman"/>
                <w:bCs/>
                <w:sz w:val="24"/>
              </w:rPr>
              <w:t xml:space="preserve">Total, </w:t>
            </w:r>
          </w:p>
          <w:p w14:paraId="4145287B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bCs/>
                <w:sz w:val="24"/>
              </w:rPr>
              <w:t>n = 173</w:t>
            </w:r>
          </w:p>
        </w:tc>
        <w:tc>
          <w:tcPr>
            <w:tcW w:w="1559" w:type="dxa"/>
            <w:vAlign w:val="center"/>
          </w:tcPr>
          <w:p w14:paraId="152EBE65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BB0D03">
              <w:rPr>
                <w:rFonts w:ascii="Times New Roman" w:hAnsi="Times New Roman" w:cs="Times New Roman"/>
                <w:bCs/>
                <w:sz w:val="24"/>
              </w:rPr>
              <w:t xml:space="preserve">Standard, </w:t>
            </w:r>
          </w:p>
          <w:p w14:paraId="3D4AD5A6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bCs/>
                <w:sz w:val="24"/>
              </w:rPr>
              <w:t>n = 65</w:t>
            </w:r>
          </w:p>
        </w:tc>
        <w:tc>
          <w:tcPr>
            <w:tcW w:w="1559" w:type="dxa"/>
            <w:vAlign w:val="center"/>
          </w:tcPr>
          <w:p w14:paraId="7AF31A8A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BB0D03">
              <w:rPr>
                <w:rFonts w:ascii="Times New Roman" w:hAnsi="Times New Roman" w:cs="Times New Roman"/>
                <w:bCs/>
                <w:sz w:val="24"/>
              </w:rPr>
              <w:t xml:space="preserve">Extended, </w:t>
            </w:r>
          </w:p>
          <w:p w14:paraId="5B4E2D26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bCs/>
                <w:sz w:val="24"/>
              </w:rPr>
              <w:t>n = 108</w:t>
            </w:r>
          </w:p>
        </w:tc>
        <w:tc>
          <w:tcPr>
            <w:tcW w:w="813" w:type="dxa"/>
            <w:vAlign w:val="center"/>
          </w:tcPr>
          <w:p w14:paraId="6126DEF3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bCs/>
                <w:sz w:val="24"/>
              </w:rPr>
              <w:t>P value</w:t>
            </w:r>
          </w:p>
        </w:tc>
        <w:tc>
          <w:tcPr>
            <w:tcW w:w="1514" w:type="dxa"/>
            <w:vAlign w:val="center"/>
          </w:tcPr>
          <w:p w14:paraId="2B43E972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BB0D03">
              <w:rPr>
                <w:rFonts w:ascii="Times New Roman" w:hAnsi="Times New Roman" w:cs="Times New Roman"/>
                <w:bCs/>
                <w:sz w:val="24"/>
              </w:rPr>
              <w:t xml:space="preserve">Total, </w:t>
            </w:r>
          </w:p>
          <w:p w14:paraId="675F73BB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bCs/>
                <w:sz w:val="24"/>
              </w:rPr>
              <w:t>n = 86</w:t>
            </w:r>
          </w:p>
        </w:tc>
        <w:tc>
          <w:tcPr>
            <w:tcW w:w="1514" w:type="dxa"/>
            <w:vAlign w:val="center"/>
          </w:tcPr>
          <w:p w14:paraId="53E7CB69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BB0D03">
              <w:rPr>
                <w:rFonts w:ascii="Times New Roman" w:hAnsi="Times New Roman" w:cs="Times New Roman"/>
                <w:bCs/>
                <w:sz w:val="24"/>
              </w:rPr>
              <w:t xml:space="preserve">Standard, </w:t>
            </w:r>
          </w:p>
          <w:p w14:paraId="7E736C5C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bCs/>
                <w:sz w:val="24"/>
              </w:rPr>
              <w:t>n = 43</w:t>
            </w:r>
          </w:p>
        </w:tc>
        <w:tc>
          <w:tcPr>
            <w:tcW w:w="1945" w:type="dxa"/>
            <w:vAlign w:val="center"/>
          </w:tcPr>
          <w:p w14:paraId="2D10F0DF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BB0D03">
              <w:rPr>
                <w:rFonts w:ascii="Times New Roman" w:hAnsi="Times New Roman" w:cs="Times New Roman"/>
                <w:bCs/>
                <w:sz w:val="24"/>
              </w:rPr>
              <w:t xml:space="preserve">Extended, </w:t>
            </w:r>
          </w:p>
          <w:p w14:paraId="7DF560C4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bCs/>
                <w:sz w:val="24"/>
              </w:rPr>
              <w:t>n = 43</w:t>
            </w:r>
          </w:p>
        </w:tc>
        <w:tc>
          <w:tcPr>
            <w:tcW w:w="960" w:type="dxa"/>
            <w:vAlign w:val="center"/>
          </w:tcPr>
          <w:p w14:paraId="498E4387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bCs/>
                <w:sz w:val="24"/>
              </w:rPr>
              <w:t>P value</w:t>
            </w:r>
          </w:p>
        </w:tc>
      </w:tr>
      <w:tr w:rsidR="00601783" w:rsidRPr="00BB0D03" w14:paraId="44D2EB71" w14:textId="77777777" w:rsidTr="00E672C5">
        <w:tc>
          <w:tcPr>
            <w:tcW w:w="2405" w:type="dxa"/>
            <w:vAlign w:val="center"/>
          </w:tcPr>
          <w:p w14:paraId="23129D43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Treatment duration</w:t>
            </w:r>
            <w:r w:rsidRPr="00BB0D03">
              <w:rPr>
                <w:rFonts w:ascii="Times New Roman" w:hAnsi="Times New Roman" w:cs="Times New Roman"/>
                <w:sz w:val="24"/>
              </w:rPr>
              <w:t xml:space="preserve">, </w:t>
            </w: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days</w:t>
            </w:r>
            <w:r w:rsidRPr="00BB0D03">
              <w:rPr>
                <w:rFonts w:ascii="Times New Roman" w:hAnsi="Times New Roman" w:cs="Times New Roman"/>
                <w:sz w:val="24"/>
              </w:rPr>
              <w:t xml:space="preserve"> (</w:t>
            </w: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 w:rsidRPr="00BB0D03">
              <w:rPr>
                <w:rFonts w:ascii="Times New Roman" w:hAnsi="Times New Roman" w:cs="Times New Roman"/>
                <w:sz w:val="24"/>
              </w:rPr>
              <w:t xml:space="preserve"> SD)</w:t>
            </w:r>
          </w:p>
        </w:tc>
        <w:tc>
          <w:tcPr>
            <w:tcW w:w="1418" w:type="dxa"/>
            <w:vAlign w:val="center"/>
          </w:tcPr>
          <w:p w14:paraId="1C27C7B8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253.5 ± 71.8</w:t>
            </w:r>
          </w:p>
        </w:tc>
        <w:tc>
          <w:tcPr>
            <w:tcW w:w="1559" w:type="dxa"/>
            <w:vAlign w:val="center"/>
          </w:tcPr>
          <w:p w14:paraId="3D25900C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182.3 ± 12.9</w:t>
            </w:r>
          </w:p>
        </w:tc>
        <w:tc>
          <w:tcPr>
            <w:tcW w:w="1559" w:type="dxa"/>
            <w:vAlign w:val="center"/>
          </w:tcPr>
          <w:p w14:paraId="6513EAA8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296.4 ± 57.1</w:t>
            </w:r>
          </w:p>
        </w:tc>
        <w:tc>
          <w:tcPr>
            <w:tcW w:w="813" w:type="dxa"/>
            <w:vAlign w:val="center"/>
          </w:tcPr>
          <w:p w14:paraId="481E281D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1514" w:type="dxa"/>
            <w:vAlign w:val="center"/>
          </w:tcPr>
          <w:p w14:paraId="47F5CEC1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236.1 ± 69.7</w:t>
            </w:r>
          </w:p>
        </w:tc>
        <w:tc>
          <w:tcPr>
            <w:tcW w:w="1514" w:type="dxa"/>
            <w:vAlign w:val="center"/>
          </w:tcPr>
          <w:p w14:paraId="3C09A35F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 xml:space="preserve">181.7 ± 13.9 </w:t>
            </w:r>
          </w:p>
        </w:tc>
        <w:tc>
          <w:tcPr>
            <w:tcW w:w="1945" w:type="dxa"/>
            <w:vAlign w:val="center"/>
          </w:tcPr>
          <w:p w14:paraId="58CD4482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290.6 ± 59.7</w:t>
            </w:r>
          </w:p>
        </w:tc>
        <w:tc>
          <w:tcPr>
            <w:tcW w:w="960" w:type="dxa"/>
            <w:vAlign w:val="center"/>
          </w:tcPr>
          <w:p w14:paraId="55CA16A0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601783" w:rsidRPr="00BB0D03" w14:paraId="038F6471" w14:textId="77777777" w:rsidTr="00E672C5">
        <w:tc>
          <w:tcPr>
            <w:tcW w:w="2405" w:type="dxa"/>
            <w:vAlign w:val="center"/>
          </w:tcPr>
          <w:p w14:paraId="6A9F166E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Recurrence, n (%)</w:t>
            </w:r>
          </w:p>
        </w:tc>
        <w:tc>
          <w:tcPr>
            <w:tcW w:w="1418" w:type="dxa"/>
            <w:vAlign w:val="center"/>
          </w:tcPr>
          <w:p w14:paraId="742C65A1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4(2.3)</w:t>
            </w:r>
          </w:p>
        </w:tc>
        <w:tc>
          <w:tcPr>
            <w:tcW w:w="1559" w:type="dxa"/>
            <w:vAlign w:val="center"/>
          </w:tcPr>
          <w:p w14:paraId="6643D25D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2(3.1)</w:t>
            </w:r>
          </w:p>
        </w:tc>
        <w:tc>
          <w:tcPr>
            <w:tcW w:w="1559" w:type="dxa"/>
            <w:vAlign w:val="center"/>
          </w:tcPr>
          <w:p w14:paraId="52EA23CF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2(1.9)</w:t>
            </w:r>
          </w:p>
        </w:tc>
        <w:tc>
          <w:tcPr>
            <w:tcW w:w="813" w:type="dxa"/>
            <w:vAlign w:val="center"/>
          </w:tcPr>
          <w:p w14:paraId="7B6C96DC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1514" w:type="dxa"/>
            <w:vAlign w:val="center"/>
          </w:tcPr>
          <w:p w14:paraId="0FE46DE3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3(3.5)</w:t>
            </w:r>
          </w:p>
        </w:tc>
        <w:tc>
          <w:tcPr>
            <w:tcW w:w="1514" w:type="dxa"/>
            <w:vAlign w:val="center"/>
          </w:tcPr>
          <w:p w14:paraId="49584999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2(4.7)</w:t>
            </w:r>
          </w:p>
        </w:tc>
        <w:tc>
          <w:tcPr>
            <w:tcW w:w="1945" w:type="dxa"/>
            <w:vAlign w:val="center"/>
          </w:tcPr>
          <w:p w14:paraId="5B0C4BE5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1(2.3)</w:t>
            </w:r>
          </w:p>
        </w:tc>
        <w:tc>
          <w:tcPr>
            <w:tcW w:w="960" w:type="dxa"/>
            <w:vAlign w:val="center"/>
          </w:tcPr>
          <w:p w14:paraId="01C87DD1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</w:tr>
    </w:tbl>
    <w:p w14:paraId="2F0CE84B" w14:textId="77777777" w:rsidR="00601783" w:rsidRPr="00BB0D03" w:rsidRDefault="00601783" w:rsidP="00601783">
      <w:pPr>
        <w:rPr>
          <w:rFonts w:ascii="Times New Roman" w:eastAsia="Malgun Gothic" w:hAnsi="Times New Roman" w:cs="Times New Roman"/>
          <w:sz w:val="24"/>
        </w:rPr>
      </w:pPr>
      <w:r w:rsidRPr="00BB0D03">
        <w:rPr>
          <w:rFonts w:ascii="Times New Roman" w:eastAsia="Malgun Gothic" w:hAnsi="Times New Roman" w:cs="Times New Roman"/>
          <w:sz w:val="24"/>
        </w:rPr>
        <w:t>Abbreviation: H, isoniazid; E, ethambutol; R, rifampin; Z, pyrazinadmide; SD, standard deviation; TB, tuberculosis</w:t>
      </w:r>
    </w:p>
    <w:p w14:paraId="1D385A48" w14:textId="77777777" w:rsidR="00601783" w:rsidRPr="00BB0D03" w:rsidRDefault="00601783" w:rsidP="00601783">
      <w:pPr>
        <w:rPr>
          <w:rFonts w:ascii="Times New Roman" w:hAnsi="Times New Roman" w:cs="Times New Roman"/>
          <w:sz w:val="24"/>
        </w:rPr>
      </w:pPr>
      <w:r w:rsidRPr="00BB0D03">
        <w:rPr>
          <w:rFonts w:ascii="Times New Roman" w:eastAsia="Malgun Gothic" w:hAnsi="Times New Roman" w:cs="Times New Roman"/>
          <w:sz w:val="24"/>
        </w:rPr>
        <w:t>￥</w:t>
      </w:r>
      <w:r w:rsidRPr="00BB0D03">
        <w:rPr>
          <w:rFonts w:ascii="Times New Roman" w:eastAsia="Malgun Gothic" w:hAnsi="Times New Roman" w:cs="Times New Roman"/>
          <w:sz w:val="24"/>
        </w:rPr>
        <w:t>n = 2, isoniazid, rifampin, ethambutol, pyrazinamide, and f</w:t>
      </w:r>
      <w:r w:rsidRPr="00BB0D03">
        <w:rPr>
          <w:rFonts w:ascii="Times New Roman" w:hAnsi="Times New Roman" w:cs="Times New Roman"/>
          <w:sz w:val="24"/>
        </w:rPr>
        <w:t>luoroquinolone (n = 1); isoniazid, ethambutol, and fluoroquinolone (n = 1)</w:t>
      </w:r>
    </w:p>
    <w:p w14:paraId="15EC4CF8" w14:textId="77777777" w:rsidR="00601783" w:rsidRPr="00BB0D03" w:rsidRDefault="00601783" w:rsidP="00601783">
      <w:pPr>
        <w:rPr>
          <w:rFonts w:ascii="Times New Roman" w:eastAsia="Malgun Gothic" w:hAnsi="Times New Roman" w:cs="Times New Roman"/>
          <w:sz w:val="24"/>
        </w:rPr>
      </w:pPr>
    </w:p>
    <w:p w14:paraId="255188E5" w14:textId="77777777" w:rsidR="00601783" w:rsidRPr="00BB0D03" w:rsidRDefault="00601783" w:rsidP="00601783">
      <w:pPr>
        <w:wordWrap/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BB0D03">
        <w:rPr>
          <w:rFonts w:ascii="Times New Roman" w:hAnsi="Times New Roman" w:cs="Times New Roman"/>
          <w:b/>
          <w:bCs/>
          <w:sz w:val="24"/>
        </w:rPr>
        <w:br w:type="page"/>
      </w:r>
    </w:p>
    <w:p w14:paraId="43FD7D44" w14:textId="77777777" w:rsidR="00601783" w:rsidRPr="00BB0D03" w:rsidRDefault="00601783" w:rsidP="00601783">
      <w:pPr>
        <w:wordWrap/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BB0D03">
        <w:rPr>
          <w:rFonts w:ascii="Times New Roman" w:hAnsi="Times New Roman" w:cs="Times New Roman"/>
          <w:sz w:val="24"/>
        </w:rPr>
        <w:lastRenderedPageBreak/>
        <w:t xml:space="preserve">Table S2. </w:t>
      </w:r>
      <w:r w:rsidRPr="00BB0D03">
        <w:rPr>
          <w:rFonts w:ascii="Times New Roman" w:hAnsi="Times New Roman" w:cs="Times New Roman"/>
          <w:sz w:val="24"/>
          <w:szCs w:val="28"/>
        </w:rPr>
        <w:t xml:space="preserve">Adverse drug events in patients with </w:t>
      </w:r>
      <w:r w:rsidRPr="00BB0D03">
        <w:rPr>
          <w:rFonts w:ascii="Times New Roman" w:hAnsi="Times New Roman" w:cs="Times New Roman"/>
          <w:sz w:val="24"/>
        </w:rPr>
        <w:t>pulmonary TB and cavitary lesions or positive cultures at 2 months of treatment</w:t>
      </w:r>
    </w:p>
    <w:tbl>
      <w:tblPr>
        <w:tblStyle w:val="TableGrid"/>
        <w:tblW w:w="0" w:type="auto"/>
        <w:tblLook w:val="0600" w:firstRow="0" w:lastRow="0" w:firstColumn="0" w:lastColumn="0" w:noHBand="1" w:noVBand="1"/>
      </w:tblPr>
      <w:tblGrid>
        <w:gridCol w:w="4538"/>
        <w:gridCol w:w="1036"/>
        <w:gridCol w:w="1130"/>
        <w:gridCol w:w="1183"/>
        <w:gridCol w:w="857"/>
        <w:gridCol w:w="1036"/>
        <w:gridCol w:w="1130"/>
        <w:gridCol w:w="1183"/>
        <w:gridCol w:w="857"/>
      </w:tblGrid>
      <w:tr w:rsidR="00601783" w:rsidRPr="00BB0D03" w14:paraId="10DFB656" w14:textId="77777777" w:rsidTr="00E672C5">
        <w:trPr>
          <w:cantSplit/>
        </w:trPr>
        <w:tc>
          <w:tcPr>
            <w:tcW w:w="0" w:type="auto"/>
            <w:vMerge w:val="restart"/>
            <w:vAlign w:val="center"/>
          </w:tcPr>
          <w:p w14:paraId="6EBB6125" w14:textId="77777777" w:rsidR="00601783" w:rsidRPr="00BB0D03" w:rsidRDefault="00601783" w:rsidP="00E672C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Variables</w:t>
            </w:r>
          </w:p>
        </w:tc>
        <w:tc>
          <w:tcPr>
            <w:tcW w:w="0" w:type="auto"/>
            <w:gridSpan w:val="4"/>
            <w:vAlign w:val="center"/>
          </w:tcPr>
          <w:p w14:paraId="258ABCE2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All patients</w:t>
            </w:r>
          </w:p>
        </w:tc>
        <w:tc>
          <w:tcPr>
            <w:tcW w:w="0" w:type="auto"/>
            <w:gridSpan w:val="4"/>
            <w:vAlign w:val="center"/>
          </w:tcPr>
          <w:p w14:paraId="567CE811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Propensity score-matched patients</w:t>
            </w:r>
          </w:p>
        </w:tc>
      </w:tr>
      <w:tr w:rsidR="00601783" w:rsidRPr="00BB0D03" w14:paraId="61AA26C0" w14:textId="77777777" w:rsidTr="00E672C5">
        <w:trPr>
          <w:cantSplit/>
        </w:trPr>
        <w:tc>
          <w:tcPr>
            <w:tcW w:w="0" w:type="auto"/>
            <w:vMerge/>
            <w:vAlign w:val="center"/>
          </w:tcPr>
          <w:p w14:paraId="7162B2C4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2710BE0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BB0D03">
              <w:rPr>
                <w:rFonts w:ascii="Times New Roman" w:hAnsi="Times New Roman" w:cs="Times New Roman"/>
                <w:bCs/>
                <w:sz w:val="24"/>
              </w:rPr>
              <w:t xml:space="preserve">Total, </w:t>
            </w:r>
          </w:p>
          <w:p w14:paraId="75E1882F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bCs/>
                <w:sz w:val="24"/>
              </w:rPr>
              <w:t>n = 173</w:t>
            </w:r>
          </w:p>
        </w:tc>
        <w:tc>
          <w:tcPr>
            <w:tcW w:w="0" w:type="auto"/>
            <w:vAlign w:val="center"/>
          </w:tcPr>
          <w:p w14:paraId="68325DFF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BB0D03">
              <w:rPr>
                <w:rFonts w:ascii="Times New Roman" w:hAnsi="Times New Roman" w:cs="Times New Roman"/>
                <w:bCs/>
                <w:sz w:val="24"/>
              </w:rPr>
              <w:t xml:space="preserve">Standard, </w:t>
            </w:r>
          </w:p>
          <w:p w14:paraId="6F4CE144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bCs/>
                <w:sz w:val="24"/>
              </w:rPr>
              <w:t>n = 65</w:t>
            </w:r>
          </w:p>
        </w:tc>
        <w:tc>
          <w:tcPr>
            <w:tcW w:w="0" w:type="auto"/>
            <w:vAlign w:val="center"/>
          </w:tcPr>
          <w:p w14:paraId="736AE18A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BB0D03">
              <w:rPr>
                <w:rFonts w:ascii="Times New Roman" w:hAnsi="Times New Roman" w:cs="Times New Roman"/>
                <w:bCs/>
                <w:sz w:val="24"/>
              </w:rPr>
              <w:t xml:space="preserve">Extended, </w:t>
            </w:r>
          </w:p>
          <w:p w14:paraId="665B6471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bCs/>
                <w:sz w:val="24"/>
              </w:rPr>
              <w:t>n = 108</w:t>
            </w:r>
          </w:p>
        </w:tc>
        <w:tc>
          <w:tcPr>
            <w:tcW w:w="0" w:type="auto"/>
            <w:vAlign w:val="center"/>
          </w:tcPr>
          <w:p w14:paraId="5B291FE3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bCs/>
                <w:sz w:val="24"/>
              </w:rPr>
              <w:t>P value</w:t>
            </w:r>
          </w:p>
        </w:tc>
        <w:tc>
          <w:tcPr>
            <w:tcW w:w="0" w:type="auto"/>
            <w:vAlign w:val="center"/>
          </w:tcPr>
          <w:p w14:paraId="53B92353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BB0D03">
              <w:rPr>
                <w:rFonts w:ascii="Times New Roman" w:hAnsi="Times New Roman" w:cs="Times New Roman"/>
                <w:bCs/>
                <w:sz w:val="24"/>
              </w:rPr>
              <w:t xml:space="preserve">Total, </w:t>
            </w:r>
          </w:p>
          <w:p w14:paraId="008D1B85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bCs/>
                <w:sz w:val="24"/>
              </w:rPr>
              <w:t>n = 86</w:t>
            </w:r>
          </w:p>
        </w:tc>
        <w:tc>
          <w:tcPr>
            <w:tcW w:w="0" w:type="auto"/>
            <w:vAlign w:val="center"/>
          </w:tcPr>
          <w:p w14:paraId="4065742A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BB0D03">
              <w:rPr>
                <w:rFonts w:ascii="Times New Roman" w:hAnsi="Times New Roman" w:cs="Times New Roman"/>
                <w:bCs/>
                <w:sz w:val="24"/>
              </w:rPr>
              <w:t xml:space="preserve">Standard, </w:t>
            </w:r>
          </w:p>
          <w:p w14:paraId="0F26479A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bCs/>
                <w:sz w:val="24"/>
              </w:rPr>
              <w:t>n = 43</w:t>
            </w:r>
          </w:p>
        </w:tc>
        <w:tc>
          <w:tcPr>
            <w:tcW w:w="0" w:type="auto"/>
            <w:vAlign w:val="center"/>
          </w:tcPr>
          <w:p w14:paraId="4A95A3CE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BB0D03">
              <w:rPr>
                <w:rFonts w:ascii="Times New Roman" w:hAnsi="Times New Roman" w:cs="Times New Roman"/>
                <w:bCs/>
                <w:sz w:val="24"/>
              </w:rPr>
              <w:t xml:space="preserve">Extended, </w:t>
            </w:r>
          </w:p>
          <w:p w14:paraId="69B9ECE7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bCs/>
                <w:sz w:val="24"/>
              </w:rPr>
              <w:t>n = 43</w:t>
            </w:r>
          </w:p>
        </w:tc>
        <w:tc>
          <w:tcPr>
            <w:tcW w:w="0" w:type="auto"/>
            <w:vAlign w:val="center"/>
          </w:tcPr>
          <w:p w14:paraId="1CC2364F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bCs/>
                <w:sz w:val="24"/>
              </w:rPr>
              <w:t>P value</w:t>
            </w:r>
          </w:p>
        </w:tc>
      </w:tr>
      <w:tr w:rsidR="00601783" w:rsidRPr="00BB0D03" w14:paraId="0C78E12E" w14:textId="77777777" w:rsidTr="00E672C5">
        <w:trPr>
          <w:cantSplit/>
        </w:trPr>
        <w:tc>
          <w:tcPr>
            <w:tcW w:w="0" w:type="auto"/>
            <w:vAlign w:val="center"/>
          </w:tcPr>
          <w:p w14:paraId="579D7A7A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Gastrointestinal adverse reaction, n (%)</w:t>
            </w:r>
          </w:p>
        </w:tc>
        <w:tc>
          <w:tcPr>
            <w:tcW w:w="0" w:type="auto"/>
            <w:vAlign w:val="center"/>
          </w:tcPr>
          <w:p w14:paraId="4F707548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69(39.9)</w:t>
            </w:r>
          </w:p>
        </w:tc>
        <w:tc>
          <w:tcPr>
            <w:tcW w:w="0" w:type="auto"/>
            <w:vAlign w:val="center"/>
          </w:tcPr>
          <w:p w14:paraId="285038A1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23(35.4)</w:t>
            </w:r>
          </w:p>
        </w:tc>
        <w:tc>
          <w:tcPr>
            <w:tcW w:w="0" w:type="auto"/>
            <w:vAlign w:val="center"/>
          </w:tcPr>
          <w:p w14:paraId="28993A6D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46(42.6)</w:t>
            </w:r>
          </w:p>
        </w:tc>
        <w:tc>
          <w:tcPr>
            <w:tcW w:w="0" w:type="auto"/>
            <w:vAlign w:val="center"/>
          </w:tcPr>
          <w:p w14:paraId="19633B72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0" w:type="auto"/>
            <w:vAlign w:val="center"/>
          </w:tcPr>
          <w:p w14:paraId="0EEC41B5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38(44.2)</w:t>
            </w:r>
          </w:p>
        </w:tc>
        <w:tc>
          <w:tcPr>
            <w:tcW w:w="0" w:type="auto"/>
            <w:vAlign w:val="center"/>
          </w:tcPr>
          <w:p w14:paraId="18A18690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17(39.5)</w:t>
            </w:r>
          </w:p>
        </w:tc>
        <w:tc>
          <w:tcPr>
            <w:tcW w:w="0" w:type="auto"/>
            <w:vAlign w:val="center"/>
          </w:tcPr>
          <w:p w14:paraId="07B3F292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21(48.8)</w:t>
            </w:r>
          </w:p>
        </w:tc>
        <w:tc>
          <w:tcPr>
            <w:tcW w:w="0" w:type="auto"/>
            <w:vAlign w:val="center"/>
          </w:tcPr>
          <w:p w14:paraId="1D6D7D9E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</w:tr>
      <w:tr w:rsidR="00601783" w:rsidRPr="00BB0D03" w14:paraId="2C754284" w14:textId="77777777" w:rsidTr="00E672C5">
        <w:trPr>
          <w:cantSplit/>
        </w:trPr>
        <w:tc>
          <w:tcPr>
            <w:tcW w:w="0" w:type="auto"/>
            <w:vAlign w:val="center"/>
          </w:tcPr>
          <w:p w14:paraId="14635FD4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Hepatotoxicity, n (%)</w:t>
            </w:r>
          </w:p>
        </w:tc>
        <w:tc>
          <w:tcPr>
            <w:tcW w:w="0" w:type="auto"/>
            <w:vAlign w:val="center"/>
          </w:tcPr>
          <w:p w14:paraId="436011BF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50(28.9)</w:t>
            </w:r>
          </w:p>
        </w:tc>
        <w:tc>
          <w:tcPr>
            <w:tcW w:w="0" w:type="auto"/>
            <w:vAlign w:val="center"/>
          </w:tcPr>
          <w:p w14:paraId="57959C09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20(30.8)</w:t>
            </w:r>
          </w:p>
        </w:tc>
        <w:tc>
          <w:tcPr>
            <w:tcW w:w="0" w:type="auto"/>
            <w:vAlign w:val="center"/>
          </w:tcPr>
          <w:p w14:paraId="218FE255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30(27.8)</w:t>
            </w:r>
          </w:p>
        </w:tc>
        <w:tc>
          <w:tcPr>
            <w:tcW w:w="0" w:type="auto"/>
            <w:vAlign w:val="center"/>
          </w:tcPr>
          <w:p w14:paraId="27EAA149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0" w:type="auto"/>
            <w:vAlign w:val="center"/>
          </w:tcPr>
          <w:p w14:paraId="6F3A2F27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21(24.4)</w:t>
            </w:r>
          </w:p>
        </w:tc>
        <w:tc>
          <w:tcPr>
            <w:tcW w:w="0" w:type="auto"/>
            <w:vAlign w:val="center"/>
          </w:tcPr>
          <w:p w14:paraId="262FEFDE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12(27.9)</w:t>
            </w:r>
          </w:p>
        </w:tc>
        <w:tc>
          <w:tcPr>
            <w:tcW w:w="0" w:type="auto"/>
            <w:vAlign w:val="center"/>
          </w:tcPr>
          <w:p w14:paraId="1811E580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9(20.9)</w:t>
            </w:r>
          </w:p>
        </w:tc>
        <w:tc>
          <w:tcPr>
            <w:tcW w:w="0" w:type="auto"/>
            <w:vAlign w:val="center"/>
          </w:tcPr>
          <w:p w14:paraId="019E2EC7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</w:tr>
      <w:tr w:rsidR="00601783" w:rsidRPr="00BB0D03" w14:paraId="7D7F004B" w14:textId="77777777" w:rsidTr="00E672C5">
        <w:trPr>
          <w:cantSplit/>
        </w:trPr>
        <w:tc>
          <w:tcPr>
            <w:tcW w:w="0" w:type="auto"/>
            <w:vAlign w:val="center"/>
          </w:tcPr>
          <w:p w14:paraId="29857A9A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Cutaneous adverse reaction, n (%)</w:t>
            </w:r>
          </w:p>
        </w:tc>
        <w:tc>
          <w:tcPr>
            <w:tcW w:w="0" w:type="auto"/>
            <w:vAlign w:val="center"/>
          </w:tcPr>
          <w:p w14:paraId="00BD3137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59(34.1)</w:t>
            </w:r>
          </w:p>
        </w:tc>
        <w:tc>
          <w:tcPr>
            <w:tcW w:w="0" w:type="auto"/>
            <w:vAlign w:val="center"/>
          </w:tcPr>
          <w:p w14:paraId="7515BCD8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22(33.8)</w:t>
            </w:r>
          </w:p>
        </w:tc>
        <w:tc>
          <w:tcPr>
            <w:tcW w:w="0" w:type="auto"/>
            <w:vAlign w:val="center"/>
          </w:tcPr>
          <w:p w14:paraId="5DFA92F5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37(34.3)</w:t>
            </w:r>
          </w:p>
        </w:tc>
        <w:tc>
          <w:tcPr>
            <w:tcW w:w="0" w:type="auto"/>
            <w:vAlign w:val="center"/>
          </w:tcPr>
          <w:p w14:paraId="70E49E96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0" w:type="auto"/>
            <w:vAlign w:val="center"/>
          </w:tcPr>
          <w:p w14:paraId="0DA4DBAD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35(40.7)</w:t>
            </w:r>
          </w:p>
        </w:tc>
        <w:tc>
          <w:tcPr>
            <w:tcW w:w="0" w:type="auto"/>
            <w:vAlign w:val="center"/>
          </w:tcPr>
          <w:p w14:paraId="088C4701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17(39.5)</w:t>
            </w:r>
          </w:p>
        </w:tc>
        <w:tc>
          <w:tcPr>
            <w:tcW w:w="0" w:type="auto"/>
            <w:vAlign w:val="center"/>
          </w:tcPr>
          <w:p w14:paraId="088CABF6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18*41.9)</w:t>
            </w:r>
          </w:p>
        </w:tc>
        <w:tc>
          <w:tcPr>
            <w:tcW w:w="0" w:type="auto"/>
            <w:vAlign w:val="center"/>
          </w:tcPr>
          <w:p w14:paraId="17ADB17E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</w:tr>
      <w:tr w:rsidR="00601783" w:rsidRPr="00BB0D03" w14:paraId="5C3C2859" w14:textId="77777777" w:rsidTr="00E672C5">
        <w:trPr>
          <w:cantSplit/>
        </w:trPr>
        <w:tc>
          <w:tcPr>
            <w:tcW w:w="0" w:type="auto"/>
            <w:vAlign w:val="center"/>
          </w:tcPr>
          <w:p w14:paraId="0C3B2F11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Leukopenia</w:t>
            </w:r>
            <w:r w:rsidRPr="00BB0D03">
              <w:rPr>
                <w:rFonts w:ascii="Times New Roman" w:hAnsi="Times New Roman" w:cs="Times New Roman"/>
                <w:sz w:val="24"/>
                <w:vertAlign w:val="superscript"/>
              </w:rPr>
              <w:t>a</w:t>
            </w: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, n (%)</w:t>
            </w:r>
          </w:p>
        </w:tc>
        <w:tc>
          <w:tcPr>
            <w:tcW w:w="0" w:type="auto"/>
            <w:vAlign w:val="center"/>
          </w:tcPr>
          <w:p w14:paraId="55894F5B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14(8.1)</w:t>
            </w:r>
          </w:p>
        </w:tc>
        <w:tc>
          <w:tcPr>
            <w:tcW w:w="0" w:type="auto"/>
            <w:vAlign w:val="center"/>
          </w:tcPr>
          <w:p w14:paraId="0FB62809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3(4.6)</w:t>
            </w:r>
          </w:p>
        </w:tc>
        <w:tc>
          <w:tcPr>
            <w:tcW w:w="0" w:type="auto"/>
            <w:vAlign w:val="center"/>
          </w:tcPr>
          <w:p w14:paraId="5A2A89CE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11(10.2)</w:t>
            </w:r>
          </w:p>
        </w:tc>
        <w:tc>
          <w:tcPr>
            <w:tcW w:w="0" w:type="auto"/>
            <w:vAlign w:val="center"/>
          </w:tcPr>
          <w:p w14:paraId="2CF587F1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0" w:type="auto"/>
            <w:vAlign w:val="center"/>
          </w:tcPr>
          <w:p w14:paraId="626CF5CD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6(7.0)</w:t>
            </w:r>
          </w:p>
        </w:tc>
        <w:tc>
          <w:tcPr>
            <w:tcW w:w="0" w:type="auto"/>
            <w:vAlign w:val="center"/>
          </w:tcPr>
          <w:p w14:paraId="091E9DBB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3(7.0)</w:t>
            </w:r>
          </w:p>
        </w:tc>
        <w:tc>
          <w:tcPr>
            <w:tcW w:w="0" w:type="auto"/>
            <w:vAlign w:val="center"/>
          </w:tcPr>
          <w:p w14:paraId="7695C3C1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3(7.0)</w:t>
            </w:r>
          </w:p>
        </w:tc>
        <w:tc>
          <w:tcPr>
            <w:tcW w:w="0" w:type="auto"/>
            <w:vAlign w:val="center"/>
          </w:tcPr>
          <w:p w14:paraId="6A83C57C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01783" w:rsidRPr="00BB0D03" w14:paraId="10549A6A" w14:textId="77777777" w:rsidTr="00E672C5">
        <w:trPr>
          <w:cantSplit/>
        </w:trPr>
        <w:tc>
          <w:tcPr>
            <w:tcW w:w="0" w:type="auto"/>
            <w:vAlign w:val="center"/>
          </w:tcPr>
          <w:p w14:paraId="0AE4B34E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Neuropathy or arthropathy, n (%)</w:t>
            </w:r>
          </w:p>
        </w:tc>
        <w:tc>
          <w:tcPr>
            <w:tcW w:w="0" w:type="auto"/>
            <w:vAlign w:val="center"/>
          </w:tcPr>
          <w:p w14:paraId="02BF6A11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27(15.6)</w:t>
            </w:r>
          </w:p>
        </w:tc>
        <w:tc>
          <w:tcPr>
            <w:tcW w:w="0" w:type="auto"/>
            <w:vAlign w:val="center"/>
          </w:tcPr>
          <w:p w14:paraId="0454C088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12(18.5)</w:t>
            </w:r>
          </w:p>
        </w:tc>
        <w:tc>
          <w:tcPr>
            <w:tcW w:w="0" w:type="auto"/>
            <w:vAlign w:val="center"/>
          </w:tcPr>
          <w:p w14:paraId="426AD748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15(13.9)</w:t>
            </w:r>
          </w:p>
        </w:tc>
        <w:tc>
          <w:tcPr>
            <w:tcW w:w="0" w:type="auto"/>
            <w:vAlign w:val="center"/>
          </w:tcPr>
          <w:p w14:paraId="17D1C6A2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</w:p>
        </w:tc>
        <w:tc>
          <w:tcPr>
            <w:tcW w:w="0" w:type="auto"/>
            <w:vAlign w:val="center"/>
          </w:tcPr>
          <w:p w14:paraId="65BDE51A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18(20.9)</w:t>
            </w:r>
          </w:p>
        </w:tc>
        <w:tc>
          <w:tcPr>
            <w:tcW w:w="0" w:type="auto"/>
            <w:vAlign w:val="center"/>
          </w:tcPr>
          <w:p w14:paraId="410B15C0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8(18.6)</w:t>
            </w:r>
          </w:p>
        </w:tc>
        <w:tc>
          <w:tcPr>
            <w:tcW w:w="0" w:type="auto"/>
            <w:vAlign w:val="center"/>
          </w:tcPr>
          <w:p w14:paraId="614E3187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10(23.3)</w:t>
            </w:r>
          </w:p>
        </w:tc>
        <w:tc>
          <w:tcPr>
            <w:tcW w:w="0" w:type="auto"/>
            <w:vAlign w:val="center"/>
          </w:tcPr>
          <w:p w14:paraId="0FCEEC86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</w:tr>
      <w:tr w:rsidR="00601783" w:rsidRPr="00BB0D03" w14:paraId="43EE604A" w14:textId="77777777" w:rsidTr="00E672C5">
        <w:trPr>
          <w:cantSplit/>
        </w:trPr>
        <w:tc>
          <w:tcPr>
            <w:tcW w:w="0" w:type="auto"/>
            <w:vAlign w:val="center"/>
          </w:tcPr>
          <w:p w14:paraId="18B47DCC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Generalized weakness, n (%)</w:t>
            </w:r>
          </w:p>
        </w:tc>
        <w:tc>
          <w:tcPr>
            <w:tcW w:w="0" w:type="auto"/>
            <w:vAlign w:val="center"/>
          </w:tcPr>
          <w:p w14:paraId="5F4AB1CE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37(21.4)</w:t>
            </w:r>
          </w:p>
        </w:tc>
        <w:tc>
          <w:tcPr>
            <w:tcW w:w="0" w:type="auto"/>
            <w:vAlign w:val="center"/>
          </w:tcPr>
          <w:p w14:paraId="4F941C9A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17(26.2)</w:t>
            </w:r>
          </w:p>
        </w:tc>
        <w:tc>
          <w:tcPr>
            <w:tcW w:w="0" w:type="auto"/>
            <w:vAlign w:val="center"/>
          </w:tcPr>
          <w:p w14:paraId="001A27F3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20(18.5)</w:t>
            </w:r>
          </w:p>
        </w:tc>
        <w:tc>
          <w:tcPr>
            <w:tcW w:w="0" w:type="auto"/>
            <w:vAlign w:val="center"/>
          </w:tcPr>
          <w:p w14:paraId="067B4D41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0" w:type="auto"/>
            <w:vAlign w:val="center"/>
          </w:tcPr>
          <w:p w14:paraId="434F5E07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21(24.4)</w:t>
            </w:r>
          </w:p>
        </w:tc>
        <w:tc>
          <w:tcPr>
            <w:tcW w:w="0" w:type="auto"/>
            <w:vAlign w:val="center"/>
          </w:tcPr>
          <w:p w14:paraId="56D70938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12(27.9)</w:t>
            </w:r>
          </w:p>
        </w:tc>
        <w:tc>
          <w:tcPr>
            <w:tcW w:w="0" w:type="auto"/>
            <w:vAlign w:val="center"/>
          </w:tcPr>
          <w:p w14:paraId="128998C4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9(20.9)</w:t>
            </w:r>
          </w:p>
        </w:tc>
        <w:tc>
          <w:tcPr>
            <w:tcW w:w="0" w:type="auto"/>
            <w:vAlign w:val="center"/>
          </w:tcPr>
          <w:p w14:paraId="43B64E80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</w:tr>
      <w:tr w:rsidR="00601783" w:rsidRPr="00BB0D03" w14:paraId="22FD1BFE" w14:textId="77777777" w:rsidTr="00E672C5">
        <w:trPr>
          <w:cantSplit/>
        </w:trPr>
        <w:tc>
          <w:tcPr>
            <w:tcW w:w="0" w:type="auto"/>
            <w:vAlign w:val="center"/>
          </w:tcPr>
          <w:p w14:paraId="2AF0BDEB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Ototoxicity, n (%)</w:t>
            </w:r>
          </w:p>
        </w:tc>
        <w:tc>
          <w:tcPr>
            <w:tcW w:w="0" w:type="auto"/>
            <w:vAlign w:val="center"/>
          </w:tcPr>
          <w:p w14:paraId="70B29B56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11(6.4)</w:t>
            </w:r>
          </w:p>
        </w:tc>
        <w:tc>
          <w:tcPr>
            <w:tcW w:w="0" w:type="auto"/>
            <w:vAlign w:val="center"/>
          </w:tcPr>
          <w:p w14:paraId="0EFE3093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4(6.2)</w:t>
            </w:r>
          </w:p>
        </w:tc>
        <w:tc>
          <w:tcPr>
            <w:tcW w:w="0" w:type="auto"/>
            <w:vAlign w:val="center"/>
          </w:tcPr>
          <w:p w14:paraId="489A3478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7(6.5)</w:t>
            </w:r>
          </w:p>
        </w:tc>
        <w:tc>
          <w:tcPr>
            <w:tcW w:w="0" w:type="auto"/>
            <w:vAlign w:val="center"/>
          </w:tcPr>
          <w:p w14:paraId="5EDBBADB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0" w:type="auto"/>
            <w:vAlign w:val="center"/>
          </w:tcPr>
          <w:p w14:paraId="2E9C468A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4(4.7)</w:t>
            </w:r>
          </w:p>
        </w:tc>
        <w:tc>
          <w:tcPr>
            <w:tcW w:w="0" w:type="auto"/>
            <w:vAlign w:val="center"/>
          </w:tcPr>
          <w:p w14:paraId="3C4AF3F3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1(2.3)</w:t>
            </w:r>
          </w:p>
        </w:tc>
        <w:tc>
          <w:tcPr>
            <w:tcW w:w="0" w:type="auto"/>
            <w:vAlign w:val="center"/>
          </w:tcPr>
          <w:p w14:paraId="227D869F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3(7.0)</w:t>
            </w:r>
          </w:p>
        </w:tc>
        <w:tc>
          <w:tcPr>
            <w:tcW w:w="0" w:type="auto"/>
            <w:vAlign w:val="center"/>
          </w:tcPr>
          <w:p w14:paraId="44A25754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</w:tr>
      <w:tr w:rsidR="00601783" w:rsidRPr="00BB0D03" w14:paraId="17C435FB" w14:textId="77777777" w:rsidTr="00E672C5">
        <w:trPr>
          <w:cantSplit/>
        </w:trPr>
        <w:tc>
          <w:tcPr>
            <w:tcW w:w="0" w:type="auto"/>
            <w:vAlign w:val="center"/>
          </w:tcPr>
          <w:p w14:paraId="63279705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Nephrotoxicity, n (%)</w:t>
            </w:r>
          </w:p>
        </w:tc>
        <w:tc>
          <w:tcPr>
            <w:tcW w:w="0" w:type="auto"/>
            <w:vAlign w:val="center"/>
          </w:tcPr>
          <w:p w14:paraId="00D97A0E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5(2.9)</w:t>
            </w:r>
          </w:p>
        </w:tc>
        <w:tc>
          <w:tcPr>
            <w:tcW w:w="0" w:type="auto"/>
            <w:vAlign w:val="center"/>
          </w:tcPr>
          <w:p w14:paraId="322C1965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3(4.6)</w:t>
            </w:r>
          </w:p>
        </w:tc>
        <w:tc>
          <w:tcPr>
            <w:tcW w:w="0" w:type="auto"/>
            <w:vAlign w:val="center"/>
          </w:tcPr>
          <w:p w14:paraId="60D6F4E8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2(1.9)</w:t>
            </w:r>
          </w:p>
        </w:tc>
        <w:tc>
          <w:tcPr>
            <w:tcW w:w="0" w:type="auto"/>
            <w:vAlign w:val="center"/>
          </w:tcPr>
          <w:p w14:paraId="317E5CFC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0" w:type="auto"/>
            <w:vAlign w:val="center"/>
          </w:tcPr>
          <w:p w14:paraId="57C1F288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2(2.3)</w:t>
            </w:r>
          </w:p>
        </w:tc>
        <w:tc>
          <w:tcPr>
            <w:tcW w:w="0" w:type="auto"/>
            <w:vAlign w:val="center"/>
          </w:tcPr>
          <w:p w14:paraId="46823415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1(2.3)</w:t>
            </w:r>
          </w:p>
        </w:tc>
        <w:tc>
          <w:tcPr>
            <w:tcW w:w="0" w:type="auto"/>
            <w:vAlign w:val="center"/>
          </w:tcPr>
          <w:p w14:paraId="0C14D9F5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1(2.3)</w:t>
            </w:r>
          </w:p>
        </w:tc>
        <w:tc>
          <w:tcPr>
            <w:tcW w:w="0" w:type="auto"/>
            <w:vAlign w:val="center"/>
          </w:tcPr>
          <w:p w14:paraId="16FA34B1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01783" w:rsidRPr="00BB0D03" w14:paraId="487FC1B9" w14:textId="77777777" w:rsidTr="00E672C5">
        <w:trPr>
          <w:cantSplit/>
        </w:trPr>
        <w:tc>
          <w:tcPr>
            <w:tcW w:w="0" w:type="auto"/>
            <w:vAlign w:val="center"/>
          </w:tcPr>
          <w:p w14:paraId="5D57A331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Infection, n (%)</w:t>
            </w:r>
          </w:p>
        </w:tc>
        <w:tc>
          <w:tcPr>
            <w:tcW w:w="0" w:type="auto"/>
            <w:vAlign w:val="center"/>
          </w:tcPr>
          <w:p w14:paraId="061C73CF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10(5.8)</w:t>
            </w:r>
          </w:p>
        </w:tc>
        <w:tc>
          <w:tcPr>
            <w:tcW w:w="0" w:type="auto"/>
            <w:vAlign w:val="center"/>
          </w:tcPr>
          <w:p w14:paraId="0C9379FC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4(6.2)</w:t>
            </w:r>
          </w:p>
        </w:tc>
        <w:tc>
          <w:tcPr>
            <w:tcW w:w="0" w:type="auto"/>
            <w:vAlign w:val="center"/>
          </w:tcPr>
          <w:p w14:paraId="10BB6B5A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6(5.6)</w:t>
            </w:r>
          </w:p>
        </w:tc>
        <w:tc>
          <w:tcPr>
            <w:tcW w:w="0" w:type="auto"/>
            <w:vAlign w:val="center"/>
          </w:tcPr>
          <w:p w14:paraId="01121505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0" w:type="auto"/>
            <w:vAlign w:val="center"/>
          </w:tcPr>
          <w:p w14:paraId="2DBD1292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6(7.0)</w:t>
            </w:r>
          </w:p>
        </w:tc>
        <w:tc>
          <w:tcPr>
            <w:tcW w:w="0" w:type="auto"/>
            <w:vAlign w:val="center"/>
          </w:tcPr>
          <w:p w14:paraId="497E35E5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3(7.0)</w:t>
            </w:r>
          </w:p>
        </w:tc>
        <w:tc>
          <w:tcPr>
            <w:tcW w:w="0" w:type="auto"/>
            <w:vAlign w:val="center"/>
          </w:tcPr>
          <w:p w14:paraId="09E662C8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3(7.0)</w:t>
            </w:r>
          </w:p>
        </w:tc>
        <w:tc>
          <w:tcPr>
            <w:tcW w:w="0" w:type="auto"/>
            <w:vAlign w:val="center"/>
          </w:tcPr>
          <w:p w14:paraId="66684083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01783" w:rsidRPr="00BB0D03" w14:paraId="2019C979" w14:textId="77777777" w:rsidTr="00E672C5">
        <w:trPr>
          <w:cantSplit/>
        </w:trPr>
        <w:tc>
          <w:tcPr>
            <w:tcW w:w="0" w:type="auto"/>
            <w:vAlign w:val="center"/>
          </w:tcPr>
          <w:p w14:paraId="6837B1C4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Medication interruption owing to adverse drug events, n (%)</w:t>
            </w:r>
          </w:p>
        </w:tc>
        <w:tc>
          <w:tcPr>
            <w:tcW w:w="0" w:type="auto"/>
            <w:vAlign w:val="center"/>
          </w:tcPr>
          <w:p w14:paraId="3BABAB0F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10(5.8)</w:t>
            </w:r>
          </w:p>
        </w:tc>
        <w:tc>
          <w:tcPr>
            <w:tcW w:w="0" w:type="auto"/>
            <w:vAlign w:val="center"/>
          </w:tcPr>
          <w:p w14:paraId="43CE25C8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1(1.5)</w:t>
            </w:r>
          </w:p>
        </w:tc>
        <w:tc>
          <w:tcPr>
            <w:tcW w:w="0" w:type="auto"/>
            <w:vAlign w:val="center"/>
          </w:tcPr>
          <w:p w14:paraId="568C407F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9(8.3)</w:t>
            </w:r>
          </w:p>
        </w:tc>
        <w:tc>
          <w:tcPr>
            <w:tcW w:w="0" w:type="auto"/>
            <w:vAlign w:val="center"/>
          </w:tcPr>
          <w:p w14:paraId="5D9335FB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0" w:type="auto"/>
            <w:vAlign w:val="center"/>
          </w:tcPr>
          <w:p w14:paraId="738AC2F6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3(3.5)</w:t>
            </w:r>
          </w:p>
        </w:tc>
        <w:tc>
          <w:tcPr>
            <w:tcW w:w="0" w:type="auto"/>
            <w:vAlign w:val="center"/>
          </w:tcPr>
          <w:p w14:paraId="2D663CF9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0(0.0)</w:t>
            </w:r>
          </w:p>
        </w:tc>
        <w:tc>
          <w:tcPr>
            <w:tcW w:w="0" w:type="auto"/>
            <w:vAlign w:val="center"/>
          </w:tcPr>
          <w:p w14:paraId="463DDB9F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3(7.0)</w:t>
            </w:r>
          </w:p>
        </w:tc>
        <w:tc>
          <w:tcPr>
            <w:tcW w:w="0" w:type="auto"/>
            <w:vAlign w:val="center"/>
          </w:tcPr>
          <w:p w14:paraId="4E1F4152" w14:textId="77777777" w:rsidR="00601783" w:rsidRPr="00BB0D03" w:rsidRDefault="00601783" w:rsidP="00E672C5">
            <w:pPr>
              <w:wordWrap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B0D03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</w:tr>
    </w:tbl>
    <w:p w14:paraId="1852E2E7" w14:textId="77777777" w:rsidR="00601783" w:rsidRPr="00BB0D03" w:rsidRDefault="00601783" w:rsidP="00601783">
      <w:pPr>
        <w:widowControl/>
        <w:wordWrap/>
        <w:autoSpaceDE/>
        <w:autoSpaceDN/>
        <w:rPr>
          <w:rFonts w:ascii="Times New Roman" w:hAnsi="Times New Roman" w:cs="Times New Roman"/>
          <w:sz w:val="24"/>
        </w:rPr>
      </w:pPr>
      <w:r w:rsidRPr="00BB0D03">
        <w:rPr>
          <w:rFonts w:ascii="Times New Roman" w:hAnsi="Times New Roman" w:cs="Times New Roman"/>
          <w:sz w:val="24"/>
        </w:rPr>
        <w:t>Abbreviation: TB, tuberculosis</w:t>
      </w:r>
    </w:p>
    <w:p w14:paraId="3ED77762" w14:textId="77777777" w:rsidR="00601783" w:rsidRPr="00BB0D03" w:rsidRDefault="00601783" w:rsidP="00601783">
      <w:pPr>
        <w:widowControl/>
        <w:wordWrap/>
        <w:autoSpaceDE/>
        <w:autoSpaceDN/>
        <w:rPr>
          <w:rFonts w:ascii="Times New Roman" w:hAnsi="Times New Roman" w:cs="Times New Roman"/>
          <w:bCs/>
          <w:szCs w:val="22"/>
        </w:rPr>
      </w:pPr>
      <w:r w:rsidRPr="00BB0D03">
        <w:rPr>
          <w:rFonts w:ascii="Times New Roman" w:hAnsi="Times New Roman" w:cs="Times New Roman"/>
          <w:sz w:val="24"/>
        </w:rPr>
        <w:t xml:space="preserve">a: </w:t>
      </w:r>
      <w:r w:rsidRPr="00BB0D03">
        <w:rPr>
          <w:rFonts w:ascii="Times New Roman" w:hAnsi="Times New Roman" w:cs="Times New Roman"/>
          <w:bCs/>
          <w:szCs w:val="22"/>
        </w:rPr>
        <w:t>low white blood cell count, below 4,000 cells/µL</w:t>
      </w:r>
    </w:p>
    <w:p w14:paraId="6B0BBEAB" w14:textId="77777777" w:rsidR="00601783" w:rsidRPr="00BB0D03" w:rsidRDefault="00601783" w:rsidP="00601783">
      <w:pPr>
        <w:wordWrap/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427CFA6B" w14:textId="77777777" w:rsidR="00755780" w:rsidRDefault="00755780"/>
    <w:sectPr w:rsidR="00755780" w:rsidSect="0060178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783"/>
    <w:rsid w:val="00331A6B"/>
    <w:rsid w:val="004B509C"/>
    <w:rsid w:val="00601783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5AB302"/>
  <w15:chartTrackingRefBased/>
  <w15:docId w15:val="{64021272-635B-4344-B5EB-C66129A2A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83"/>
    <w:pPr>
      <w:widowControl w:val="0"/>
      <w:wordWrap w:val="0"/>
      <w:autoSpaceDE w:val="0"/>
      <w:autoSpaceDN w:val="0"/>
      <w:spacing w:line="240" w:lineRule="auto"/>
    </w:pPr>
    <w:rPr>
      <w:rFonts w:asciiTheme="minorEastAsia" w:eastAsiaTheme="minorEastAsia"/>
      <w:sz w:val="22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01783"/>
    <w:pPr>
      <w:keepNext/>
      <w:keepLines/>
      <w:widowControl/>
      <w:wordWrap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1783"/>
    <w:pPr>
      <w:keepNext/>
      <w:keepLines/>
      <w:widowControl/>
      <w:wordWrap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1783"/>
    <w:pPr>
      <w:keepNext/>
      <w:keepLines/>
      <w:widowControl/>
      <w:wordWrap/>
      <w:autoSpaceDE/>
      <w:autoSpaceDN/>
      <w:spacing w:before="160" w:after="80" w:line="278" w:lineRule="auto"/>
      <w:outlineLvl w:val="2"/>
    </w:pPr>
    <w:rPr>
      <w:rFonts w:asciiTheme="minorHAnsi"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1783"/>
    <w:pPr>
      <w:keepNext/>
      <w:keepLines/>
      <w:widowControl/>
      <w:wordWrap/>
      <w:autoSpaceDE/>
      <w:autoSpaceDN/>
      <w:spacing w:before="80" w:after="40" w:line="278" w:lineRule="auto"/>
      <w:outlineLvl w:val="3"/>
    </w:pPr>
    <w:rPr>
      <w:rFonts w:asciiTheme="minorHAnsi"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1783"/>
    <w:pPr>
      <w:keepNext/>
      <w:keepLines/>
      <w:widowControl/>
      <w:wordWrap/>
      <w:autoSpaceDE/>
      <w:autoSpaceDN/>
      <w:spacing w:before="80" w:after="40" w:line="278" w:lineRule="auto"/>
      <w:outlineLvl w:val="4"/>
    </w:pPr>
    <w:rPr>
      <w:rFonts w:asciiTheme="minorHAnsi"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1783"/>
    <w:pPr>
      <w:keepNext/>
      <w:keepLines/>
      <w:widowControl/>
      <w:wordWrap/>
      <w:autoSpaceDE/>
      <w:autoSpaceDN/>
      <w:spacing w:before="40" w:after="0" w:line="278" w:lineRule="auto"/>
      <w:outlineLvl w:val="5"/>
    </w:pPr>
    <w:rPr>
      <w:rFonts w:asciiTheme="minorHAnsi"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1783"/>
    <w:pPr>
      <w:keepNext/>
      <w:keepLines/>
      <w:widowControl/>
      <w:wordWrap/>
      <w:autoSpaceDE/>
      <w:autoSpaceDN/>
      <w:spacing w:before="40" w:after="0" w:line="278" w:lineRule="auto"/>
      <w:outlineLvl w:val="6"/>
    </w:pPr>
    <w:rPr>
      <w:rFonts w:asciiTheme="minorHAnsi"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1783"/>
    <w:pPr>
      <w:keepNext/>
      <w:keepLines/>
      <w:widowControl/>
      <w:wordWrap/>
      <w:autoSpaceDE/>
      <w:autoSpaceDN/>
      <w:spacing w:after="0" w:line="278" w:lineRule="auto"/>
      <w:outlineLvl w:val="7"/>
    </w:pPr>
    <w:rPr>
      <w:rFonts w:asciiTheme="minorHAnsi"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1783"/>
    <w:pPr>
      <w:keepNext/>
      <w:keepLines/>
      <w:widowControl/>
      <w:wordWrap/>
      <w:autoSpaceDE/>
      <w:autoSpaceDN/>
      <w:spacing w:after="0" w:line="278" w:lineRule="auto"/>
      <w:outlineLvl w:val="8"/>
    </w:pPr>
    <w:rPr>
      <w:rFonts w:asciiTheme="minorHAnsi"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17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17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17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17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17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17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17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17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17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1783"/>
    <w:pPr>
      <w:widowControl/>
      <w:wordWrap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017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1783"/>
    <w:pPr>
      <w:widowControl/>
      <w:numPr>
        <w:ilvl w:val="1"/>
      </w:numPr>
      <w:wordWrap/>
      <w:autoSpaceDE/>
      <w:autoSpaceDN/>
      <w:spacing w:line="278" w:lineRule="auto"/>
    </w:pPr>
    <w:rPr>
      <w:rFonts w:asciiTheme="minorHAnsi"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017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1783"/>
    <w:pPr>
      <w:widowControl/>
      <w:wordWrap/>
      <w:autoSpaceDE/>
      <w:autoSpaceDN/>
      <w:spacing w:before="160" w:line="278" w:lineRule="auto"/>
      <w:jc w:val="center"/>
    </w:pPr>
    <w:rPr>
      <w:rFonts w:asciiTheme="minorHAnsi"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017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1783"/>
    <w:pPr>
      <w:widowControl/>
      <w:wordWrap/>
      <w:autoSpaceDE/>
      <w:autoSpaceDN/>
      <w:spacing w:line="278" w:lineRule="auto"/>
      <w:ind w:left="720"/>
      <w:contextualSpacing/>
    </w:pPr>
    <w:rPr>
      <w:rFonts w:asciiTheme="minorHAnsi"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017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178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17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178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01783"/>
    <w:pPr>
      <w:spacing w:after="0" w:line="240" w:lineRule="auto"/>
      <w:jc w:val="both"/>
    </w:pPr>
    <w:rPr>
      <w:rFonts w:eastAsiaTheme="minorEastAsia"/>
      <w:sz w:val="20"/>
      <w:szCs w:val="22"/>
      <w:lang w:eastAsia="ko-K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305</Words>
  <Characters>1744</Characters>
  <Application>Microsoft Office Word</Application>
  <DocSecurity>0</DocSecurity>
  <Lines>14</Lines>
  <Paragraphs>4</Paragraphs>
  <ScaleCrop>false</ScaleCrop>
  <Company>Springer Nature</Company>
  <LinksUpToDate>false</LinksUpToDate>
  <CharactersWithSpaces>2045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2025-04-25T09:08:00Z</dcterms:created>
  <dcterms:modified xsi:type="dcterms:W3CDTF">2025-04-25T09:08:00Z</dcterms:modified>
</cp:coreProperties>
</file>