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31440" w14:textId="167C8921" w:rsidR="00A64DB4" w:rsidRPr="00A64DB4" w:rsidRDefault="00A64DB4" w:rsidP="00A64DB4">
      <w:pPr>
        <w:spacing w:line="360" w:lineRule="auto"/>
        <w:rPr>
          <w:rFonts w:ascii="Times New Roman" w:hAnsi="Times New Roman" w:cs="Times New Roman"/>
          <w:b/>
          <w:bCs/>
          <w:lang w:val="en-GB"/>
        </w:rPr>
      </w:pPr>
      <w:r w:rsidRPr="00A64DB4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Supplementary Material </w:t>
      </w: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br/>
      </w:r>
      <w:r w:rsidRPr="00A64DB4">
        <w:rPr>
          <w:rFonts w:ascii="Times New Roman" w:hAnsi="Times New Roman" w:cs="Times New Roman"/>
          <w:b/>
          <w:bCs/>
          <w:lang w:val="en-GB"/>
        </w:rPr>
        <w:t>Is everything wrong in analytical chemistry? A study on reproducibility</w:t>
      </w:r>
    </w:p>
    <w:p w14:paraId="31D16F95" w14:textId="7C301142" w:rsidR="00616C96" w:rsidRDefault="00A64DB4" w:rsidP="00616C96">
      <w:pPr>
        <w:spacing w:line="360" w:lineRule="auto"/>
        <w:rPr>
          <w:noProof/>
          <w:lang w:val="en-GB"/>
        </w:rPr>
      </w:pPr>
      <w:r>
        <w:rPr>
          <w:rFonts w:ascii="Times New Roman" w:hAnsi="Times New Roman" w:cs="Times New Roman"/>
          <w:lang w:val="en-GB"/>
        </w:rPr>
        <w:br/>
      </w:r>
      <w:r w:rsidR="00616C96" w:rsidRPr="00616C96">
        <w:rPr>
          <w:rFonts w:ascii="Times New Roman" w:hAnsi="Times New Roman" w:cs="Times New Roman"/>
          <w:lang w:val="en-GB"/>
        </w:rPr>
        <w:t>Analytical Quality Assurance Cycle</w:t>
      </w:r>
      <w:r w:rsidR="00051CC9">
        <w:rPr>
          <w:rFonts w:ascii="Times New Roman" w:hAnsi="Times New Roman" w:cs="Times New Roman"/>
          <w:lang w:val="en-GB"/>
        </w:rPr>
        <w:t xml:space="preserve"> (AQAC)</w:t>
      </w:r>
      <w:r w:rsidR="00616C96" w:rsidRPr="00616C96">
        <w:rPr>
          <w:rFonts w:ascii="Times New Roman" w:hAnsi="Times New Roman" w:cs="Times New Roman"/>
          <w:lang w:val="en-GB"/>
        </w:rPr>
        <w:t>.</w:t>
      </w:r>
      <w:r w:rsidR="00616C96" w:rsidRPr="00616C96">
        <w:rPr>
          <w:noProof/>
          <w:lang w:val="en-GB"/>
        </w:rPr>
        <w:t xml:space="preserve"> </w:t>
      </w:r>
      <w:r w:rsidR="00616C96">
        <w:rPr>
          <w:noProof/>
          <w:lang w:val="en-GB"/>
        </w:rPr>
        <w:drawing>
          <wp:inline distT="0" distB="0" distL="0" distR="0" wp14:anchorId="0F8F0E35" wp14:editId="3A962598">
            <wp:extent cx="5735475" cy="3285460"/>
            <wp:effectExtent l="0" t="0" r="0" b="0"/>
            <wp:docPr id="5442002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20027" name="Imagem 5442002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881" cy="329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B73E7" w14:textId="734C18F9" w:rsidR="00616C96" w:rsidRDefault="00051CC9" w:rsidP="00051CC9">
      <w:pPr>
        <w:spacing w:line="240" w:lineRule="auto"/>
        <w:rPr>
          <w:rFonts w:ascii="Times New Roman" w:hAnsi="Times New Roman" w:cs="Times New Roman"/>
          <w:noProof/>
          <w:sz w:val="20"/>
          <w:szCs w:val="20"/>
          <w:lang w:val="en-GB"/>
        </w:rPr>
      </w:pPr>
      <w:r w:rsidRPr="00051CC9">
        <w:rPr>
          <w:rFonts w:ascii="Times New Roman" w:hAnsi="Times New Roman" w:cs="Times New Roman"/>
          <w:noProof/>
          <w:sz w:val="20"/>
          <w:szCs w:val="20"/>
          <w:lang w:val="en-GB"/>
        </w:rPr>
        <w:t xml:space="preserve">Olivares IRB, Lopes FA (2012) Essential steps to providing reliable results using the Analytical Quality Assurance Cycle. TrAC Trends Anal Chem 35:109–121. </w:t>
      </w:r>
      <w:hyperlink r:id="rId5" w:history="1">
        <w:r w:rsidRPr="00A675BE">
          <w:rPr>
            <w:rStyle w:val="Hyperlink"/>
            <w:rFonts w:ascii="Times New Roman" w:hAnsi="Times New Roman" w:cs="Times New Roman"/>
            <w:noProof/>
            <w:sz w:val="20"/>
            <w:szCs w:val="20"/>
            <w:lang w:val="en-GB"/>
          </w:rPr>
          <w:t>https://doi.org/10.1016/j.trac.2012.01.004</w:t>
        </w:r>
      </w:hyperlink>
    </w:p>
    <w:p w14:paraId="4BC5165C" w14:textId="77777777" w:rsidR="00051CC9" w:rsidRPr="00051CC9" w:rsidRDefault="00051CC9" w:rsidP="00051CC9">
      <w:pPr>
        <w:spacing w:line="240" w:lineRule="auto"/>
        <w:rPr>
          <w:rFonts w:ascii="Times New Roman" w:hAnsi="Times New Roman" w:cs="Times New Roman"/>
          <w:noProof/>
          <w:sz w:val="20"/>
          <w:szCs w:val="20"/>
          <w:lang w:val="en-GB"/>
        </w:rPr>
      </w:pPr>
    </w:p>
    <w:p w14:paraId="14FB6844" w14:textId="44258D0E" w:rsidR="00616C96" w:rsidRPr="00051CC9" w:rsidRDefault="00616C96" w:rsidP="00051C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51CC9">
        <w:rPr>
          <w:rFonts w:ascii="Times New Roman" w:hAnsi="Times New Roman" w:cs="Times New Roman"/>
          <w:sz w:val="20"/>
          <w:szCs w:val="20"/>
          <w:lang w:val="en-GB"/>
        </w:rPr>
        <w:t xml:space="preserve">Simple and efficient diagrams are generally used in quality management (e.g., PDCA and Ishikawa’s Fishbone Diagrams). A diagram (e.g., the AQAC proposed) is a way of relating concepts that can be used to implement properly the main quality concepts in a laboratory for analytical chemistries. It is important to emphasize that these concepts are </w:t>
      </w:r>
      <w:r w:rsidR="009E6BAF" w:rsidRPr="00051CC9">
        <w:rPr>
          <w:rFonts w:ascii="Times New Roman" w:hAnsi="Times New Roman" w:cs="Times New Roman"/>
          <w:sz w:val="20"/>
          <w:szCs w:val="20"/>
          <w:lang w:val="en-GB"/>
        </w:rPr>
        <w:t>interdependent,</w:t>
      </w:r>
      <w:r w:rsidRPr="00051CC9">
        <w:rPr>
          <w:rFonts w:ascii="Times New Roman" w:hAnsi="Times New Roman" w:cs="Times New Roman"/>
          <w:sz w:val="20"/>
          <w:szCs w:val="20"/>
          <w:lang w:val="en-GB"/>
        </w:rPr>
        <w:t xml:space="preserve"> and it is necessary to know the relationship between them. Otherwise, an inappropriate application of a quality concept, shown in the AQAC, can damage all the other concepts applied.</w:t>
      </w:r>
    </w:p>
    <w:p w14:paraId="0BDBC2E3" w14:textId="2422E847" w:rsidR="00616C96" w:rsidRPr="00051CC9" w:rsidRDefault="00616C96" w:rsidP="00051C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51CC9">
        <w:rPr>
          <w:rFonts w:ascii="Times New Roman" w:hAnsi="Times New Roman" w:cs="Times New Roman"/>
          <w:sz w:val="20"/>
          <w:szCs w:val="20"/>
          <w:lang w:val="en-GB"/>
        </w:rPr>
        <w:t>The AQAC highlights the three major steps for Q</w:t>
      </w:r>
      <w:r w:rsidR="0054533D">
        <w:rPr>
          <w:rFonts w:ascii="Times New Roman" w:hAnsi="Times New Roman" w:cs="Times New Roman"/>
          <w:sz w:val="20"/>
          <w:szCs w:val="20"/>
          <w:lang w:val="en-GB"/>
        </w:rPr>
        <w:t xml:space="preserve">uality </w:t>
      </w:r>
      <w:r w:rsidRPr="00051CC9">
        <w:rPr>
          <w:rFonts w:ascii="Times New Roman" w:hAnsi="Times New Roman" w:cs="Times New Roman"/>
          <w:sz w:val="20"/>
          <w:szCs w:val="20"/>
          <w:lang w:val="en-GB"/>
        </w:rPr>
        <w:t>A</w:t>
      </w:r>
      <w:r w:rsidR="0054533D">
        <w:rPr>
          <w:rFonts w:ascii="Times New Roman" w:hAnsi="Times New Roman" w:cs="Times New Roman"/>
          <w:sz w:val="20"/>
          <w:szCs w:val="20"/>
          <w:lang w:val="en-GB"/>
        </w:rPr>
        <w:t>ssurance</w:t>
      </w:r>
      <w:r w:rsidRPr="00051CC9">
        <w:rPr>
          <w:rFonts w:ascii="Times New Roman" w:hAnsi="Times New Roman" w:cs="Times New Roman"/>
          <w:sz w:val="20"/>
          <w:szCs w:val="20"/>
          <w:lang w:val="en-GB"/>
        </w:rPr>
        <w:t>: validation, uncertainty assessment, and routine Q</w:t>
      </w:r>
      <w:r w:rsidR="0054533D">
        <w:rPr>
          <w:rFonts w:ascii="Times New Roman" w:hAnsi="Times New Roman" w:cs="Times New Roman"/>
          <w:sz w:val="20"/>
          <w:szCs w:val="20"/>
          <w:lang w:val="en-GB"/>
        </w:rPr>
        <w:t xml:space="preserve">uality </w:t>
      </w:r>
      <w:r w:rsidRPr="00051CC9">
        <w:rPr>
          <w:rFonts w:ascii="Times New Roman" w:hAnsi="Times New Roman" w:cs="Times New Roman"/>
          <w:sz w:val="20"/>
          <w:szCs w:val="20"/>
          <w:lang w:val="en-GB"/>
        </w:rPr>
        <w:t>C</w:t>
      </w:r>
      <w:r w:rsidR="0054533D">
        <w:rPr>
          <w:rFonts w:ascii="Times New Roman" w:hAnsi="Times New Roman" w:cs="Times New Roman"/>
          <w:sz w:val="20"/>
          <w:szCs w:val="20"/>
          <w:lang w:val="en-GB"/>
        </w:rPr>
        <w:t>ontrol</w:t>
      </w:r>
      <w:r w:rsidRPr="00051CC9">
        <w:rPr>
          <w:rFonts w:ascii="Times New Roman" w:hAnsi="Times New Roman" w:cs="Times New Roman"/>
          <w:sz w:val="20"/>
          <w:szCs w:val="20"/>
          <w:lang w:val="en-GB"/>
        </w:rPr>
        <w:t>. These items are mutually supporting, but a diagram can correlate their interrelationships, thereby facilitating interpretation and application.</w:t>
      </w:r>
    </w:p>
    <w:p w14:paraId="1BFDE57F" w14:textId="27575833" w:rsidR="00616C96" w:rsidRPr="00051CC9" w:rsidRDefault="00616C96" w:rsidP="00051CC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51CC9">
        <w:rPr>
          <w:rFonts w:ascii="Times New Roman" w:hAnsi="Times New Roman" w:cs="Times New Roman"/>
          <w:sz w:val="20"/>
          <w:szCs w:val="20"/>
          <w:lang w:val="en-GB"/>
        </w:rPr>
        <w:t>The importance of these items is also addressed by ISO/IEC 17025 as part of requirements (validation of methods), (estimation of uncertainty of measurement) and (assuring the quality of test and calibration results).</w:t>
      </w:r>
    </w:p>
    <w:sectPr w:rsidR="00616C96" w:rsidRPr="00051C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C96"/>
    <w:rsid w:val="00051CC9"/>
    <w:rsid w:val="0054533D"/>
    <w:rsid w:val="00616C96"/>
    <w:rsid w:val="009E6BAF"/>
    <w:rsid w:val="00A64DB4"/>
    <w:rsid w:val="00FD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C8607"/>
  <w15:chartTrackingRefBased/>
  <w15:docId w15:val="{178BCA92-7C17-4AC4-8843-6F5CDAFE5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16C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6C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16C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16C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16C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16C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16C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16C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16C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6C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6C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16C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16C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16C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16C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16C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16C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16C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16C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16C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16C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16C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16C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16C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16C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16C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16C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16C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16C9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051CC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51C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016/j.trac.2012.01.004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224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Drielen Ferreira</dc:creator>
  <cp:keywords/>
  <dc:description/>
  <cp:lastModifiedBy>Bruna Drielen Ferreira</cp:lastModifiedBy>
  <cp:revision>3</cp:revision>
  <dcterms:created xsi:type="dcterms:W3CDTF">2025-04-01T02:52:00Z</dcterms:created>
  <dcterms:modified xsi:type="dcterms:W3CDTF">2025-04-01T03:03:00Z</dcterms:modified>
</cp:coreProperties>
</file>