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7"/>
        <w:tblW w:w="0" w:type="auto"/>
        <w:tblLook w:val="04A0" w:firstRow="1" w:lastRow="0" w:firstColumn="1" w:lastColumn="0" w:noHBand="0" w:noVBand="1"/>
      </w:tblPr>
      <w:tblGrid>
        <w:gridCol w:w="2503"/>
        <w:gridCol w:w="5793"/>
      </w:tblGrid>
      <w:tr w:rsidR="00240C4F" w:rsidRPr="00D95328" w14:paraId="01875E33" w14:textId="77777777" w:rsidTr="00FE513E">
        <w:tc>
          <w:tcPr>
            <w:tcW w:w="8296" w:type="dxa"/>
            <w:gridSpan w:val="2"/>
          </w:tcPr>
          <w:p w14:paraId="0686EEE4" w14:textId="07926FC8" w:rsidR="00240C4F" w:rsidRPr="00D95328" w:rsidRDefault="00240C4F" w:rsidP="00240C4F">
            <w:pPr>
              <w:jc w:val="center"/>
              <w:rPr>
                <w:rFonts w:ascii="Times New Roman" w:hAnsi="Times New Roman" w:cs="Times New Roman"/>
                <w:b/>
                <w:bCs/>
              </w:rPr>
            </w:pPr>
            <w:r w:rsidRPr="00D95328">
              <w:rPr>
                <w:rFonts w:ascii="Times New Roman" w:hAnsi="Times New Roman" w:cs="Times New Roman"/>
                <w:b/>
                <w:bCs/>
              </w:rPr>
              <w:t>ARRIVE checklist</w:t>
            </w:r>
          </w:p>
        </w:tc>
      </w:tr>
      <w:tr w:rsidR="00240C4F" w:rsidRPr="00D95328" w14:paraId="6F52375A" w14:textId="77777777" w:rsidTr="009349E9">
        <w:tc>
          <w:tcPr>
            <w:tcW w:w="1980" w:type="dxa"/>
            <w:vAlign w:val="center"/>
          </w:tcPr>
          <w:p w14:paraId="413574F0" w14:textId="7878A158" w:rsidR="00240C4F" w:rsidRPr="00D95328" w:rsidRDefault="00240C4F" w:rsidP="009349E9">
            <w:pPr>
              <w:jc w:val="center"/>
              <w:rPr>
                <w:rFonts w:ascii="Times New Roman" w:hAnsi="Times New Roman" w:cs="Times New Roman"/>
              </w:rPr>
            </w:pPr>
            <w:r w:rsidRPr="00D95328">
              <w:rPr>
                <w:rFonts w:ascii="Times New Roman" w:hAnsi="Times New Roman" w:cs="Times New Roman"/>
              </w:rPr>
              <w:t>Abstract</w:t>
            </w:r>
          </w:p>
        </w:tc>
        <w:tc>
          <w:tcPr>
            <w:tcW w:w="6316" w:type="dxa"/>
          </w:tcPr>
          <w:p w14:paraId="01F5D73D" w14:textId="77777777" w:rsidR="00D95328" w:rsidRPr="00D95328" w:rsidRDefault="00D95328" w:rsidP="00D95328">
            <w:pPr>
              <w:rPr>
                <w:rFonts w:ascii="Times New Roman" w:hAnsi="Times New Roman" w:cs="Times New Roman"/>
              </w:rPr>
            </w:pPr>
            <w:r w:rsidRPr="00D95328">
              <w:rPr>
                <w:rFonts w:ascii="Times New Roman" w:hAnsi="Times New Roman" w:cs="Times New Roman"/>
                <w:b/>
                <w:bCs/>
              </w:rPr>
              <w:t>Methods</w:t>
            </w:r>
            <w:r w:rsidRPr="00D95328">
              <w:rPr>
                <w:rFonts w:ascii="Times New Roman" w:hAnsi="Times New Roman" w:cs="Times New Roman"/>
              </w:rPr>
              <w:t xml:space="preserve">: We demonstrated the distribution of CAR-T cells in the absence of target cells or with target cells in the mice and the dynamic changes in the patient blood over time after infusion were deteced by qPCR and FACS. </w:t>
            </w:r>
          </w:p>
          <w:p w14:paraId="4F4EDF87" w14:textId="77777777" w:rsidR="00D95328" w:rsidRPr="00D95328" w:rsidRDefault="00D95328" w:rsidP="00D95328">
            <w:pPr>
              <w:rPr>
                <w:rFonts w:ascii="Times New Roman" w:hAnsi="Times New Roman" w:cs="Times New Roman"/>
              </w:rPr>
            </w:pPr>
            <w:r w:rsidRPr="00D95328">
              <w:rPr>
                <w:rFonts w:ascii="Times New Roman" w:hAnsi="Times New Roman" w:cs="Times New Roman"/>
                <w:b/>
                <w:bCs/>
              </w:rPr>
              <w:t>Results:</w:t>
            </w:r>
            <w:r w:rsidRPr="00D95328">
              <w:rPr>
                <w:rFonts w:ascii="Times New Roman" w:hAnsi="Times New Roman" w:cs="Times New Roman"/>
              </w:rPr>
              <w:t xml:space="preserve"> CAR-T cells still proliferated in the mice without target cells and peaked at 2 weeks. However, CAR-T cells did not increase significantly in the presence of target cells within 2 weeks after infusion, but expanded at 6 weeks. In the clinical trial, we found that CAR-T cells peaked at 7-21days after infusion and can last for as long as 510 days in the peripheral blood of patients. Simultaneously, mild side-effects were noted which can be effectively controlled within two months in these patients.</w:t>
            </w:r>
          </w:p>
          <w:p w14:paraId="3AD3EDAF" w14:textId="1FE229DF" w:rsidR="00240C4F" w:rsidRPr="00D95328" w:rsidRDefault="00D95328" w:rsidP="00D95328">
            <w:pPr>
              <w:rPr>
                <w:rFonts w:ascii="Times New Roman" w:hAnsi="Times New Roman" w:cs="Times New Roman"/>
              </w:rPr>
            </w:pPr>
            <w:r w:rsidRPr="00D95328">
              <w:rPr>
                <w:rFonts w:ascii="Times New Roman" w:hAnsi="Times New Roman" w:cs="Times New Roman"/>
                <w:b/>
                <w:bCs/>
              </w:rPr>
              <w:t>Conclusions:</w:t>
            </w:r>
            <w:r w:rsidRPr="00D95328">
              <w:rPr>
                <w:rFonts w:ascii="Times New Roman" w:hAnsi="Times New Roman" w:cs="Times New Roman"/>
              </w:rPr>
              <w:t xml:space="preserve"> CAR-T cells can expand themselves with or without target cells in mice. CAR-T cells can persistence for a long time in patients.</w:t>
            </w:r>
          </w:p>
        </w:tc>
      </w:tr>
      <w:tr w:rsidR="00240C4F" w:rsidRPr="00D95328" w14:paraId="2A5EA747" w14:textId="77777777" w:rsidTr="009349E9">
        <w:tc>
          <w:tcPr>
            <w:tcW w:w="1980" w:type="dxa"/>
            <w:vAlign w:val="center"/>
          </w:tcPr>
          <w:p w14:paraId="40225D4C" w14:textId="025CD750" w:rsidR="00240C4F" w:rsidRPr="00D95328" w:rsidRDefault="00240C4F" w:rsidP="009349E9">
            <w:pPr>
              <w:jc w:val="center"/>
              <w:rPr>
                <w:rFonts w:ascii="Times New Roman" w:hAnsi="Times New Roman" w:cs="Times New Roman"/>
              </w:rPr>
            </w:pPr>
            <w:r w:rsidRPr="00D95328">
              <w:rPr>
                <w:rFonts w:ascii="Times New Roman" w:hAnsi="Times New Roman" w:cs="Times New Roman"/>
              </w:rPr>
              <w:t>Background</w:t>
            </w:r>
          </w:p>
        </w:tc>
        <w:tc>
          <w:tcPr>
            <w:tcW w:w="6316" w:type="dxa"/>
          </w:tcPr>
          <w:p w14:paraId="01621224" w14:textId="76FE42B1" w:rsidR="00240C4F" w:rsidRPr="00D95328" w:rsidRDefault="00D95328">
            <w:pPr>
              <w:rPr>
                <w:rFonts w:ascii="Times New Roman" w:hAnsi="Times New Roman" w:cs="Times New Roman"/>
              </w:rPr>
            </w:pPr>
            <w:r w:rsidRPr="00D95328">
              <w:rPr>
                <w:rFonts w:ascii="Times New Roman" w:hAnsi="Times New Roman" w:cs="Times New Roman"/>
              </w:rPr>
              <w:t>The unprecedented efficacy of chimeric antigen receptor (CAR) T-cell immunotherapy of CD19+ B-cell malignancies has opened a new and useful way for the treatment of malignant tumor. Nonetheless, there are still formidable challenges in the field of CAR-T cell therapy, such as the biodistribution of CAR-T cells in vivo.</w:t>
            </w:r>
          </w:p>
        </w:tc>
      </w:tr>
      <w:tr w:rsidR="00240C4F" w:rsidRPr="00D95328" w14:paraId="0D90514D" w14:textId="77777777" w:rsidTr="009349E9">
        <w:tc>
          <w:tcPr>
            <w:tcW w:w="1980" w:type="dxa"/>
            <w:vAlign w:val="center"/>
          </w:tcPr>
          <w:p w14:paraId="0C440B1D" w14:textId="49692BE3" w:rsidR="00240C4F" w:rsidRPr="00D95328" w:rsidRDefault="00240C4F" w:rsidP="009349E9">
            <w:pPr>
              <w:jc w:val="center"/>
              <w:rPr>
                <w:rFonts w:ascii="Times New Roman" w:hAnsi="Times New Roman" w:cs="Times New Roman"/>
              </w:rPr>
            </w:pPr>
            <w:r w:rsidRPr="00D95328">
              <w:rPr>
                <w:rFonts w:ascii="Times New Roman" w:hAnsi="Times New Roman" w:cs="Times New Roman"/>
              </w:rPr>
              <w:t>Objectives</w:t>
            </w:r>
          </w:p>
        </w:tc>
        <w:tc>
          <w:tcPr>
            <w:tcW w:w="6316" w:type="dxa"/>
          </w:tcPr>
          <w:p w14:paraId="296B1EFB" w14:textId="7C354CF9" w:rsidR="00240C4F" w:rsidRPr="00D95328" w:rsidRDefault="00D95328">
            <w:pPr>
              <w:rPr>
                <w:rFonts w:ascii="Times New Roman" w:hAnsi="Times New Roman" w:cs="Times New Roman"/>
              </w:rPr>
            </w:pPr>
            <w:r>
              <w:rPr>
                <w:rFonts w:ascii="Times New Roman" w:hAnsi="Times New Roman" w:cs="Times New Roman"/>
              </w:rPr>
              <w:t xml:space="preserve">To detect </w:t>
            </w:r>
            <w:r w:rsidRPr="00D95328">
              <w:rPr>
                <w:rFonts w:ascii="Times New Roman" w:hAnsi="Times New Roman" w:cs="Times New Roman"/>
              </w:rPr>
              <w:t>the biodistribution of CAR-T cells in</w:t>
            </w:r>
            <w:r>
              <w:rPr>
                <w:rFonts w:ascii="Times New Roman" w:hAnsi="Times New Roman" w:cs="Times New Roman"/>
              </w:rPr>
              <w:t xml:space="preserve"> mice and human.</w:t>
            </w:r>
          </w:p>
        </w:tc>
      </w:tr>
      <w:tr w:rsidR="00240C4F" w:rsidRPr="00D95328" w14:paraId="1276B51A" w14:textId="77777777" w:rsidTr="009349E9">
        <w:tc>
          <w:tcPr>
            <w:tcW w:w="1980" w:type="dxa"/>
            <w:vAlign w:val="center"/>
          </w:tcPr>
          <w:p w14:paraId="748BA517" w14:textId="2474E684" w:rsidR="00240C4F" w:rsidRPr="00D95328" w:rsidRDefault="00240C4F" w:rsidP="009349E9">
            <w:pPr>
              <w:jc w:val="center"/>
              <w:rPr>
                <w:rFonts w:ascii="Times New Roman" w:hAnsi="Times New Roman" w:cs="Times New Roman"/>
              </w:rPr>
            </w:pPr>
            <w:r w:rsidRPr="00D95328">
              <w:rPr>
                <w:rFonts w:ascii="Times New Roman" w:hAnsi="Times New Roman" w:cs="Times New Roman"/>
              </w:rPr>
              <w:t>Ethical statement</w:t>
            </w:r>
          </w:p>
        </w:tc>
        <w:tc>
          <w:tcPr>
            <w:tcW w:w="6316" w:type="dxa"/>
          </w:tcPr>
          <w:p w14:paraId="2C4948B3" w14:textId="34710D8C" w:rsidR="00240C4F" w:rsidRPr="00D95328" w:rsidRDefault="00D95328">
            <w:pPr>
              <w:rPr>
                <w:rFonts w:ascii="Times New Roman" w:hAnsi="Times New Roman" w:cs="Times New Roman"/>
              </w:rPr>
            </w:pPr>
            <w:r w:rsidRPr="00D95328">
              <w:rPr>
                <w:rFonts w:ascii="Times New Roman" w:hAnsi="Times New Roman" w:cs="Times New Roman"/>
              </w:rPr>
              <w:t>All animal studies were approved by the Tsinghua University Animal Care and Use Committee (Beijing, China).</w:t>
            </w:r>
          </w:p>
        </w:tc>
      </w:tr>
      <w:tr w:rsidR="00240C4F" w:rsidRPr="00D95328" w14:paraId="6D61FE09" w14:textId="77777777" w:rsidTr="009349E9">
        <w:tc>
          <w:tcPr>
            <w:tcW w:w="1980" w:type="dxa"/>
            <w:vAlign w:val="center"/>
          </w:tcPr>
          <w:p w14:paraId="6F0E5127" w14:textId="4BE66820" w:rsidR="00240C4F" w:rsidRPr="00D95328" w:rsidRDefault="00240C4F" w:rsidP="009349E9">
            <w:pPr>
              <w:jc w:val="center"/>
              <w:rPr>
                <w:rFonts w:ascii="Times New Roman" w:hAnsi="Times New Roman" w:cs="Times New Roman"/>
              </w:rPr>
            </w:pPr>
            <w:r w:rsidRPr="00D95328">
              <w:rPr>
                <w:rFonts w:ascii="Times New Roman" w:hAnsi="Times New Roman" w:cs="Times New Roman"/>
              </w:rPr>
              <w:t>Housing and husbandry</w:t>
            </w:r>
          </w:p>
        </w:tc>
        <w:tc>
          <w:tcPr>
            <w:tcW w:w="6316" w:type="dxa"/>
          </w:tcPr>
          <w:p w14:paraId="134C338A" w14:textId="3632CC03" w:rsidR="00240C4F" w:rsidRPr="00D95328" w:rsidRDefault="00D95328" w:rsidP="00D95328">
            <w:pPr>
              <w:rPr>
                <w:rFonts w:ascii="Times New Roman" w:hAnsi="Times New Roman" w:cs="Times New Roman"/>
              </w:rPr>
            </w:pPr>
            <w:r>
              <w:rPr>
                <w:rFonts w:ascii="Times New Roman" w:hAnsi="Times New Roman" w:cs="Times New Roman"/>
              </w:rPr>
              <w:t>3</w:t>
            </w:r>
            <w:r w:rsidRPr="00D95328">
              <w:rPr>
                <w:rFonts w:ascii="Times New Roman" w:hAnsi="Times New Roman" w:cs="Times New Roman"/>
              </w:rPr>
              <w:t xml:space="preserve"> mice</w:t>
            </w:r>
            <w:r>
              <w:rPr>
                <w:rFonts w:ascii="Times New Roman" w:hAnsi="Times New Roman" w:cs="Times New Roman"/>
              </w:rPr>
              <w:t xml:space="preserve"> of the same sex</w:t>
            </w:r>
            <w:r w:rsidRPr="00D95328">
              <w:rPr>
                <w:rFonts w:ascii="Times New Roman" w:hAnsi="Times New Roman" w:cs="Times New Roman"/>
              </w:rPr>
              <w:t xml:space="preserve"> per cage. All mice were maintained on a regular diurnal lighting cycle (12:12</w:t>
            </w:r>
            <w:r w:rsidR="00EC0E18">
              <w:rPr>
                <w:rFonts w:ascii="Times New Roman" w:hAnsi="Times New Roman" w:cs="Times New Roman" w:hint="eastAsia"/>
              </w:rPr>
              <w:t xml:space="preserve"> </w:t>
            </w:r>
            <w:r w:rsidRPr="00D95328">
              <w:rPr>
                <w:rFonts w:ascii="Times New Roman" w:hAnsi="Times New Roman" w:cs="Times New Roman"/>
              </w:rPr>
              <w:t>light:dark) with ad libitum access to food</w:t>
            </w:r>
            <w:r w:rsidR="00EC0E18">
              <w:rPr>
                <w:rFonts w:ascii="Times New Roman" w:hAnsi="Times New Roman" w:cs="Times New Roman"/>
              </w:rPr>
              <w:t xml:space="preserve"> and water.</w:t>
            </w:r>
            <w:r w:rsidR="00EC0E18">
              <w:t xml:space="preserve"> </w:t>
            </w:r>
            <w:r w:rsidR="00EC0E18" w:rsidRPr="00EC0E18">
              <w:rPr>
                <w:rFonts w:ascii="Times New Roman" w:hAnsi="Times New Roman" w:cs="Times New Roman"/>
              </w:rPr>
              <w:t>Chopped corn cob was used as bedding</w:t>
            </w:r>
            <w:r w:rsidR="00EC0E18">
              <w:rPr>
                <w:rFonts w:ascii="Times New Roman" w:hAnsi="Times New Roman" w:cs="Times New Roman"/>
              </w:rPr>
              <w:t>.</w:t>
            </w:r>
          </w:p>
        </w:tc>
      </w:tr>
      <w:tr w:rsidR="00240C4F" w:rsidRPr="00D95328" w14:paraId="2EA640A4" w14:textId="77777777" w:rsidTr="009349E9">
        <w:tc>
          <w:tcPr>
            <w:tcW w:w="1980" w:type="dxa"/>
            <w:vAlign w:val="center"/>
          </w:tcPr>
          <w:p w14:paraId="635B955B" w14:textId="46B8098C" w:rsidR="00240C4F" w:rsidRPr="00D95328" w:rsidRDefault="00240C4F" w:rsidP="009349E9">
            <w:pPr>
              <w:jc w:val="center"/>
              <w:rPr>
                <w:rFonts w:ascii="Times New Roman" w:hAnsi="Times New Roman" w:cs="Times New Roman"/>
              </w:rPr>
            </w:pPr>
            <w:r w:rsidRPr="00D95328">
              <w:rPr>
                <w:rFonts w:ascii="Times New Roman" w:hAnsi="Times New Roman" w:cs="Times New Roman"/>
              </w:rPr>
              <w:t>Animal care and monitoring</w:t>
            </w:r>
          </w:p>
        </w:tc>
        <w:tc>
          <w:tcPr>
            <w:tcW w:w="6316" w:type="dxa"/>
          </w:tcPr>
          <w:p w14:paraId="4B7DA816" w14:textId="300E35FA" w:rsidR="00240C4F" w:rsidRPr="00D95328" w:rsidRDefault="00EC0E18">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tumor cells and CAR-T cells were both infused through tail vein. Once the tumor can be detected, the mice were monitoring frenquently for the body weight, </w:t>
            </w:r>
            <w:r w:rsidRPr="00EC0E18">
              <w:rPr>
                <w:rFonts w:ascii="Times New Roman" w:hAnsi="Times New Roman" w:cs="Times New Roman"/>
              </w:rPr>
              <w:t>daily food</w:t>
            </w:r>
            <w:r>
              <w:rPr>
                <w:rFonts w:ascii="Times New Roman" w:hAnsi="Times New Roman" w:cs="Times New Roman"/>
              </w:rPr>
              <w:t>/water</w:t>
            </w:r>
            <w:r w:rsidRPr="00EC0E18">
              <w:rPr>
                <w:rFonts w:ascii="Times New Roman" w:hAnsi="Times New Roman" w:cs="Times New Roman"/>
              </w:rPr>
              <w:t xml:space="preserve"> consumption</w:t>
            </w:r>
            <w:r w:rsidRPr="00EC0E18">
              <w:rPr>
                <w:rFonts w:ascii="Times New Roman" w:hAnsi="Times New Roman" w:cs="Times New Roman"/>
              </w:rPr>
              <w:t>,</w:t>
            </w:r>
            <w:r>
              <w:rPr>
                <w:rFonts w:ascii="Times New Roman" w:hAnsi="Times New Roman" w:cs="Times New Roman"/>
              </w:rPr>
              <w:t xml:space="preserve"> tumor size and others. When the tumor </w:t>
            </w:r>
            <w:r w:rsidR="0094141C">
              <w:rPr>
                <w:rFonts w:ascii="Times New Roman" w:hAnsi="Times New Roman" w:cs="Times New Roman"/>
              </w:rPr>
              <w:t>size is up to 2000</w:t>
            </w:r>
            <w:r w:rsidR="009349E9">
              <w:rPr>
                <w:rFonts w:ascii="Times New Roman" w:hAnsi="Times New Roman" w:cs="Times New Roman"/>
              </w:rPr>
              <w:t>mm</w:t>
            </w:r>
            <w:r w:rsidR="009349E9" w:rsidRPr="009349E9">
              <w:rPr>
                <w:rFonts w:ascii="Times New Roman" w:hAnsi="Times New Roman" w:cs="Times New Roman"/>
                <w:vertAlign w:val="superscript"/>
              </w:rPr>
              <w:t>3</w:t>
            </w:r>
            <w:r w:rsidR="0094141C">
              <w:rPr>
                <w:rFonts w:ascii="Times New Roman" w:hAnsi="Times New Roman" w:cs="Times New Roman"/>
              </w:rPr>
              <w:t xml:space="preserve">, the mouse received </w:t>
            </w:r>
            <w:r w:rsidR="0094141C" w:rsidRPr="0094141C">
              <w:rPr>
                <w:rFonts w:ascii="Times New Roman" w:hAnsi="Times New Roman" w:cs="Times New Roman"/>
              </w:rPr>
              <w:t>euthanasia</w:t>
            </w:r>
            <w:r w:rsidR="0094141C">
              <w:rPr>
                <w:rFonts w:ascii="Times New Roman" w:hAnsi="Times New Roman" w:cs="Times New Roman"/>
              </w:rPr>
              <w:t>.</w:t>
            </w:r>
          </w:p>
        </w:tc>
      </w:tr>
      <w:tr w:rsidR="00240C4F" w:rsidRPr="00D95328" w14:paraId="119C2BA8" w14:textId="77777777" w:rsidTr="009349E9">
        <w:tc>
          <w:tcPr>
            <w:tcW w:w="1980" w:type="dxa"/>
            <w:vAlign w:val="center"/>
          </w:tcPr>
          <w:p w14:paraId="3F02E0E8" w14:textId="77777777" w:rsidR="00D95328" w:rsidRPr="00D95328" w:rsidRDefault="00D95328" w:rsidP="009349E9">
            <w:pPr>
              <w:jc w:val="center"/>
              <w:rPr>
                <w:rFonts w:ascii="Times New Roman" w:hAnsi="Times New Roman" w:cs="Times New Roman"/>
              </w:rPr>
            </w:pPr>
            <w:r w:rsidRPr="00D95328">
              <w:rPr>
                <w:rFonts w:ascii="Times New Roman" w:hAnsi="Times New Roman" w:cs="Times New Roman"/>
              </w:rPr>
              <w:t>Interpretation/scientific</w:t>
            </w:r>
          </w:p>
          <w:p w14:paraId="3B0A9597" w14:textId="6C7AED1C" w:rsidR="00240C4F" w:rsidRPr="00D95328" w:rsidRDefault="00D95328" w:rsidP="009349E9">
            <w:pPr>
              <w:jc w:val="center"/>
              <w:rPr>
                <w:rFonts w:ascii="Times New Roman" w:hAnsi="Times New Roman" w:cs="Times New Roman"/>
              </w:rPr>
            </w:pPr>
            <w:r w:rsidRPr="00D95328">
              <w:rPr>
                <w:rFonts w:ascii="Times New Roman" w:hAnsi="Times New Roman" w:cs="Times New Roman"/>
              </w:rPr>
              <w:t>implications</w:t>
            </w:r>
          </w:p>
        </w:tc>
        <w:tc>
          <w:tcPr>
            <w:tcW w:w="6316" w:type="dxa"/>
          </w:tcPr>
          <w:p w14:paraId="34B7704D" w14:textId="77777777" w:rsidR="0094141C" w:rsidRPr="0094141C" w:rsidRDefault="0094141C" w:rsidP="0094141C">
            <w:pPr>
              <w:rPr>
                <w:rFonts w:ascii="Times New Roman" w:hAnsi="Times New Roman" w:cs="Times New Roman"/>
              </w:rPr>
            </w:pPr>
            <w:r w:rsidRPr="0094141C">
              <w:rPr>
                <w:rFonts w:ascii="Times New Roman" w:hAnsi="Times New Roman" w:cs="Times New Roman"/>
              </w:rPr>
              <w:t xml:space="preserve">CAR-T cells can expand themselves with or without target cells in mice. </w:t>
            </w:r>
          </w:p>
          <w:p w14:paraId="20199CAC" w14:textId="7C5C1528" w:rsidR="00240C4F" w:rsidRPr="00D95328" w:rsidRDefault="0094141C" w:rsidP="0094141C">
            <w:pPr>
              <w:rPr>
                <w:rFonts w:ascii="Times New Roman" w:hAnsi="Times New Roman" w:cs="Times New Roman"/>
              </w:rPr>
            </w:pPr>
            <w:r w:rsidRPr="0094141C">
              <w:rPr>
                <w:rFonts w:ascii="Times New Roman" w:hAnsi="Times New Roman" w:cs="Times New Roman"/>
              </w:rPr>
              <w:t>CAR-T cells can persistence for a long time in patients.</w:t>
            </w:r>
          </w:p>
        </w:tc>
      </w:tr>
      <w:tr w:rsidR="00240C4F" w:rsidRPr="00D95328" w14:paraId="185B9EB7" w14:textId="77777777" w:rsidTr="009349E9">
        <w:tc>
          <w:tcPr>
            <w:tcW w:w="1980" w:type="dxa"/>
            <w:vAlign w:val="center"/>
          </w:tcPr>
          <w:p w14:paraId="784BF8D0" w14:textId="169AD523" w:rsidR="00240C4F" w:rsidRPr="00D95328" w:rsidRDefault="00D95328" w:rsidP="009349E9">
            <w:pPr>
              <w:jc w:val="center"/>
              <w:rPr>
                <w:rFonts w:ascii="Times New Roman" w:hAnsi="Times New Roman" w:cs="Times New Roman"/>
              </w:rPr>
            </w:pPr>
            <w:r w:rsidRPr="00D95328">
              <w:rPr>
                <w:rFonts w:ascii="Times New Roman" w:hAnsi="Times New Roman" w:cs="Times New Roman"/>
              </w:rPr>
              <w:t>Generalisability/translation</w:t>
            </w:r>
          </w:p>
        </w:tc>
        <w:tc>
          <w:tcPr>
            <w:tcW w:w="6316" w:type="dxa"/>
          </w:tcPr>
          <w:p w14:paraId="15953695" w14:textId="244E1266" w:rsidR="00240C4F" w:rsidRPr="00D95328" w:rsidRDefault="0094141C">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AR-T cells may be still exist in patients after the tumor cells were removed.</w:t>
            </w:r>
          </w:p>
        </w:tc>
      </w:tr>
      <w:tr w:rsidR="00240C4F" w:rsidRPr="00D95328" w14:paraId="7CACBCF8" w14:textId="77777777" w:rsidTr="009349E9">
        <w:tc>
          <w:tcPr>
            <w:tcW w:w="1980" w:type="dxa"/>
            <w:vAlign w:val="center"/>
          </w:tcPr>
          <w:p w14:paraId="0DE488E2" w14:textId="05ED56A3" w:rsidR="00240C4F" w:rsidRPr="00D95328" w:rsidRDefault="00D95328" w:rsidP="009349E9">
            <w:pPr>
              <w:jc w:val="center"/>
              <w:rPr>
                <w:rFonts w:ascii="Times New Roman" w:hAnsi="Times New Roman" w:cs="Times New Roman"/>
              </w:rPr>
            </w:pPr>
            <w:r w:rsidRPr="00D95328">
              <w:rPr>
                <w:rFonts w:ascii="Times New Roman" w:hAnsi="Times New Roman" w:cs="Times New Roman"/>
              </w:rPr>
              <w:t>Protocol registration</w:t>
            </w:r>
          </w:p>
        </w:tc>
        <w:tc>
          <w:tcPr>
            <w:tcW w:w="6316" w:type="dxa"/>
          </w:tcPr>
          <w:p w14:paraId="1363F4A3" w14:textId="0783887C" w:rsidR="00240C4F" w:rsidRPr="00D95328" w:rsidRDefault="0094141C">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240C4F" w:rsidRPr="00D95328" w14:paraId="07655A5B" w14:textId="77777777" w:rsidTr="009349E9">
        <w:tc>
          <w:tcPr>
            <w:tcW w:w="1980" w:type="dxa"/>
            <w:vAlign w:val="center"/>
          </w:tcPr>
          <w:p w14:paraId="2E3255EE" w14:textId="16727425" w:rsidR="00240C4F" w:rsidRPr="00D95328" w:rsidRDefault="00D95328" w:rsidP="009349E9">
            <w:pPr>
              <w:jc w:val="center"/>
              <w:rPr>
                <w:rFonts w:ascii="Times New Roman" w:hAnsi="Times New Roman" w:cs="Times New Roman"/>
              </w:rPr>
            </w:pPr>
            <w:r w:rsidRPr="00D95328">
              <w:rPr>
                <w:rFonts w:ascii="Times New Roman" w:hAnsi="Times New Roman" w:cs="Times New Roman"/>
              </w:rPr>
              <w:t>Data access</w:t>
            </w:r>
          </w:p>
        </w:tc>
        <w:tc>
          <w:tcPr>
            <w:tcW w:w="6316" w:type="dxa"/>
          </w:tcPr>
          <w:p w14:paraId="5C175D5B" w14:textId="780978EF" w:rsidR="00240C4F" w:rsidRPr="00D95328" w:rsidRDefault="0094141C">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D95328" w:rsidRPr="00D95328" w14:paraId="5C6CC7BD" w14:textId="77777777" w:rsidTr="009349E9">
        <w:tc>
          <w:tcPr>
            <w:tcW w:w="1980" w:type="dxa"/>
            <w:vAlign w:val="center"/>
          </w:tcPr>
          <w:p w14:paraId="747EA72A" w14:textId="067ADCAD" w:rsidR="00D95328" w:rsidRPr="00D95328" w:rsidRDefault="00D95328" w:rsidP="009349E9">
            <w:pPr>
              <w:jc w:val="center"/>
              <w:rPr>
                <w:rFonts w:ascii="Times New Roman" w:hAnsi="Times New Roman" w:cs="Times New Roman"/>
              </w:rPr>
            </w:pPr>
            <w:r w:rsidRPr="00D95328">
              <w:rPr>
                <w:rFonts w:ascii="Times New Roman" w:hAnsi="Times New Roman" w:cs="Times New Roman"/>
              </w:rPr>
              <w:t>Declaration of interests</w:t>
            </w:r>
          </w:p>
        </w:tc>
        <w:tc>
          <w:tcPr>
            <w:tcW w:w="6316" w:type="dxa"/>
          </w:tcPr>
          <w:p w14:paraId="39DFDEA2" w14:textId="7A7780F1" w:rsidR="00D95328" w:rsidRPr="00D95328" w:rsidRDefault="0094141C">
            <w:pPr>
              <w:rPr>
                <w:rFonts w:ascii="Times New Roman" w:hAnsi="Times New Roman" w:cs="Times New Roman"/>
              </w:rPr>
            </w:pPr>
            <w:r w:rsidRPr="0094141C">
              <w:rPr>
                <w:rFonts w:ascii="Times New Roman" w:hAnsi="Times New Roman" w:cs="Times New Roman"/>
              </w:rPr>
              <w:t>The authors have declared that no competing interests exist</w:t>
            </w:r>
            <w:r>
              <w:rPr>
                <w:rFonts w:ascii="Times New Roman" w:hAnsi="Times New Roman" w:cs="Times New Roman"/>
              </w:rPr>
              <w:t>.</w:t>
            </w:r>
          </w:p>
        </w:tc>
      </w:tr>
    </w:tbl>
    <w:p w14:paraId="7AAA238D" w14:textId="77777777" w:rsidR="0082624C" w:rsidRDefault="0082624C"/>
    <w:sectPr w:rsidR="008262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99DB9" w14:textId="77777777" w:rsidR="00417774" w:rsidRDefault="00417774" w:rsidP="00240C4F">
      <w:r>
        <w:separator/>
      </w:r>
    </w:p>
  </w:endnote>
  <w:endnote w:type="continuationSeparator" w:id="0">
    <w:p w14:paraId="4B47121B" w14:textId="77777777" w:rsidR="00417774" w:rsidRDefault="00417774" w:rsidP="00240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787AE2" w14:textId="77777777" w:rsidR="00417774" w:rsidRDefault="00417774" w:rsidP="00240C4F">
      <w:r>
        <w:separator/>
      </w:r>
    </w:p>
  </w:footnote>
  <w:footnote w:type="continuationSeparator" w:id="0">
    <w:p w14:paraId="24FEE39A" w14:textId="77777777" w:rsidR="00417774" w:rsidRDefault="00417774" w:rsidP="00240C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F6B"/>
    <w:rsid w:val="00210F6B"/>
    <w:rsid w:val="00240C4F"/>
    <w:rsid w:val="00417774"/>
    <w:rsid w:val="0082624C"/>
    <w:rsid w:val="009349E9"/>
    <w:rsid w:val="0094141C"/>
    <w:rsid w:val="00D95328"/>
    <w:rsid w:val="00EC0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4816EB"/>
  <w15:chartTrackingRefBased/>
  <w15:docId w15:val="{1D2DDC1B-19C8-4084-AA21-ED95BEB5C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0C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0C4F"/>
    <w:rPr>
      <w:sz w:val="18"/>
      <w:szCs w:val="18"/>
    </w:rPr>
  </w:style>
  <w:style w:type="paragraph" w:styleId="a5">
    <w:name w:val="footer"/>
    <w:basedOn w:val="a"/>
    <w:link w:val="a6"/>
    <w:uiPriority w:val="99"/>
    <w:unhideWhenUsed/>
    <w:rsid w:val="00240C4F"/>
    <w:pPr>
      <w:tabs>
        <w:tab w:val="center" w:pos="4153"/>
        <w:tab w:val="right" w:pos="8306"/>
      </w:tabs>
      <w:snapToGrid w:val="0"/>
      <w:jc w:val="left"/>
    </w:pPr>
    <w:rPr>
      <w:sz w:val="18"/>
      <w:szCs w:val="18"/>
    </w:rPr>
  </w:style>
  <w:style w:type="character" w:customStyle="1" w:styleId="a6">
    <w:name w:val="页脚 字符"/>
    <w:basedOn w:val="a0"/>
    <w:link w:val="a5"/>
    <w:uiPriority w:val="99"/>
    <w:rsid w:val="00240C4F"/>
    <w:rPr>
      <w:sz w:val="18"/>
      <w:szCs w:val="18"/>
    </w:rPr>
  </w:style>
  <w:style w:type="table" w:styleId="a7">
    <w:name w:val="Table Grid"/>
    <w:basedOn w:val="a1"/>
    <w:uiPriority w:val="39"/>
    <w:rsid w:val="00240C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95328"/>
    <w:rPr>
      <w:sz w:val="18"/>
      <w:szCs w:val="18"/>
    </w:rPr>
  </w:style>
  <w:style w:type="character" w:customStyle="1" w:styleId="a9">
    <w:name w:val="批注框文本 字符"/>
    <w:basedOn w:val="a0"/>
    <w:link w:val="a8"/>
    <w:uiPriority w:val="99"/>
    <w:semiHidden/>
    <w:rsid w:val="00D9532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354</Words>
  <Characters>2022</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2020-08-25T05:10:00Z</dcterms:created>
  <dcterms:modified xsi:type="dcterms:W3CDTF">2020-08-25T06:12:00Z</dcterms:modified>
</cp:coreProperties>
</file>