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1DFF8" w14:textId="77777777" w:rsidR="00E33009" w:rsidRPr="004436F0" w:rsidRDefault="000C74F9">
      <w:pPr>
        <w:pStyle w:val="Heading2"/>
        <w:widowControl w:val="0"/>
        <w:spacing w:line="360" w:lineRule="auto"/>
        <w:rPr>
          <w:rFonts w:ascii="Times New Roman" w:eastAsia="Times New Roman" w:hAnsi="Times New Roman" w:cs="Times New Roman"/>
          <w:b/>
          <w:lang w:val="en-NZ"/>
        </w:rPr>
      </w:pPr>
      <w:bookmarkStart w:id="0" w:name="_tvf7od4ey0vc" w:colFirst="0" w:colLast="0"/>
      <w:bookmarkEnd w:id="0"/>
      <w:r w:rsidRPr="004436F0">
        <w:rPr>
          <w:rFonts w:ascii="Times New Roman" w:eastAsia="Times New Roman" w:hAnsi="Times New Roman" w:cs="Times New Roman"/>
          <w:b/>
          <w:lang w:val="en-NZ"/>
        </w:rPr>
        <w:t>Supplemental Material</w:t>
      </w:r>
    </w:p>
    <w:p w14:paraId="0C01DFF9" w14:textId="77777777" w:rsidR="00E33009" w:rsidRPr="004436F0" w:rsidRDefault="00E33009">
      <w:pPr>
        <w:pStyle w:val="Heading4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en-NZ"/>
        </w:rPr>
      </w:pPr>
      <w:bookmarkStart w:id="1" w:name="_vubx6b1kib4v" w:colFirst="0" w:colLast="0"/>
      <w:bookmarkEnd w:id="1"/>
    </w:p>
    <w:p w14:paraId="0C01DFFA" w14:textId="77777777" w:rsidR="00E33009" w:rsidRPr="004436F0" w:rsidRDefault="000C74F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NZ"/>
        </w:rPr>
      </w:pPr>
      <w:r w:rsidRPr="004436F0">
        <w:rPr>
          <w:rFonts w:ascii="Times New Roman" w:eastAsia="Times New Roman" w:hAnsi="Times New Roman" w:cs="Times New Roman"/>
          <w:b/>
          <w:sz w:val="28"/>
          <w:szCs w:val="28"/>
          <w:lang w:val="en-NZ"/>
        </w:rPr>
        <w:t>Upscaling effects on infectious disease emergence risk emphasize the need for local planning in primary prevention within biodiversity hotspots</w:t>
      </w:r>
    </w:p>
    <w:p w14:paraId="0C01DFFB" w14:textId="77777777" w:rsidR="00E33009" w:rsidRPr="004436F0" w:rsidRDefault="000C74F9">
      <w:pPr>
        <w:spacing w:before="120" w:after="240" w:line="360" w:lineRule="auto"/>
        <w:jc w:val="both"/>
        <w:rPr>
          <w:rFonts w:ascii="Times New Roman" w:eastAsia="Times New Roman" w:hAnsi="Times New Roman" w:cs="Times New Roman"/>
          <w:i/>
          <w:vertAlign w:val="superscript"/>
          <w:lang w:val="en-NZ"/>
        </w:rPr>
      </w:pPr>
      <w:hyperlink r:id="rId7">
        <w:r w:rsidRPr="004436F0">
          <w:rPr>
            <w:rFonts w:ascii="Times New Roman" w:eastAsia="Times New Roman" w:hAnsi="Times New Roman" w:cs="Times New Roman"/>
            <w:i/>
            <w:lang w:val="en-NZ"/>
          </w:rPr>
          <w:t>Renata L. Muylaert</w:t>
        </w:r>
      </w:hyperlink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1*</w:t>
      </w:r>
      <w:r w:rsidRPr="004436F0">
        <w:rPr>
          <w:rFonts w:ascii="Times New Roman" w:eastAsia="Times New Roman" w:hAnsi="Times New Roman" w:cs="Times New Roman"/>
          <w:i/>
          <w:lang w:val="en-NZ"/>
        </w:rPr>
        <w:t xml:space="preserve">, </w:t>
      </w:r>
      <w:hyperlink r:id="rId8">
        <w:r w:rsidRPr="004436F0">
          <w:rPr>
            <w:rFonts w:ascii="Times New Roman" w:eastAsia="Times New Roman" w:hAnsi="Times New Roman" w:cs="Times New Roman"/>
            <w:i/>
            <w:lang w:val="en-NZ"/>
          </w:rPr>
          <w:t>David A. Wilkinson</w:t>
        </w:r>
      </w:hyperlink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2</w:t>
      </w:r>
      <w:r w:rsidRPr="004436F0">
        <w:rPr>
          <w:rFonts w:ascii="Times New Roman" w:eastAsia="Times New Roman" w:hAnsi="Times New Roman" w:cs="Times New Roman"/>
          <w:i/>
          <w:lang w:val="en-NZ"/>
        </w:rPr>
        <w:t>, Evita Izza Dwiyanti</w:t>
      </w:r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3</w:t>
      </w:r>
      <w:r w:rsidRPr="004436F0">
        <w:rPr>
          <w:rFonts w:ascii="Times New Roman" w:eastAsia="Times New Roman" w:hAnsi="Times New Roman" w:cs="Times New Roman"/>
          <w:i/>
          <w:lang w:val="en-NZ"/>
        </w:rPr>
        <w:t xml:space="preserve">, </w:t>
      </w:r>
      <w:hyperlink r:id="rId9">
        <w:r w:rsidRPr="004436F0">
          <w:rPr>
            <w:rFonts w:ascii="Times New Roman" w:eastAsia="Times New Roman" w:hAnsi="Times New Roman" w:cs="Times New Roman"/>
            <w:i/>
            <w:lang w:val="en-NZ"/>
          </w:rPr>
          <w:t>David T. S. Hayman</w:t>
        </w:r>
      </w:hyperlink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1</w:t>
      </w:r>
    </w:p>
    <w:p w14:paraId="0C01DFFC" w14:textId="77777777" w:rsidR="00E33009" w:rsidRPr="004436F0" w:rsidRDefault="000C74F9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i/>
          <w:lang w:val="en-NZ"/>
        </w:rPr>
      </w:pPr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1</w:t>
      </w:r>
      <w:r w:rsidRPr="004436F0">
        <w:rPr>
          <w:rFonts w:ascii="Times New Roman" w:eastAsia="Times New Roman" w:hAnsi="Times New Roman" w:cs="Times New Roman"/>
          <w:i/>
          <w:lang w:val="en-NZ"/>
        </w:rPr>
        <w:t xml:space="preserve"> Molecular Epidemiology and Public Health Laboratory, Hopkirk Research Institute, Massey University, Palmerston North, New Zealand</w:t>
      </w:r>
    </w:p>
    <w:p w14:paraId="0C01DFFD" w14:textId="77777777" w:rsidR="00E33009" w:rsidRPr="004436F0" w:rsidRDefault="000C74F9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i/>
          <w:lang w:val="en-NZ"/>
        </w:rPr>
      </w:pPr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2</w:t>
      </w:r>
      <w:r w:rsidRPr="004436F0">
        <w:rPr>
          <w:rFonts w:ascii="Times New Roman" w:eastAsia="Times New Roman" w:hAnsi="Times New Roman" w:cs="Times New Roman"/>
          <w:i/>
          <w:lang w:val="en-NZ"/>
        </w:rPr>
        <w:t xml:space="preserve"> UMR ASTRE, CIRAD, INRAE, Université de Montpellier, </w:t>
      </w:r>
      <w:proofErr w:type="spellStart"/>
      <w:r w:rsidRPr="004436F0">
        <w:rPr>
          <w:rFonts w:ascii="Times New Roman" w:eastAsia="Times New Roman" w:hAnsi="Times New Roman" w:cs="Times New Roman"/>
          <w:i/>
          <w:lang w:val="en-NZ"/>
        </w:rPr>
        <w:t>Plateforme</w:t>
      </w:r>
      <w:proofErr w:type="spellEnd"/>
      <w:r w:rsidRPr="004436F0">
        <w:rPr>
          <w:rFonts w:ascii="Times New Roman" w:eastAsia="Times New Roman" w:hAnsi="Times New Roman" w:cs="Times New Roman"/>
          <w:i/>
          <w:lang w:val="en-NZ"/>
        </w:rPr>
        <w:t xml:space="preserve"> </w:t>
      </w:r>
      <w:proofErr w:type="spellStart"/>
      <w:r w:rsidRPr="004436F0">
        <w:rPr>
          <w:rFonts w:ascii="Times New Roman" w:eastAsia="Times New Roman" w:hAnsi="Times New Roman" w:cs="Times New Roman"/>
          <w:i/>
          <w:lang w:val="en-NZ"/>
        </w:rPr>
        <w:t>Technologique</w:t>
      </w:r>
      <w:proofErr w:type="spellEnd"/>
      <w:r w:rsidRPr="004436F0">
        <w:rPr>
          <w:rFonts w:ascii="Times New Roman" w:eastAsia="Times New Roman" w:hAnsi="Times New Roman" w:cs="Times New Roman"/>
          <w:i/>
          <w:lang w:val="en-NZ"/>
        </w:rPr>
        <w:t xml:space="preserve"> CYROI, Sainte-Clotilde, La Réunion France</w:t>
      </w:r>
    </w:p>
    <w:p w14:paraId="0C01DFFE" w14:textId="77777777" w:rsidR="00E33009" w:rsidRPr="004436F0" w:rsidRDefault="000C74F9">
      <w:pPr>
        <w:spacing w:before="120" w:after="240" w:line="240" w:lineRule="auto"/>
        <w:jc w:val="both"/>
        <w:rPr>
          <w:rFonts w:ascii="Times New Roman" w:eastAsia="Times New Roman" w:hAnsi="Times New Roman" w:cs="Times New Roman"/>
          <w:i/>
          <w:lang w:val="en-NZ"/>
        </w:rPr>
      </w:pPr>
      <w:r w:rsidRPr="004436F0">
        <w:rPr>
          <w:rFonts w:ascii="Times New Roman" w:eastAsia="Times New Roman" w:hAnsi="Times New Roman" w:cs="Times New Roman"/>
          <w:i/>
          <w:vertAlign w:val="superscript"/>
          <w:lang w:val="en-NZ"/>
        </w:rPr>
        <w:t>3</w:t>
      </w:r>
      <w:r w:rsidRPr="004436F0">
        <w:rPr>
          <w:rFonts w:ascii="Times New Roman" w:eastAsia="Times New Roman" w:hAnsi="Times New Roman" w:cs="Times New Roman"/>
          <w:i/>
          <w:lang w:val="en-NZ"/>
        </w:rPr>
        <w:t xml:space="preserve"> Alam Sehat Lestari, Indonesia</w:t>
      </w:r>
    </w:p>
    <w:p w14:paraId="0C01DFFF" w14:textId="77777777" w:rsidR="00E33009" w:rsidRPr="004436F0" w:rsidRDefault="000C74F9">
      <w:pPr>
        <w:spacing w:after="240"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lang w:val="en-NZ"/>
        </w:rPr>
        <w:t>* Corresponding author</w:t>
      </w:r>
      <w:r w:rsidRPr="004436F0">
        <w:rPr>
          <w:rFonts w:ascii="Times New Roman" w:eastAsia="Times New Roman" w:hAnsi="Times New Roman" w:cs="Times New Roman"/>
          <w:b/>
          <w:lang w:val="en-NZ"/>
        </w:rPr>
        <w:t>:</w:t>
      </w:r>
      <w:r w:rsidRPr="004436F0">
        <w:rPr>
          <w:rFonts w:ascii="Times New Roman" w:eastAsia="Times New Roman" w:hAnsi="Times New Roman" w:cs="Times New Roman"/>
          <w:lang w:val="en-NZ"/>
        </w:rPr>
        <w:t xml:space="preserve"> </w:t>
      </w:r>
      <w:hyperlink r:id="rId10">
        <w:r w:rsidRPr="004436F0">
          <w:rPr>
            <w:rFonts w:ascii="Times New Roman" w:eastAsia="Times New Roman" w:hAnsi="Times New Roman" w:cs="Times New Roman"/>
            <w:u w:val="single"/>
            <w:lang w:val="en-NZ"/>
          </w:rPr>
          <w:t>r.delaramuylaert@massey.ac.nz</w:t>
        </w:r>
      </w:hyperlink>
    </w:p>
    <w:p w14:paraId="0C01E000" w14:textId="77777777" w:rsidR="00E33009" w:rsidRPr="004436F0" w:rsidRDefault="00E33009">
      <w:pPr>
        <w:pStyle w:val="Heading4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en-NZ"/>
        </w:rPr>
      </w:pPr>
      <w:bookmarkStart w:id="2" w:name="_ie7jsknpc0te" w:colFirst="0" w:colLast="0"/>
      <w:bookmarkEnd w:id="2"/>
    </w:p>
    <w:p w14:paraId="0C01E001" w14:textId="77777777" w:rsidR="00E33009" w:rsidRPr="004436F0" w:rsidRDefault="000C74F9">
      <w:pPr>
        <w:pStyle w:val="Heading4"/>
        <w:spacing w:after="24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en-NZ"/>
        </w:rPr>
      </w:pPr>
      <w:bookmarkStart w:id="3" w:name="_z80mo8fxb5qm" w:colFirst="0" w:colLast="0"/>
      <w:bookmarkEnd w:id="3"/>
      <w:r w:rsidRPr="004436F0">
        <w:rPr>
          <w:rFonts w:ascii="Times New Roman" w:eastAsia="Times New Roman" w:hAnsi="Times New Roman" w:cs="Times New Roman"/>
          <w:b/>
          <w:color w:val="000000"/>
          <w:sz w:val="22"/>
          <w:szCs w:val="22"/>
          <w:lang w:val="en-NZ"/>
        </w:rPr>
        <w:t>This file includes:</w:t>
      </w:r>
    </w:p>
    <w:p w14:paraId="0C01E002" w14:textId="77777777" w:rsidR="00E33009" w:rsidRPr="004436F0" w:rsidRDefault="000C74F9">
      <w:pPr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lang w:val="en-NZ"/>
        </w:rPr>
        <w:tab/>
        <w:t>Tables S1-3</w:t>
      </w:r>
    </w:p>
    <w:p w14:paraId="0C01E003" w14:textId="77777777" w:rsidR="00E33009" w:rsidRPr="004436F0" w:rsidRDefault="000C74F9">
      <w:pPr>
        <w:spacing w:before="120" w:after="240" w:line="360" w:lineRule="auto"/>
        <w:ind w:firstLine="720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lang w:val="en-NZ"/>
        </w:rPr>
        <w:t>Figures S1-10</w:t>
      </w:r>
    </w:p>
    <w:p w14:paraId="0C01E004" w14:textId="77777777" w:rsidR="00E33009" w:rsidRPr="004436F0" w:rsidRDefault="00E33009">
      <w:pPr>
        <w:spacing w:line="360" w:lineRule="auto"/>
        <w:rPr>
          <w:rFonts w:ascii="Times New Roman" w:eastAsia="Times New Roman" w:hAnsi="Times New Roman" w:cs="Times New Roman"/>
          <w:color w:val="1155CC"/>
          <w:lang w:val="en-NZ"/>
        </w:rPr>
      </w:pPr>
    </w:p>
    <w:p w14:paraId="0C01E005" w14:textId="77777777" w:rsidR="00E33009" w:rsidRPr="004436F0" w:rsidRDefault="000C74F9">
      <w:pPr>
        <w:spacing w:line="360" w:lineRule="auto"/>
        <w:rPr>
          <w:rFonts w:ascii="Times New Roman" w:eastAsia="Times New Roman" w:hAnsi="Times New Roman" w:cs="Times New Roman"/>
          <w:b/>
          <w:lang w:val="en-NZ"/>
        </w:rPr>
      </w:pPr>
      <w:r w:rsidRPr="004436F0">
        <w:rPr>
          <w:lang w:val="en-NZ"/>
        </w:rPr>
        <w:br w:type="page"/>
      </w:r>
    </w:p>
    <w:p w14:paraId="0C01E006" w14:textId="77777777" w:rsidR="00E33009" w:rsidRPr="004436F0" w:rsidRDefault="000C74F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b/>
          <w:lang w:val="en-NZ"/>
        </w:rPr>
        <w:lastRenderedPageBreak/>
        <w:t xml:space="preserve">Table S1. </w:t>
      </w:r>
      <w:r w:rsidRPr="004436F0">
        <w:rPr>
          <w:rFonts w:ascii="Times New Roman" w:eastAsia="Times New Roman" w:hAnsi="Times New Roman" w:cs="Times New Roman"/>
          <w:lang w:val="en-NZ"/>
        </w:rPr>
        <w:t>Variation in Average values for spatial variables considering different Z-values.</w:t>
      </w:r>
    </w:p>
    <w:p w14:paraId="0C01E007" w14:textId="77777777" w:rsidR="00E33009" w:rsidRPr="004436F0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  <w:b/>
          <w:lang w:val="en-NZ"/>
        </w:rPr>
      </w:pPr>
      <w:r w:rsidRPr="004436F0">
        <w:rPr>
          <w:rFonts w:ascii="Times New Roman" w:eastAsia="Times New Roman" w:hAnsi="Times New Roman" w:cs="Times New Roman"/>
          <w:b/>
          <w:lang w:val="en-NZ"/>
        </w:rPr>
        <w:t>z</w:t>
      </w:r>
      <w:r w:rsidRPr="004436F0">
        <w:rPr>
          <w:rFonts w:ascii="Times New Roman" w:eastAsia="Times New Roman" w:hAnsi="Times New Roman" w:cs="Times New Roman"/>
          <w:b/>
          <w:lang w:val="en-NZ"/>
        </w:rPr>
        <w:tab/>
        <w:t>Components</w:t>
      </w:r>
      <w:r w:rsidRPr="004436F0">
        <w:rPr>
          <w:rFonts w:ascii="Times New Roman" w:eastAsia="Times New Roman" w:hAnsi="Times New Roman" w:cs="Times New Roman"/>
          <w:b/>
          <w:lang w:val="en-NZ"/>
        </w:rPr>
        <w:tab/>
        <w:t>value</w:t>
      </w:r>
    </w:p>
    <w:p w14:paraId="0C01E008" w14:textId="77777777" w:rsidR="00E33009" w:rsidRPr="004436F0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lang w:val="en-NZ"/>
        </w:rPr>
        <w:t>z  = 0.20</w:t>
      </w:r>
      <w:r w:rsidRPr="004436F0">
        <w:rPr>
          <w:rFonts w:ascii="Times New Roman" w:eastAsia="Times New Roman" w:hAnsi="Times New Roman" w:cs="Times New Roman"/>
          <w:lang w:val="en-NZ"/>
        </w:rPr>
        <w:tab/>
        <w:t>bio</w:t>
      </w:r>
      <w:r w:rsidRPr="004436F0">
        <w:rPr>
          <w:rFonts w:ascii="Times New Roman" w:eastAsia="Times New Roman" w:hAnsi="Times New Roman" w:cs="Times New Roman"/>
          <w:lang w:val="en-NZ"/>
        </w:rPr>
        <w:tab/>
        <w:t>5.26</w:t>
      </w:r>
    </w:p>
    <w:p w14:paraId="0C01E009" w14:textId="77777777" w:rsidR="00E33009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 = 0.30</w:t>
      </w:r>
      <w:r>
        <w:rPr>
          <w:rFonts w:ascii="Times New Roman" w:eastAsia="Times New Roman" w:hAnsi="Times New Roman" w:cs="Times New Roman"/>
        </w:rPr>
        <w:tab/>
        <w:t>bio</w:t>
      </w:r>
      <w:r>
        <w:rPr>
          <w:rFonts w:ascii="Times New Roman" w:eastAsia="Times New Roman" w:hAnsi="Times New Roman" w:cs="Times New Roman"/>
        </w:rPr>
        <w:tab/>
        <w:t>10.77</w:t>
      </w:r>
    </w:p>
    <w:p w14:paraId="0C01E00A" w14:textId="77777777" w:rsidR="00E33009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 = 0.20</w:t>
      </w:r>
      <w:r>
        <w:rPr>
          <w:rFonts w:ascii="Times New Roman" w:eastAsia="Times New Roman" w:hAnsi="Times New Roman" w:cs="Times New Roman"/>
        </w:rPr>
        <w:tab/>
        <w:t>eRIDE</w:t>
      </w:r>
      <w:r>
        <w:rPr>
          <w:rFonts w:ascii="Times New Roman" w:eastAsia="Times New Roman" w:hAnsi="Times New Roman" w:cs="Times New Roman"/>
        </w:rPr>
        <w:tab/>
        <w:t>2.42</w:t>
      </w:r>
    </w:p>
    <w:p w14:paraId="0C01E00B" w14:textId="77777777" w:rsidR="00E33009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 = 0.30</w:t>
      </w:r>
      <w:r>
        <w:rPr>
          <w:rFonts w:ascii="Times New Roman" w:eastAsia="Times New Roman" w:hAnsi="Times New Roman" w:cs="Times New Roman"/>
        </w:rPr>
        <w:tab/>
        <w:t>eRIDE</w:t>
      </w:r>
      <w:r>
        <w:rPr>
          <w:rFonts w:ascii="Times New Roman" w:eastAsia="Times New Roman" w:hAnsi="Times New Roman" w:cs="Times New Roman"/>
        </w:rPr>
        <w:tab/>
        <w:t>4.3</w:t>
      </w:r>
    </w:p>
    <w:p w14:paraId="0C01E00C" w14:textId="77777777" w:rsidR="00E33009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 = 0.20</w:t>
      </w:r>
      <w:r>
        <w:rPr>
          <w:rFonts w:ascii="Times New Roman" w:eastAsia="Times New Roman" w:hAnsi="Times New Roman" w:cs="Times New Roman"/>
        </w:rPr>
        <w:tab/>
        <w:t>PAR</w:t>
      </w:r>
      <w:r>
        <w:rPr>
          <w:rFonts w:ascii="Times New Roman" w:eastAsia="Times New Roman" w:hAnsi="Times New Roman" w:cs="Times New Roman"/>
        </w:rPr>
        <w:tab/>
        <w:t>16.11</w:t>
      </w:r>
    </w:p>
    <w:p w14:paraId="0C01E00D" w14:textId="77777777" w:rsidR="00E33009" w:rsidRDefault="000C74F9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  = 0.30</w:t>
      </w:r>
      <w:r>
        <w:rPr>
          <w:rFonts w:ascii="Times New Roman" w:eastAsia="Times New Roman" w:hAnsi="Times New Roman" w:cs="Times New Roman"/>
        </w:rPr>
        <w:tab/>
        <w:t>PAR</w:t>
      </w:r>
      <w:r>
        <w:rPr>
          <w:rFonts w:ascii="Times New Roman" w:eastAsia="Times New Roman" w:hAnsi="Times New Roman" w:cs="Times New Roman"/>
        </w:rPr>
        <w:tab/>
        <w:t>26.25</w:t>
      </w:r>
    </w:p>
    <w:p w14:paraId="0C01E00E" w14:textId="77777777" w:rsidR="00E33009" w:rsidRDefault="00E33009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14:paraId="0C01E00F" w14:textId="77777777" w:rsidR="00E33009" w:rsidRDefault="000C74F9">
      <w:pPr>
        <w:pStyle w:val="Heading5"/>
        <w:spacing w:after="160" w:line="36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4" w:name="_zw6q7pslzia" w:colFirst="0" w:colLast="0"/>
      <w:bookmarkEnd w:id="4"/>
      <w:r>
        <w:br w:type="page"/>
      </w:r>
    </w:p>
    <w:p w14:paraId="0C01E010" w14:textId="77777777" w:rsidR="00E33009" w:rsidRPr="004436F0" w:rsidRDefault="000C74F9">
      <w:pPr>
        <w:pStyle w:val="Heading5"/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lang w:val="en-NZ"/>
        </w:rPr>
      </w:pPr>
      <w:bookmarkStart w:id="5" w:name="_ou5i4rsfk5qv" w:colFirst="0" w:colLast="0"/>
      <w:bookmarkEnd w:id="5"/>
      <w:r>
        <w:rPr>
          <w:rFonts w:ascii="Times New Roman" w:eastAsia="Times New Roman" w:hAnsi="Times New Roman" w:cs="Times New Roman"/>
          <w:b/>
          <w:color w:val="000000"/>
        </w:rPr>
        <w:lastRenderedPageBreak/>
        <w:t xml:space="preserve">Table S2. </w:t>
      </w:r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Mean and standard deviations of empirically estimated </w:t>
      </w:r>
      <w:r w:rsidRPr="004436F0">
        <w:rPr>
          <w:rFonts w:ascii="Times New Roman" w:eastAsia="Times New Roman" w:hAnsi="Times New Roman" w:cs="Times New Roman"/>
          <w:b/>
          <w:i/>
          <w:color w:val="000000"/>
          <w:lang w:val="en-NZ"/>
        </w:rPr>
        <w:t>z</w:t>
      </w:r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-values (</w:t>
      </w:r>
      <w:r w:rsidRPr="004436F0">
        <w:rPr>
          <w:rFonts w:ascii="Times New Roman" w:eastAsia="Times New Roman" w:hAnsi="Times New Roman" w:cs="Times New Roman"/>
          <w:b/>
          <w:color w:val="000000"/>
          <w:highlight w:val="white"/>
          <w:lang w:val="en-NZ"/>
        </w:rPr>
        <w:t>rate of decline</w:t>
      </w:r>
      <w:r w:rsidRPr="004436F0">
        <w:rPr>
          <w:rFonts w:ascii="Times New Roman" w:eastAsia="Times New Roman" w:hAnsi="Times New Roman" w:cs="Times New Roman"/>
          <w:b/>
          <w:i/>
          <w:color w:val="000000"/>
          <w:highlight w:val="white"/>
          <w:lang w:val="en-NZ"/>
        </w:rPr>
        <w:t>)</w:t>
      </w:r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 for the SAR relationship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>. Values are calculated from island species–area relationship (ISAR) and RANSAC versions of each dataset. Reference value for estimated risk for novel infectious disease emergence  (</w:t>
      </w:r>
      <w:proofErr w:type="spellStart"/>
      <w:r w:rsidRPr="004436F0">
        <w:rPr>
          <w:rFonts w:ascii="Times New Roman" w:eastAsia="Times New Roman" w:hAnsi="Times New Roman" w:cs="Times New Roman"/>
          <w:color w:val="000000"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color w:val="000000"/>
          <w:lang w:val="en-NZ"/>
        </w:rPr>
        <w:t>) calculation was set as 0.2.</w:t>
      </w:r>
    </w:p>
    <w:tbl>
      <w:tblPr>
        <w:tblStyle w:val="a"/>
        <w:tblW w:w="99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2685"/>
        <w:gridCol w:w="2775"/>
      </w:tblGrid>
      <w:tr w:rsidR="00E33009" w14:paraId="0C01E014" w14:textId="77777777">
        <w:trPr>
          <w:trHeight w:val="495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1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Model</w:t>
            </w:r>
          </w:p>
        </w:tc>
        <w:tc>
          <w:tcPr>
            <w:tcW w:w="26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2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z-value</w:t>
            </w:r>
          </w:p>
        </w:tc>
        <w:tc>
          <w:tcPr>
            <w:tcW w:w="27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3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Reference</w:t>
            </w:r>
          </w:p>
        </w:tc>
      </w:tr>
      <w:tr w:rsidR="00E33009" w14:paraId="0C01E018" w14:textId="77777777">
        <w:trPr>
          <w:trHeight w:val="975"/>
        </w:trPr>
        <w:tc>
          <w:tcPr>
            <w:tcW w:w="4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5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Invertebrates (n=20)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6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0.24 ± 0.21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7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(Matthews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et al.</w:t>
            </w:r>
            <w:r>
              <w:rPr>
                <w:rFonts w:ascii="Times New Roman" w:eastAsia="Times New Roman" w:hAnsi="Times New Roman" w:cs="Times New Roman"/>
              </w:rPr>
              <w:t>, 2016)</w:t>
            </w:r>
          </w:p>
        </w:tc>
      </w:tr>
      <w:tr w:rsidR="00E33009" w14:paraId="0C01E01C" w14:textId="77777777">
        <w:trPr>
          <w:trHeight w:val="975"/>
        </w:trPr>
        <w:tc>
          <w:tcPr>
            <w:tcW w:w="4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9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Plants (n=8)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A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0.14 ± 0.09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B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(Matthews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et al.</w:t>
            </w:r>
            <w:r>
              <w:rPr>
                <w:rFonts w:ascii="Times New Roman" w:eastAsia="Times New Roman" w:hAnsi="Times New Roman" w:cs="Times New Roman"/>
              </w:rPr>
              <w:t>, 2016)</w:t>
            </w:r>
          </w:p>
        </w:tc>
      </w:tr>
      <w:tr w:rsidR="00E33009" w14:paraId="0C01E020" w14:textId="77777777">
        <w:trPr>
          <w:trHeight w:val="975"/>
        </w:trPr>
        <w:tc>
          <w:tcPr>
            <w:tcW w:w="4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D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Vertebrates (n=69)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E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0.23 ± 0.13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1F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(Matthews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et al.</w:t>
            </w:r>
            <w:r>
              <w:rPr>
                <w:rFonts w:ascii="Times New Roman" w:eastAsia="Times New Roman" w:hAnsi="Times New Roman" w:cs="Times New Roman"/>
              </w:rPr>
              <w:t>, 2016)</w:t>
            </w:r>
          </w:p>
        </w:tc>
      </w:tr>
      <w:tr w:rsidR="00E33009" w14:paraId="0C01E024" w14:textId="77777777">
        <w:trPr>
          <w:trHeight w:val="495"/>
        </w:trPr>
        <w:tc>
          <w:tcPr>
            <w:tcW w:w="44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21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Microbial communities (n=1)</w:t>
            </w:r>
          </w:p>
        </w:tc>
        <w:tc>
          <w:tcPr>
            <w:tcW w:w="26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22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0.28</w:t>
            </w:r>
          </w:p>
        </w:tc>
        <w:tc>
          <w:tcPr>
            <w:tcW w:w="27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1E023" w14:textId="77777777" w:rsidR="00E33009" w:rsidRDefault="000C74F9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(Bell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et al.</w:t>
            </w:r>
            <w:r>
              <w:rPr>
                <w:rFonts w:ascii="Times New Roman" w:eastAsia="Times New Roman" w:hAnsi="Times New Roman" w:cs="Times New Roman"/>
              </w:rPr>
              <w:t>, 2005)</w:t>
            </w:r>
          </w:p>
        </w:tc>
      </w:tr>
    </w:tbl>
    <w:p w14:paraId="0C01E026" w14:textId="77777777" w:rsidR="00E33009" w:rsidRDefault="00E3300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6" w:name="_vb4yyu0d7s0" w:colFirst="0" w:colLast="0"/>
      <w:bookmarkEnd w:id="6"/>
    </w:p>
    <w:p w14:paraId="0C01E027" w14:textId="77777777" w:rsidR="00E33009" w:rsidRDefault="000C74F9">
      <w:pPr>
        <w:jc w:val="both"/>
        <w:rPr>
          <w:rFonts w:ascii="Times New Roman" w:eastAsia="Times New Roman" w:hAnsi="Times New Roman" w:cs="Times New Roman"/>
          <w:b/>
          <w:highlight w:val="white"/>
        </w:rPr>
      </w:pPr>
      <w:r>
        <w:br w:type="page"/>
      </w:r>
    </w:p>
    <w:p w14:paraId="0C01E028" w14:textId="77777777" w:rsidR="00E33009" w:rsidRPr="004436F0" w:rsidRDefault="000C74F9">
      <w:pPr>
        <w:jc w:val="both"/>
        <w:rPr>
          <w:rFonts w:ascii="Times New Roman" w:eastAsia="Times New Roman" w:hAnsi="Times New Roman" w:cs="Times New Roman"/>
          <w:highlight w:val="white"/>
          <w:lang w:val="en-NZ"/>
        </w:rPr>
      </w:pPr>
      <w:r w:rsidRPr="004436F0">
        <w:rPr>
          <w:rFonts w:ascii="Times New Roman" w:eastAsia="Times New Roman" w:hAnsi="Times New Roman" w:cs="Times New Roman"/>
          <w:b/>
          <w:highlight w:val="white"/>
          <w:lang w:val="en-NZ"/>
        </w:rPr>
        <w:lastRenderedPageBreak/>
        <w:t>Table S3.</w:t>
      </w:r>
      <w:r w:rsidRPr="004436F0">
        <w:rPr>
          <w:rFonts w:ascii="Times New Roman" w:eastAsia="Times New Roman" w:hAnsi="Times New Roman" w:cs="Times New Roman"/>
          <w:highlight w:val="white"/>
          <w:lang w:val="en-NZ"/>
        </w:rPr>
        <w:t xml:space="preserve"> z-value estimates for vertebrates from different island groups </w:t>
      </w:r>
      <w:hyperlink r:id="rId11">
        <w:r w:rsidRPr="004436F0">
          <w:rPr>
            <w:rFonts w:ascii="Times New Roman" w:eastAsia="Times New Roman" w:hAnsi="Times New Roman" w:cs="Times New Roman"/>
            <w:highlight w:val="white"/>
            <w:lang w:val="en-NZ"/>
          </w:rPr>
          <w:t>(Matthews et al. 2019)</w:t>
        </w:r>
      </w:hyperlink>
      <w:r w:rsidRPr="004436F0">
        <w:rPr>
          <w:rFonts w:ascii="Times New Roman" w:eastAsia="Times New Roman" w:hAnsi="Times New Roman" w:cs="Times New Roman"/>
          <w:highlight w:val="white"/>
          <w:lang w:val="en-NZ"/>
        </w:rPr>
        <w:t xml:space="preserve"> ordered alphabetically and by group (Birds, Mammals, Herpetofauna).</w:t>
      </w:r>
    </w:p>
    <w:p w14:paraId="0C01E029" w14:textId="77777777" w:rsidR="00E33009" w:rsidRPr="004436F0" w:rsidRDefault="00E33009">
      <w:pPr>
        <w:jc w:val="both"/>
        <w:rPr>
          <w:rFonts w:ascii="Times New Roman" w:eastAsia="Times New Roman" w:hAnsi="Times New Roman" w:cs="Times New Roman"/>
          <w:highlight w:val="white"/>
          <w:lang w:val="en-NZ"/>
        </w:rPr>
      </w:pPr>
    </w:p>
    <w:tbl>
      <w:tblPr>
        <w:tblStyle w:val="a0"/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71"/>
        <w:gridCol w:w="5473"/>
        <w:gridCol w:w="681"/>
      </w:tblGrid>
      <w:tr w:rsidR="00E33009" w14:paraId="0C01E02D" w14:textId="77777777">
        <w:trPr>
          <w:trHeight w:val="6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2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Taxon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2B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Archipelago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2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z</w:t>
            </w:r>
          </w:p>
        </w:tc>
      </w:tr>
      <w:tr w:rsidR="00E33009" w14:paraId="0C01E032" w14:textId="77777777">
        <w:trPr>
          <w:trHeight w:val="73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2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2F" w14:textId="77777777" w:rsidR="00E33009" w:rsidRPr="004436F0" w:rsidRDefault="000C7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French Frigate Shoals atoll and Perl &amp; Hermes Reef (S.W.</w:t>
            </w:r>
          </w:p>
          <w:p w14:paraId="0C01E03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Hawaii)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0.54</w:t>
            </w:r>
          </w:p>
        </w:tc>
      </w:tr>
      <w:tr w:rsidR="00E33009" w14:paraId="0C01E036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3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Maine,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0.53</w:t>
            </w:r>
          </w:p>
        </w:tc>
      </w:tr>
      <w:tr w:rsidR="00E33009" w14:paraId="0C01E03A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7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8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proofErr w:type="spellStart"/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Åland</w:t>
            </w:r>
            <w:proofErr w:type="spellEnd"/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 xml:space="preserve"> Islands, S.W. Finland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0.51</w:t>
            </w:r>
          </w:p>
        </w:tc>
      </w:tr>
      <w:tr w:rsidR="00E33009" w14:paraId="0C01E03E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B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Boston Harbor Islands, Massachusetts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0.5</w:t>
            </w:r>
          </w:p>
        </w:tc>
      </w:tr>
      <w:tr w:rsidR="00E33009" w14:paraId="0C01E042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3F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Indian Ocean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0.48</w:t>
            </w:r>
          </w:p>
        </w:tc>
      </w:tr>
      <w:tr w:rsidR="00E33009" w14:paraId="0C01E046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3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4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Georgian Bay Islands, Great Lakes,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0.47</w:t>
            </w:r>
          </w:p>
        </w:tc>
      </w:tr>
      <w:tr w:rsidR="00E33009" w14:paraId="0C01E04A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7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8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Fathom Five Islands, Great Lakes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</w:t>
            </w:r>
          </w:p>
        </w:tc>
      </w:tr>
      <w:tr w:rsidR="00E33009" w14:paraId="0C01E04E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B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C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Michigan Lake, Great Lakes, North America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0.39</w:t>
            </w:r>
          </w:p>
        </w:tc>
      </w:tr>
      <w:tr w:rsidR="00E33009" w14:paraId="0C01E052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4F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New Zealand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0.31</w:t>
            </w:r>
          </w:p>
        </w:tc>
      </w:tr>
      <w:tr w:rsidR="00E33009" w14:paraId="0C01E056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3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Dahlak Archipelago, Red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0.31</w:t>
            </w:r>
          </w:p>
        </w:tc>
      </w:tr>
      <w:tr w:rsidR="00E33009" w14:paraId="0C01E05A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7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Samoa offshore Islands, Pacific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0.25</w:t>
            </w:r>
          </w:p>
        </w:tc>
      </w:tr>
      <w:tr w:rsidR="00E33009" w14:paraId="0C01E05E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B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Hawaiian Islands, Pacific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0.24</w:t>
            </w:r>
          </w:p>
        </w:tc>
      </w:tr>
      <w:tr w:rsidR="00E33009" w14:paraId="0C01E062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5F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Lago Guri islands, Venezuela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0.24</w:t>
            </w:r>
          </w:p>
        </w:tc>
      </w:tr>
      <w:tr w:rsidR="00E33009" w14:paraId="0C01E066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3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Philippine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0.24</w:t>
            </w:r>
          </w:p>
        </w:tc>
      </w:tr>
      <w:tr w:rsidR="00E33009" w14:paraId="0C01E06A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7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Lesser Antilles, Caribbean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</w:t>
            </w:r>
          </w:p>
        </w:tc>
      </w:tr>
      <w:tr w:rsidR="00E33009" w14:paraId="0C01E06E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B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West Indies, Caribbean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0.19</w:t>
            </w:r>
          </w:p>
        </w:tc>
      </w:tr>
      <w:tr w:rsidR="00E33009" w14:paraId="0C01E072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6F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New Zealand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0.17</w:t>
            </w:r>
          </w:p>
        </w:tc>
      </w:tr>
      <w:tr w:rsidR="00E33009" w14:paraId="0C01E076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3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4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St. Lawrence, Great Lakes,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0.17</w:t>
            </w:r>
          </w:p>
        </w:tc>
      </w:tr>
      <w:tr w:rsidR="00E33009" w14:paraId="0C01E07A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7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Cape Verde, Atlantic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0.15</w:t>
            </w:r>
          </w:p>
        </w:tc>
      </w:tr>
      <w:tr w:rsidR="00E33009" w14:paraId="0C01E07E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B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Vanuatu, Pacific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0.13</w:t>
            </w:r>
          </w:p>
        </w:tc>
      </w:tr>
      <w:tr w:rsidR="00E33009" w14:paraId="0C01E082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7F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Vava'u Group, Tonga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0.07</w:t>
            </w:r>
          </w:p>
        </w:tc>
      </w:tr>
      <w:tr w:rsidR="00E33009" w14:paraId="0C01E086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3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 (forest birds)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Andaman islands, Indian Ocean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0.18</w:t>
            </w:r>
          </w:p>
        </w:tc>
      </w:tr>
      <w:tr w:rsidR="00E33009" w14:paraId="0C01E08B" w14:textId="77777777">
        <w:trPr>
          <w:trHeight w:val="73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7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Birds (passeriformes)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8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Thousand Island Lake Region, China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9" w14:textId="77777777" w:rsidR="00E33009" w:rsidRDefault="000C74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</w:t>
            </w:r>
          </w:p>
          <w:p w14:paraId="0C01E08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</w:tr>
      <w:tr w:rsidR="00E33009" w14:paraId="0C01E08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D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Green Bay, Lake Michigan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8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0.46</w:t>
            </w:r>
          </w:p>
        </w:tc>
      </w:tr>
      <w:tr w:rsidR="00E33009" w14:paraId="0C01E093" w14:textId="77777777">
        <w:trPr>
          <w:trHeight w:val="6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Western Lake Erie,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0.42</w:t>
            </w:r>
          </w:p>
        </w:tc>
      </w:tr>
      <w:tr w:rsidR="00E33009" w14:paraId="0C01E09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5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Gulf of California, Central America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0.34</w:t>
            </w:r>
          </w:p>
        </w:tc>
      </w:tr>
      <w:tr w:rsidR="00E33009" w14:paraId="0C01E09B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9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St. Lawrence, Great Lakes,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0.33</w:t>
            </w:r>
          </w:p>
        </w:tc>
      </w:tr>
      <w:tr w:rsidR="00E33009" w14:paraId="0C01E09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D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Georgian Bay Islands, Great Lakes,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9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0.31</w:t>
            </w:r>
          </w:p>
        </w:tc>
      </w:tr>
      <w:tr w:rsidR="00E33009" w14:paraId="0C01E0A3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Grenadines Islands, Caribbean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0.27</w:t>
            </w:r>
          </w:p>
        </w:tc>
      </w:tr>
      <w:tr w:rsidR="00E33009" w14:paraId="0C01E0A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Mediterranean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0.23</w:t>
            </w:r>
          </w:p>
        </w:tc>
      </w:tr>
      <w:tr w:rsidR="00E33009" w14:paraId="0C01E0AB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Lesser Antilles, Caribbean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0.16</w:t>
            </w:r>
          </w:p>
        </w:tc>
      </w:tr>
      <w:tr w:rsidR="00E33009" w14:paraId="0C01E0A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 (amphibians)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Zhoushan archipelago, China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A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0.31</w:t>
            </w:r>
          </w:p>
        </w:tc>
      </w:tr>
      <w:tr w:rsidR="00E33009" w14:paraId="0C01E0B3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 (reptiles)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Adriatic Sea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0.36</w:t>
            </w:r>
          </w:p>
        </w:tc>
      </w:tr>
      <w:tr w:rsidR="00E33009" w14:paraId="0C01E0B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Herpetofauna (reptiles)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Aegean Sea, Greece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0.28</w:t>
            </w:r>
          </w:p>
        </w:tc>
      </w:tr>
      <w:tr w:rsidR="00E33009" w14:paraId="0C01E0BB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9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Green Bay, Lake Michigan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0.41</w:t>
            </w:r>
          </w:p>
        </w:tc>
      </w:tr>
      <w:tr w:rsidR="00E33009" w14:paraId="0C01E0B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D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Gulf of Maine, North America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B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0.4</w:t>
            </w:r>
          </w:p>
        </w:tc>
      </w:tr>
      <w:tr w:rsidR="00E33009" w14:paraId="0C01E0C3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Papua New Guinea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0.35</w:t>
            </w:r>
          </w:p>
        </w:tc>
      </w:tr>
      <w:tr w:rsidR="00E33009" w14:paraId="0C01E0C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5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Georgian Bay Islands, Great Lakes,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0.35</w:t>
            </w:r>
          </w:p>
        </w:tc>
      </w:tr>
      <w:tr w:rsidR="00E33009" w14:paraId="0C01E0CB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Great Bay, Japanese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0.31</w:t>
            </w:r>
          </w:p>
        </w:tc>
      </w:tr>
      <w:tr w:rsidR="00E33009" w14:paraId="0C01E0C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Adriatic Sea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C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0.29</w:t>
            </w:r>
          </w:p>
        </w:tc>
      </w:tr>
      <w:tr w:rsidR="00E33009" w14:paraId="0C01E0D3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1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Fathom Five Islands, Great Lakes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0.26</w:t>
            </w:r>
          </w:p>
        </w:tc>
      </w:tr>
      <w:tr w:rsidR="00E33009" w14:paraId="0C01E0D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Japanese archipelago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0.23</w:t>
            </w:r>
          </w:p>
        </w:tc>
      </w:tr>
      <w:tr w:rsidR="00E33009" w14:paraId="0C01E0DB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9" w14:textId="77777777" w:rsidR="00E33009" w:rsidRPr="004436F0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highlight w:val="white"/>
                <w:lang w:val="en-NZ"/>
              </w:rPr>
              <w:t>Gulf of Maine, North America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</w:t>
            </w:r>
          </w:p>
        </w:tc>
      </w:tr>
      <w:tr w:rsidR="00E33009" w14:paraId="0C01E0D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Alexander Archipelago, Alaska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D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0.18</w:t>
            </w:r>
          </w:p>
        </w:tc>
      </w:tr>
      <w:tr w:rsidR="00E33009" w14:paraId="0C01E0E3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New England, MA, USA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0.06</w:t>
            </w:r>
          </w:p>
        </w:tc>
      </w:tr>
      <w:tr w:rsidR="00E33009" w14:paraId="0C01E0E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 (bats)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West Indies, Caribbean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0.19</w:t>
            </w:r>
          </w:p>
        </w:tc>
      </w:tr>
      <w:tr w:rsidR="00E33009" w14:paraId="0C01E0EB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8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 (bats)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9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Baja, California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A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0.09</w:t>
            </w:r>
          </w:p>
        </w:tc>
      </w:tr>
      <w:tr w:rsidR="00E33009" w14:paraId="0C01E0EF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C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 (non-volant)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D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West Indies, Caribbean Sea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EE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</w:t>
            </w:r>
          </w:p>
        </w:tc>
      </w:tr>
      <w:tr w:rsidR="00E33009" w14:paraId="0C01E0F3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0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 (primates)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1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SE Asian Islands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2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0.21</w:t>
            </w:r>
          </w:p>
        </w:tc>
      </w:tr>
      <w:tr w:rsidR="00E33009" w14:paraId="0C01E0F7" w14:textId="77777777">
        <w:trPr>
          <w:trHeight w:val="465"/>
        </w:trPr>
        <w:tc>
          <w:tcPr>
            <w:tcW w:w="287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4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Mammals (shrews)</w:t>
            </w:r>
          </w:p>
        </w:tc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5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Sysmä Lake, Finland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6" w14:textId="77777777" w:rsidR="00E33009" w:rsidRDefault="000C74F9">
            <w:pPr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0.27</w:t>
            </w:r>
          </w:p>
        </w:tc>
      </w:tr>
    </w:tbl>
    <w:p w14:paraId="0C01E0F8" w14:textId="77777777" w:rsidR="00E33009" w:rsidRPr="004436F0" w:rsidRDefault="000C74F9">
      <w:pPr>
        <w:pStyle w:val="Heading5"/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val="en-NZ"/>
        </w:rPr>
      </w:pPr>
      <w:bookmarkStart w:id="7" w:name="_u24q4rk2kbrz" w:colFirst="0" w:colLast="0"/>
      <w:bookmarkEnd w:id="7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Table S4. Management level types and their respective pixel code. 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The description was adapted from </w:t>
      </w:r>
      <w:proofErr w:type="spellStart"/>
      <w:r w:rsidRPr="004436F0">
        <w:rPr>
          <w:rFonts w:ascii="Times New Roman" w:eastAsia="Times New Roman" w:hAnsi="Times New Roman" w:cs="Times New Roman"/>
          <w:color w:val="000000"/>
          <w:lang w:val="en-NZ"/>
        </w:rPr>
        <w:t>Lesiv</w:t>
      </w:r>
      <w:proofErr w:type="spellEnd"/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et al </w:t>
      </w:r>
      <w:hyperlink r:id="rId12">
        <w:r w:rsidRPr="004436F0">
          <w:rPr>
            <w:rFonts w:ascii="Times New Roman" w:eastAsia="Times New Roman" w:hAnsi="Times New Roman" w:cs="Times New Roman"/>
            <w:color w:val="000000"/>
            <w:vertAlign w:val="superscript"/>
            <w:lang w:val="en-NZ"/>
          </w:rPr>
          <w:t>47</w:t>
        </w:r>
      </w:hyperlink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. This forest management layer presents 100 m resolution data for 2015. </w:t>
      </w:r>
    </w:p>
    <w:tbl>
      <w:tblPr>
        <w:tblStyle w:val="a1"/>
        <w:tblW w:w="918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30"/>
        <w:gridCol w:w="2129"/>
        <w:gridCol w:w="2425"/>
        <w:gridCol w:w="2505"/>
      </w:tblGrid>
      <w:tr w:rsidR="00E33009" w14:paraId="0C01E0FD" w14:textId="77777777">
        <w:trPr>
          <w:trHeight w:val="485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9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Pixel code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A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Type Broad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B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Type Specific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C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Description</w:t>
            </w:r>
          </w:p>
        </w:tc>
      </w:tr>
      <w:tr w:rsidR="00E33009" w:rsidRPr="004436F0" w14:paraId="0C01E102" w14:textId="77777777">
        <w:trPr>
          <w:trHeight w:val="1625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E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0FF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management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0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 management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1" w14:textId="77777777" w:rsidR="00E33009" w:rsidRPr="004436F0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lang w:val="en-NZ"/>
              </w:rPr>
              <w:t>Not disturbed at 100 m buffer but can contain low human impact as houses and small crops within a 500 m buffer.</w:t>
            </w:r>
          </w:p>
        </w:tc>
      </w:tr>
      <w:tr w:rsidR="00E33009" w:rsidRPr="004436F0" w14:paraId="0C01E107" w14:textId="77777777">
        <w:trPr>
          <w:trHeight w:val="1340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3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20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4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5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Managed low-level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6" w14:textId="77777777" w:rsidR="00E33009" w:rsidRPr="004436F0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lang w:val="en-NZ"/>
              </w:rPr>
              <w:t>Naturally regenerating forests with signs of forest selective logging, clear cuts etc.</w:t>
            </w:r>
          </w:p>
        </w:tc>
      </w:tr>
      <w:tr w:rsidR="00E33009" w:rsidRPr="004436F0" w14:paraId="0C01E10C" w14:textId="77777777">
        <w:trPr>
          <w:trHeight w:val="770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8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9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A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long time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B" w14:textId="77777777" w:rsidR="00E33009" w:rsidRPr="004436F0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lang w:val="en-NZ"/>
              </w:rPr>
              <w:t>Planted forests with more 15 year rotation time.</w:t>
            </w:r>
          </w:p>
        </w:tc>
      </w:tr>
      <w:tr w:rsidR="00E33009" w:rsidRPr="004436F0" w14:paraId="0C01E111" w14:textId="77777777">
        <w:trPr>
          <w:trHeight w:val="770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D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E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0F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short time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0" w14:textId="77777777" w:rsidR="00E33009" w:rsidRPr="004436F0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lang w:val="en-NZ"/>
              </w:rPr>
              <w:t>Planted forests with 15 year rotation time or less.</w:t>
            </w:r>
          </w:p>
        </w:tc>
      </w:tr>
      <w:tr w:rsidR="00E33009" w14:paraId="0C01E116" w14:textId="77777777">
        <w:trPr>
          <w:trHeight w:val="485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2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3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4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oil Palm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5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Oil palm plantations.</w:t>
            </w:r>
          </w:p>
        </w:tc>
      </w:tr>
      <w:tr w:rsidR="00E33009" w:rsidRPr="004436F0" w14:paraId="0C01E11B" w14:textId="77777777">
        <w:trPr>
          <w:trHeight w:val="1340"/>
        </w:trPr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7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8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</w:t>
            </w:r>
          </w:p>
        </w:tc>
        <w:tc>
          <w:tcPr>
            <w:tcW w:w="242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9" w14:textId="77777777" w:rsidR="00E33009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Managed agroforestry 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E11A" w14:textId="77777777" w:rsidR="00E33009" w:rsidRPr="004436F0" w:rsidRDefault="000C74F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val="en-NZ"/>
              </w:rPr>
            </w:pPr>
            <w:r w:rsidRPr="004436F0">
              <w:rPr>
                <w:rFonts w:ascii="Times New Roman" w:eastAsia="Times New Roman" w:hAnsi="Times New Roman" w:cs="Times New Roman"/>
                <w:lang w:val="en-NZ"/>
              </w:rPr>
              <w:t>Orchards, olives, apples, nuts, cocoa, mixed crops, shifting cultivation, trees in built up areas.</w:t>
            </w:r>
          </w:p>
        </w:tc>
      </w:tr>
    </w:tbl>
    <w:p w14:paraId="0C01E11C" w14:textId="77777777" w:rsidR="00E33009" w:rsidRPr="004436F0" w:rsidRDefault="000C74F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  <w:r w:rsidRPr="004436F0">
        <w:rPr>
          <w:lang w:val="en-NZ"/>
        </w:rPr>
        <w:br w:type="page"/>
      </w:r>
    </w:p>
    <w:p w14:paraId="0C01E11D" w14:textId="77777777" w:rsidR="00E33009" w:rsidRPr="004436F0" w:rsidRDefault="00E33009">
      <w:pPr>
        <w:spacing w:line="360" w:lineRule="auto"/>
        <w:rPr>
          <w:rFonts w:ascii="Times New Roman" w:eastAsia="Times New Roman" w:hAnsi="Times New Roman" w:cs="Times New Roman"/>
          <w:color w:val="1155CC"/>
          <w:lang w:val="en-NZ"/>
        </w:rPr>
      </w:pPr>
    </w:p>
    <w:p w14:paraId="0C01E11E" w14:textId="77777777" w:rsidR="00E33009" w:rsidRPr="004436F0" w:rsidRDefault="00E33009">
      <w:pPr>
        <w:spacing w:line="360" w:lineRule="auto"/>
        <w:ind w:firstLine="720"/>
        <w:rPr>
          <w:rFonts w:ascii="Times New Roman" w:eastAsia="Times New Roman" w:hAnsi="Times New Roman" w:cs="Times New Roman"/>
          <w:color w:val="1155CC"/>
          <w:lang w:val="en-NZ"/>
        </w:rPr>
      </w:pPr>
    </w:p>
    <w:p w14:paraId="0C01E11F" w14:textId="77777777" w:rsidR="00E33009" w:rsidRPr="004436F0" w:rsidRDefault="00E3300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</w:p>
    <w:p w14:paraId="0C01E120" w14:textId="58E9A978" w:rsidR="00E33009" w:rsidRDefault="00AC0A84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47C6DFF" wp14:editId="0B04CE96">
            <wp:extent cx="4294909" cy="3866322"/>
            <wp:effectExtent l="0" t="0" r="0" b="1270"/>
            <wp:docPr id="672335289" name="Picture 1" descr="A graph of different size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335289" name="Picture 1" descr="A graph of different sizes and numb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70" cy="38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E121" w14:textId="77777777" w:rsidR="00E33009" w:rsidRPr="004436F0" w:rsidRDefault="000C74F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b/>
          <w:lang w:val="en-NZ"/>
        </w:rPr>
        <w:t xml:space="preserve">Figure S1. Comparison of estimates for different z-values for the SAR relationship and its effect on </w:t>
      </w:r>
      <w:proofErr w:type="spellStart"/>
      <w:r w:rsidRPr="004436F0">
        <w:rPr>
          <w:rFonts w:ascii="Times New Roman" w:eastAsia="Times New Roman" w:hAnsi="Times New Roman" w:cs="Times New Roman"/>
          <w:b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b/>
          <w:lang w:val="en-NZ"/>
        </w:rPr>
        <w:t xml:space="preserve"> and PAR estimates considering the 500 m scale</w:t>
      </w:r>
      <w:r w:rsidRPr="004436F0">
        <w:rPr>
          <w:rFonts w:ascii="Times New Roman" w:eastAsia="Times New Roman" w:hAnsi="Times New Roman" w:cs="Times New Roman"/>
          <w:lang w:val="en-NZ"/>
        </w:rPr>
        <w:t>.</w:t>
      </w:r>
    </w:p>
    <w:p w14:paraId="0C01E122" w14:textId="77777777" w:rsidR="00E33009" w:rsidRPr="004436F0" w:rsidRDefault="000C74F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  <w:r w:rsidRPr="004436F0">
        <w:rPr>
          <w:lang w:val="en-NZ"/>
        </w:rPr>
        <w:br w:type="page"/>
      </w:r>
    </w:p>
    <w:p w14:paraId="0C01E123" w14:textId="77777777" w:rsidR="00E33009" w:rsidRDefault="000C74F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01E149" wp14:editId="0C01E14A">
            <wp:extent cx="5731200" cy="2108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24" w14:textId="77777777" w:rsidR="00E33009" w:rsidRPr="004436F0" w:rsidRDefault="000C74F9">
      <w:pPr>
        <w:pStyle w:val="Heading5"/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val="en-NZ"/>
        </w:rPr>
      </w:pPr>
      <w:bookmarkStart w:id="8" w:name="_hf74lhdmj8s7" w:colFirst="0" w:colLast="0"/>
      <w:bookmarkEnd w:id="8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Figure S2. Workflow for calculating estimated risk for novel infectious disease emergence (</w:t>
      </w:r>
      <w:proofErr w:type="spellStart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) and population at risk (PAR) at multiple spatial resolutions. 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Extents and projection are given in meters, area of forest fragment is given as pixel counts, </w:t>
      </w:r>
      <w:proofErr w:type="spellStart"/>
      <w:r w:rsidRPr="004436F0">
        <w:rPr>
          <w:rFonts w:ascii="Times New Roman" w:eastAsia="Times New Roman" w:hAnsi="Times New Roman" w:cs="Times New Roman"/>
          <w:color w:val="000000"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and PAR are relative estimates.</w:t>
      </w:r>
      <w:r w:rsidRPr="004436F0">
        <w:rPr>
          <w:lang w:val="en-NZ"/>
        </w:rPr>
        <w:br w:type="page"/>
      </w:r>
    </w:p>
    <w:p w14:paraId="0C01E125" w14:textId="77777777" w:rsidR="00E33009" w:rsidRDefault="000C74F9">
      <w:pPr>
        <w:spacing w:before="240" w:after="240" w:line="360" w:lineRule="auto"/>
        <w:jc w:val="center"/>
        <w:rPr>
          <w:rFonts w:ascii="Times New Roman" w:eastAsia="Times New Roman" w:hAnsi="Times New Roman" w:cs="Times New Roman"/>
        </w:rPr>
      </w:pPr>
      <w:r w:rsidRPr="004436F0">
        <w:rPr>
          <w:rFonts w:ascii="Times New Roman" w:eastAsia="Times New Roman" w:hAnsi="Times New Roman" w:cs="Times New Roman"/>
          <w:lang w:val="en-NZ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C01E14B" wp14:editId="0C01E14C">
            <wp:extent cx="4719263" cy="4711564"/>
            <wp:effectExtent l="0" t="0" r="0" b="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9263" cy="471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26" w14:textId="77777777" w:rsidR="00E33009" w:rsidRPr="004436F0" w:rsidRDefault="000C74F9">
      <w:pPr>
        <w:pStyle w:val="Heading5"/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val="en-NZ"/>
        </w:rPr>
      </w:pPr>
      <w:bookmarkStart w:id="9" w:name="_e06eb6aqgvxf" w:colFirst="0" w:colLast="0"/>
      <w:bookmarkEnd w:id="9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Figure S3. Positive relationship between terrestrial mammals species richness and number of mammal viruses displayed with a simple linear model.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Hosts of viruses were extracted based on infection data and their distribution accessed on 2nd Feb 2023 in Virion v0.2.1 </w:t>
      </w:r>
      <w:r w:rsidRPr="004436F0">
        <w:rPr>
          <w:rFonts w:ascii="Times New Roman" w:eastAsia="Times New Roman" w:hAnsi="Times New Roman" w:cs="Times New Roman"/>
          <w:color w:val="000000"/>
          <w:vertAlign w:val="superscript"/>
          <w:lang w:val="en-NZ"/>
        </w:rPr>
        <w:t>1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 and IUCN range data </w:t>
      </w:r>
      <w:r w:rsidRPr="004436F0">
        <w:rPr>
          <w:rFonts w:ascii="Times New Roman" w:eastAsia="Times New Roman" w:hAnsi="Times New Roman" w:cs="Times New Roman"/>
          <w:color w:val="000000"/>
          <w:vertAlign w:val="superscript"/>
          <w:lang w:val="en-NZ"/>
        </w:rPr>
        <w:t xml:space="preserve">2 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>at 0.25 dd resolution (~27 km). For our posterior analysis, we used total estimated species richness to calculate the estimated risk for novel infectious disease emergence (</w:t>
      </w:r>
      <w:proofErr w:type="spellStart"/>
      <w:r w:rsidRPr="004436F0">
        <w:rPr>
          <w:rFonts w:ascii="Times New Roman" w:eastAsia="Times New Roman" w:hAnsi="Times New Roman" w:cs="Times New Roman"/>
          <w:color w:val="000000"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color w:val="000000"/>
          <w:lang w:val="en-NZ"/>
        </w:rPr>
        <w:t>), since pathogen diversity scales up with total diversity.</w:t>
      </w:r>
    </w:p>
    <w:p w14:paraId="0C01E127" w14:textId="77777777" w:rsidR="00E33009" w:rsidRPr="004436F0" w:rsidRDefault="00E3300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</w:p>
    <w:p w14:paraId="0C01E128" w14:textId="77777777" w:rsidR="00E33009" w:rsidRDefault="000C74F9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01E14D" wp14:editId="0C01E14E">
            <wp:extent cx="3461963" cy="3791339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1963" cy="37913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29" w14:textId="77777777" w:rsidR="00E33009" w:rsidRPr="004436F0" w:rsidRDefault="000C74F9">
      <w:pPr>
        <w:pStyle w:val="Heading5"/>
        <w:spacing w:after="240" w:line="360" w:lineRule="auto"/>
        <w:jc w:val="both"/>
        <w:rPr>
          <w:rFonts w:ascii="Times New Roman" w:eastAsia="Times New Roman" w:hAnsi="Times New Roman" w:cs="Times New Roman"/>
          <w:color w:val="000000"/>
          <w:lang w:val="en-NZ"/>
        </w:rPr>
      </w:pPr>
      <w:bookmarkStart w:id="10" w:name="_eaqbr4v0202p" w:colFirst="0" w:colLast="0"/>
      <w:bookmarkEnd w:id="10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Figure S4. Legend of land cover raster used to calculate estimated risk for novel infectious disease emergence (</w:t>
      </w:r>
      <w:proofErr w:type="spellStart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).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Forest codes used: 5, 6, 12, 13, which are dense tree cover, tree cover gain, wetland dense tree cover and wetland tree cover gain. Data source: GLAD </w:t>
      </w:r>
      <w:proofErr w:type="spellStart"/>
      <w:r w:rsidRPr="004436F0">
        <w:rPr>
          <w:rFonts w:ascii="Times New Roman" w:eastAsia="Times New Roman" w:hAnsi="Times New Roman" w:cs="Times New Roman"/>
          <w:color w:val="000000"/>
          <w:lang w:val="en-NZ"/>
        </w:rPr>
        <w:t>GlobeCover</w:t>
      </w:r>
      <w:proofErr w:type="spellEnd"/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for the year 2019 </w:t>
      </w:r>
      <w:hyperlink r:id="rId17">
        <w:r w:rsidRPr="004436F0">
          <w:rPr>
            <w:rFonts w:ascii="Times New Roman" w:eastAsia="Times New Roman" w:hAnsi="Times New Roman" w:cs="Times New Roman"/>
            <w:color w:val="000000"/>
            <w:vertAlign w:val="superscript"/>
            <w:lang w:val="en-NZ"/>
          </w:rPr>
          <w:t>20</w:t>
        </w:r>
      </w:hyperlink>
      <w:r w:rsidRPr="004436F0">
        <w:rPr>
          <w:rFonts w:ascii="Times New Roman" w:eastAsia="Times New Roman" w:hAnsi="Times New Roman" w:cs="Times New Roman"/>
          <w:color w:val="000000"/>
          <w:lang w:val="en-NZ"/>
        </w:rPr>
        <w:t xml:space="preserve"> (</w:t>
      </w:r>
      <w:hyperlink r:id="rId18">
        <w:r w:rsidRPr="004436F0">
          <w:rPr>
            <w:rFonts w:ascii="Times New Roman" w:eastAsia="Times New Roman" w:hAnsi="Times New Roman" w:cs="Times New Roman"/>
            <w:color w:val="000000"/>
            <w:u w:val="single"/>
            <w:lang w:val="en-NZ"/>
          </w:rPr>
          <w:t>https://glad.umd.edu/dataset/global-land-cover-land-use-v1</w:t>
        </w:r>
      </w:hyperlink>
      <w:r w:rsidRPr="004436F0">
        <w:rPr>
          <w:rFonts w:ascii="Times New Roman" w:eastAsia="Times New Roman" w:hAnsi="Times New Roman" w:cs="Times New Roman"/>
          <w:color w:val="000000"/>
          <w:lang w:val="en-NZ"/>
        </w:rPr>
        <w:t>)</w:t>
      </w:r>
    </w:p>
    <w:p w14:paraId="0C01E12A" w14:textId="77777777" w:rsidR="00E33009" w:rsidRPr="004436F0" w:rsidRDefault="00E3300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</w:p>
    <w:p w14:paraId="0C01E12B" w14:textId="77777777" w:rsidR="00E33009" w:rsidRPr="004436F0" w:rsidRDefault="000C74F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lang w:val="en-NZ"/>
        </w:rPr>
        <w:br w:type="page"/>
      </w:r>
    </w:p>
    <w:p w14:paraId="0C01E12C" w14:textId="77777777" w:rsidR="00E33009" w:rsidRPr="004436F0" w:rsidRDefault="00E3300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</w:p>
    <w:p w14:paraId="0C01E12D" w14:textId="77777777" w:rsidR="00E33009" w:rsidRDefault="000C74F9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drawing>
          <wp:inline distT="114300" distB="114300" distL="114300" distR="114300" wp14:anchorId="0C01E14F" wp14:editId="0C01E150">
            <wp:extent cx="5734050" cy="1622087"/>
            <wp:effectExtent l="0" t="0" r="0" b="0"/>
            <wp:docPr id="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/>
                    <a:srcRect t="34626" b="2999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6220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2E" w14:textId="77777777" w:rsidR="00E33009" w:rsidRPr="004436F0" w:rsidRDefault="000C74F9">
      <w:pPr>
        <w:pStyle w:val="Heading5"/>
        <w:spacing w:line="360" w:lineRule="auto"/>
        <w:jc w:val="both"/>
        <w:rPr>
          <w:rFonts w:ascii="Times New Roman" w:eastAsia="Times New Roman" w:hAnsi="Times New Roman" w:cs="Times New Roman"/>
          <w:color w:val="000000"/>
          <w:lang w:val="en-NZ"/>
        </w:rPr>
      </w:pPr>
      <w:bookmarkStart w:id="11" w:name="_e0r5uq8zvope" w:colFirst="0" w:colLast="0"/>
      <w:bookmarkEnd w:id="11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Figure S5. High-population spatial domains through Voronoi Tessellation. 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>The Voronoi polygons were linked to original province extents based on a majority of area rule. We used three methods for receiving risk estimates</w:t>
      </w:r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: 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>administrative province gravity model, high-population spatial domains through Voronoi Tessellation (displayed as map polygons) gravity model and pixel-based analysis.</w:t>
      </w:r>
    </w:p>
    <w:p w14:paraId="0C01E12F" w14:textId="77777777" w:rsidR="00E33009" w:rsidRPr="004436F0" w:rsidRDefault="00E3300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</w:p>
    <w:p w14:paraId="0C01E130" w14:textId="77777777" w:rsidR="00E33009" w:rsidRPr="004436F0" w:rsidRDefault="00E3300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</w:p>
    <w:p w14:paraId="0C01E131" w14:textId="77777777" w:rsidR="00E33009" w:rsidRPr="004436F0" w:rsidRDefault="000C74F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lang w:val="en-NZ"/>
        </w:rPr>
        <w:br w:type="page"/>
      </w:r>
    </w:p>
    <w:p w14:paraId="0C01E132" w14:textId="77777777" w:rsidR="00E33009" w:rsidRPr="004436F0" w:rsidRDefault="00E33009">
      <w:pPr>
        <w:spacing w:line="360" w:lineRule="auto"/>
        <w:jc w:val="center"/>
        <w:rPr>
          <w:rFonts w:ascii="Times New Roman" w:eastAsia="Times New Roman" w:hAnsi="Times New Roman" w:cs="Times New Roman"/>
          <w:b/>
          <w:lang w:val="en-NZ"/>
        </w:rPr>
      </w:pPr>
    </w:p>
    <w:p w14:paraId="0C01E133" w14:textId="77777777" w:rsidR="00E33009" w:rsidRDefault="000C74F9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C01E151" wp14:editId="0C01E152">
            <wp:extent cx="2581275" cy="2803187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 t="3824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8031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34" w14:textId="77777777" w:rsidR="00E33009" w:rsidRDefault="000C74F9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C01E153" wp14:editId="0C01E154">
            <wp:extent cx="5124450" cy="4456776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t="231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45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35" w14:textId="77777777" w:rsidR="00E33009" w:rsidRPr="004436F0" w:rsidRDefault="000C74F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b/>
          <w:lang w:val="en-NZ"/>
        </w:rPr>
        <w:t xml:space="preserve">Figure S6. Epidemic risk values and zones of influence using the gravity model. </w:t>
      </w:r>
      <w:r w:rsidRPr="004436F0">
        <w:rPr>
          <w:rFonts w:ascii="Times New Roman" w:eastAsia="Times New Roman" w:hAnsi="Times New Roman" w:cs="Times New Roman"/>
          <w:lang w:val="en-NZ"/>
        </w:rPr>
        <w:t>The overall received epidemic risk based on estimated risk for novel infectious disease emergence (</w:t>
      </w:r>
      <w:proofErr w:type="spellStart"/>
      <w:r w:rsidRPr="004436F0">
        <w:rPr>
          <w:rFonts w:ascii="Times New Roman" w:eastAsia="Times New Roman" w:hAnsi="Times New Roman" w:cs="Times New Roman"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lang w:val="en-NZ"/>
        </w:rPr>
        <w:t>) and PAR was calculated for each (A) region and (B) high-populated Voronoi spatial domains (native resolution of 100 m for the population data used as input).</w:t>
      </w:r>
    </w:p>
    <w:p w14:paraId="0C01E137" w14:textId="4E13A5F2" w:rsidR="00E33009" w:rsidRPr="004436F0" w:rsidRDefault="000C74F9">
      <w:pPr>
        <w:pStyle w:val="Heading5"/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bookmarkStart w:id="12" w:name="_izr8dw4ogx2g" w:colFirst="0" w:colLast="0"/>
      <w:bookmarkEnd w:id="12"/>
      <w:r>
        <w:rPr>
          <w:rFonts w:ascii="Times New Roman" w:eastAsia="Times New Roman" w:hAnsi="Times New Roman" w:cs="Times New Roman"/>
          <w:b/>
          <w:noProof/>
          <w:color w:val="000000"/>
        </w:rPr>
        <w:lastRenderedPageBreak/>
        <w:drawing>
          <wp:inline distT="114300" distB="114300" distL="114300" distR="114300" wp14:anchorId="0C01E155" wp14:editId="0C01E156">
            <wp:extent cx="5731200" cy="57277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3" w:name="_8cli5dw950xp" w:colFirst="0" w:colLast="0"/>
      <w:bookmarkEnd w:id="13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Figure S7. Area covered by non-managed forest (A) and (B) intensely managed agroforestry and the distribution of  population at risk based on gravity models throughout provinces of Java.</w:t>
      </w:r>
    </w:p>
    <w:p w14:paraId="0C01E138" w14:textId="77777777" w:rsidR="00E33009" w:rsidRPr="004436F0" w:rsidRDefault="00E3300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</w:p>
    <w:p w14:paraId="0C01E139" w14:textId="77777777" w:rsidR="00E33009" w:rsidRPr="004436F0" w:rsidRDefault="00E33009">
      <w:pPr>
        <w:spacing w:line="360" w:lineRule="auto"/>
        <w:rPr>
          <w:rFonts w:ascii="Times New Roman" w:eastAsia="Times New Roman" w:hAnsi="Times New Roman" w:cs="Times New Roman"/>
          <w:lang w:val="en-NZ"/>
        </w:rPr>
      </w:pPr>
    </w:p>
    <w:p w14:paraId="0C01E13A" w14:textId="77777777" w:rsidR="00E33009" w:rsidRDefault="000C74F9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01E157" wp14:editId="0C01E158">
            <wp:extent cx="5731200" cy="5727700"/>
            <wp:effectExtent l="0" t="0" r="0" b="0"/>
            <wp:docPr id="1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3B" w14:textId="77777777" w:rsidR="00E33009" w:rsidRPr="004436F0" w:rsidRDefault="000C74F9">
      <w:pPr>
        <w:pStyle w:val="Heading5"/>
        <w:spacing w:line="360" w:lineRule="auto"/>
        <w:rPr>
          <w:rFonts w:ascii="Times New Roman" w:eastAsia="Times New Roman" w:hAnsi="Times New Roman" w:cs="Times New Roman"/>
          <w:color w:val="000000"/>
          <w:lang w:val="en-NZ"/>
        </w:rPr>
      </w:pPr>
      <w:bookmarkStart w:id="14" w:name="_4oxpw1wr7748" w:colFirst="0" w:colLast="0"/>
      <w:bookmarkEnd w:id="14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 xml:space="preserve">Figure S8. Area covered by non-managed forest (A) and (B) intensely managed agroforestry and the distribution of  population at risk. </w:t>
      </w:r>
      <w:r w:rsidRPr="004436F0">
        <w:rPr>
          <w:rFonts w:ascii="Times New Roman" w:eastAsia="Times New Roman" w:hAnsi="Times New Roman" w:cs="Times New Roman"/>
          <w:color w:val="000000"/>
          <w:lang w:val="en-NZ"/>
        </w:rPr>
        <w:t>Data for population at risk was calculated using the Voronoi-tessellation of highly populated centres and  gravity models throughout provinces of Java.</w:t>
      </w:r>
    </w:p>
    <w:p w14:paraId="0C01E13C" w14:textId="77777777" w:rsidR="00E33009" w:rsidRPr="004436F0" w:rsidRDefault="000C74F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lang w:val="en-NZ"/>
        </w:rPr>
        <w:t xml:space="preserve"> </w:t>
      </w:r>
    </w:p>
    <w:p w14:paraId="0C01E13D" w14:textId="77777777" w:rsidR="00E33009" w:rsidRDefault="000C74F9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01E159" wp14:editId="0C01E15A">
            <wp:extent cx="5731200" cy="50927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3E" w14:textId="77777777" w:rsidR="00E33009" w:rsidRPr="004436F0" w:rsidRDefault="000C74F9">
      <w:pPr>
        <w:pStyle w:val="Heading5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lang w:val="en-NZ"/>
        </w:rPr>
      </w:pPr>
      <w:bookmarkStart w:id="15" w:name="_vivx2y8b3tdn" w:colFirst="0" w:colLast="0"/>
      <w:bookmarkEnd w:id="15"/>
      <w:r w:rsidRPr="004436F0">
        <w:rPr>
          <w:rFonts w:ascii="Times New Roman" w:eastAsia="Times New Roman" w:hAnsi="Times New Roman" w:cs="Times New Roman"/>
          <w:b/>
          <w:color w:val="000000"/>
          <w:lang w:val="en-NZ"/>
        </w:rPr>
        <w:t>Figure S9. Categories of managed and unmanaged forest cover values and distribution in Java provinces.</w:t>
      </w:r>
    </w:p>
    <w:p w14:paraId="0C01E13F" w14:textId="77777777" w:rsidR="00E33009" w:rsidRPr="004436F0" w:rsidRDefault="000C74F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lang w:val="en-NZ"/>
        </w:rPr>
        <w:br w:type="page"/>
      </w:r>
    </w:p>
    <w:p w14:paraId="0C01E140" w14:textId="77777777" w:rsidR="00E33009" w:rsidRDefault="000C74F9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114300" distB="114300" distL="114300" distR="114300" wp14:anchorId="0C01E15B" wp14:editId="3F0EC166">
            <wp:extent cx="5328920" cy="2604655"/>
            <wp:effectExtent l="0" t="0" r="5080" b="5715"/>
            <wp:docPr id="1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725" cy="2611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01E141" w14:textId="0B2DFA73" w:rsidR="00E33009" w:rsidRDefault="000C74F9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 wp14:anchorId="0C01E15D" wp14:editId="0C01E15E">
            <wp:extent cx="5557838" cy="2778919"/>
            <wp:effectExtent l="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838" cy="2778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264C9" w14:textId="667A8DF4" w:rsidR="00EF4270" w:rsidRDefault="00EF4270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4F453694" wp14:editId="3F76D5A0">
            <wp:extent cx="2625436" cy="2625436"/>
            <wp:effectExtent l="0" t="0" r="3810" b="3810"/>
            <wp:docPr id="1487335149" name="Picture 2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335149" name="Picture 2" descr="A screenshot of a grap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48" cy="262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E142" w14:textId="6203CBE7" w:rsidR="00E33009" w:rsidRPr="004436F0" w:rsidRDefault="000C74F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  <w:r w:rsidRPr="004436F0">
        <w:rPr>
          <w:rFonts w:ascii="Times New Roman" w:eastAsia="Times New Roman" w:hAnsi="Times New Roman" w:cs="Times New Roman"/>
          <w:b/>
          <w:lang w:val="en-NZ"/>
        </w:rPr>
        <w:t xml:space="preserve">Figure S10. Relationship between land cover of different forest management types across provinces and population at risk estimates from </w:t>
      </w:r>
      <w:proofErr w:type="spellStart"/>
      <w:r w:rsidRPr="004436F0">
        <w:rPr>
          <w:rFonts w:ascii="Times New Roman" w:eastAsia="Times New Roman" w:hAnsi="Times New Roman" w:cs="Times New Roman"/>
          <w:b/>
          <w:lang w:val="en-NZ"/>
        </w:rPr>
        <w:t>eRIDE</w:t>
      </w:r>
      <w:proofErr w:type="spellEnd"/>
      <w:r w:rsidRPr="004436F0">
        <w:rPr>
          <w:rFonts w:ascii="Times New Roman" w:eastAsia="Times New Roman" w:hAnsi="Times New Roman" w:cs="Times New Roman"/>
          <w:b/>
          <w:lang w:val="en-NZ"/>
        </w:rPr>
        <w:t xml:space="preserve"> model (100 m). </w:t>
      </w:r>
      <w:r w:rsidRPr="004436F0">
        <w:rPr>
          <w:rFonts w:ascii="Times New Roman" w:eastAsia="Times New Roman" w:hAnsi="Times New Roman" w:cs="Times New Roman"/>
          <w:lang w:val="en-NZ"/>
        </w:rPr>
        <w:t xml:space="preserve">Top panel: province-level </w:t>
      </w:r>
      <w:r w:rsidRPr="004436F0">
        <w:rPr>
          <w:rFonts w:ascii="Times New Roman" w:eastAsia="Times New Roman" w:hAnsi="Times New Roman" w:cs="Times New Roman"/>
          <w:lang w:val="en-NZ"/>
        </w:rPr>
        <w:lastRenderedPageBreak/>
        <w:t>data aggregation. Middle panel: high-pop driven gravity model spatial domains. Top and middle panel display a</w:t>
      </w:r>
      <w:r w:rsidRPr="004436F0">
        <w:rPr>
          <w:rFonts w:ascii="Times New Roman" w:eastAsia="Times New Roman" w:hAnsi="Times New Roman" w:cs="Times New Roman"/>
          <w:lang w:val="en-NZ"/>
        </w:rPr>
        <w:t xml:space="preserve"> linear function on the top of the data with 95% confidence intervals. and Bottom panel: violin plot of pixel-level data across Java.</w:t>
      </w:r>
    </w:p>
    <w:p w14:paraId="0C01E143" w14:textId="77777777" w:rsidR="00E33009" w:rsidRPr="004436F0" w:rsidRDefault="00E33009">
      <w:pPr>
        <w:spacing w:line="360" w:lineRule="auto"/>
        <w:jc w:val="both"/>
        <w:rPr>
          <w:rFonts w:ascii="Times New Roman" w:eastAsia="Times New Roman" w:hAnsi="Times New Roman" w:cs="Times New Roman"/>
          <w:lang w:val="en-NZ"/>
        </w:rPr>
      </w:pPr>
    </w:p>
    <w:p w14:paraId="0C01E144" w14:textId="77777777" w:rsidR="00E33009" w:rsidRDefault="000C74F9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References</w:t>
      </w:r>
    </w:p>
    <w:p w14:paraId="0C01E145" w14:textId="77777777" w:rsidR="00E33009" w:rsidRDefault="000C74F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4436F0">
        <w:rPr>
          <w:rFonts w:ascii="Times New Roman" w:eastAsia="Times New Roman" w:hAnsi="Times New Roman" w:cs="Times New Roman"/>
          <w:lang w:val="en-NZ"/>
        </w:rPr>
        <w:t xml:space="preserve">Carlson, C. J. et al. The Global </w:t>
      </w:r>
      <w:proofErr w:type="spellStart"/>
      <w:r w:rsidRPr="004436F0">
        <w:rPr>
          <w:rFonts w:ascii="Times New Roman" w:eastAsia="Times New Roman" w:hAnsi="Times New Roman" w:cs="Times New Roman"/>
          <w:lang w:val="en-NZ"/>
        </w:rPr>
        <w:t>Virome</w:t>
      </w:r>
      <w:proofErr w:type="spellEnd"/>
      <w:r w:rsidRPr="004436F0">
        <w:rPr>
          <w:rFonts w:ascii="Times New Roman" w:eastAsia="Times New Roman" w:hAnsi="Times New Roman" w:cs="Times New Roman"/>
          <w:lang w:val="en-NZ"/>
        </w:rPr>
        <w:t xml:space="preserve"> in One Network (VIRION): an Atlas of Vertebrate-Virus Associations. </w:t>
      </w:r>
      <w:r>
        <w:rPr>
          <w:rFonts w:ascii="Times New Roman" w:eastAsia="Times New Roman" w:hAnsi="Times New Roman" w:cs="Times New Roman"/>
        </w:rPr>
        <w:t xml:space="preserve">MBio e0298521 (2022). </w:t>
      </w:r>
    </w:p>
    <w:p w14:paraId="0C01E146" w14:textId="77777777" w:rsidR="00E33009" w:rsidRDefault="000C74F9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4436F0">
        <w:rPr>
          <w:rFonts w:ascii="Times New Roman" w:eastAsia="Times New Roman" w:hAnsi="Times New Roman" w:cs="Times New Roman"/>
          <w:lang w:val="en-NZ"/>
        </w:rPr>
        <w:t xml:space="preserve">IUCN. The IUCN Red List of Threatened Species. Version 2020-2. The IUCN Red List of Threatened Species. </w:t>
      </w:r>
      <w:r>
        <w:rPr>
          <w:rFonts w:ascii="Times New Roman" w:eastAsia="Times New Roman" w:hAnsi="Times New Roman" w:cs="Times New Roman"/>
        </w:rPr>
        <w:t>Version 2020-2. https://www.iucnredlist.org. Downloaded on 09 May (2020).</w:t>
      </w:r>
    </w:p>
    <w:sectPr w:rsidR="00E33009">
      <w:footerReference w:type="default" r:id="rId2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1E166" w14:textId="77777777" w:rsidR="000C74F9" w:rsidRDefault="000C74F9">
      <w:pPr>
        <w:spacing w:line="240" w:lineRule="auto"/>
      </w:pPr>
      <w:r>
        <w:separator/>
      </w:r>
    </w:p>
  </w:endnote>
  <w:endnote w:type="continuationSeparator" w:id="0">
    <w:p w14:paraId="0C01E168" w14:textId="77777777" w:rsidR="000C74F9" w:rsidRDefault="000C74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01E161" w14:textId="4300FCD3" w:rsidR="00E33009" w:rsidRDefault="000C74F9">
    <w:pPr>
      <w:jc w:val="right"/>
    </w:pPr>
    <w:r>
      <w:fldChar w:fldCharType="begin"/>
    </w:r>
    <w:r>
      <w:instrText>PAGE</w:instrText>
    </w:r>
    <w:r>
      <w:fldChar w:fldCharType="separate"/>
    </w:r>
    <w:r w:rsidR="00443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162" w14:textId="77777777" w:rsidR="000C74F9" w:rsidRDefault="000C74F9">
      <w:pPr>
        <w:spacing w:line="240" w:lineRule="auto"/>
      </w:pPr>
      <w:r>
        <w:separator/>
      </w:r>
    </w:p>
  </w:footnote>
  <w:footnote w:type="continuationSeparator" w:id="0">
    <w:p w14:paraId="0C01E164" w14:textId="77777777" w:rsidR="000C74F9" w:rsidRDefault="000C74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F9144B"/>
    <w:multiLevelType w:val="multilevel"/>
    <w:tmpl w:val="570E0B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7313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009"/>
    <w:rsid w:val="000C74F9"/>
    <w:rsid w:val="002A2C5D"/>
    <w:rsid w:val="004436F0"/>
    <w:rsid w:val="00AC0A84"/>
    <w:rsid w:val="00E33009"/>
    <w:rsid w:val="00EF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1DFF8"/>
  <w15:docId w15:val="{66B6295C-EDDC-43D0-BC09-144DB0B04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9986-6212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glad.umd.edu/dataset/global-land-cover-land-use-v1" TargetMode="External"/><Relationship Id="rId26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orcid.org/0000-0002-6466-6210" TargetMode="External"/><Relationship Id="rId12" Type="http://schemas.openxmlformats.org/officeDocument/2006/relationships/hyperlink" Target="https://paperpile.com/c/jkfey0/ALH1" TargetMode="External"/><Relationship Id="rId17" Type="http://schemas.openxmlformats.org/officeDocument/2006/relationships/hyperlink" Target="https://paperpile.com/c/jkfey0/crOx" TargetMode="External"/><Relationship Id="rId25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perpile.com/c/Vv4AtK/Dlit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28" Type="http://schemas.openxmlformats.org/officeDocument/2006/relationships/footer" Target="footer1.xml"/><Relationship Id="rId10" Type="http://schemas.openxmlformats.org/officeDocument/2006/relationships/hyperlink" Target="mailto:r.delaramuylaert@massey.ac.nz" TargetMode="Externa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3-0087-3015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1285</Words>
  <Characters>7330</Characters>
  <Application>Microsoft Office Word</Application>
  <DocSecurity>0</DocSecurity>
  <Lines>61</Lines>
  <Paragraphs>17</Paragraphs>
  <ScaleCrop>false</ScaleCrop>
  <Company/>
  <LinksUpToDate>false</LinksUpToDate>
  <CharactersWithSpaces>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Renata de Lara Muylaert</cp:lastModifiedBy>
  <cp:revision>5</cp:revision>
  <dcterms:created xsi:type="dcterms:W3CDTF">2025-03-27T01:26:00Z</dcterms:created>
  <dcterms:modified xsi:type="dcterms:W3CDTF">2025-03-27T01:28:00Z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9e4d68-54d0-40a5-8c9a-85a36c87352c_Enabled">
    <vt:lpwstr>true</vt:lpwstr>
  </property>
  <property fmtid="{D5CDD505-2E9C-101B-9397-08002B2CF9AE}" pid="3" name="MSIP_Label_bd9e4d68-54d0-40a5-8c9a-85a36c87352c_SetDate">
    <vt:lpwstr>2025-03-27T01:27:19Z</vt:lpwstr>
  </property>
  <property fmtid="{D5CDD505-2E9C-101B-9397-08002B2CF9AE}" pid="4" name="MSIP_Label_bd9e4d68-54d0-40a5-8c9a-85a36c87352c_Method">
    <vt:lpwstr>Standard</vt:lpwstr>
  </property>
  <property fmtid="{D5CDD505-2E9C-101B-9397-08002B2CF9AE}" pid="5" name="MSIP_Label_bd9e4d68-54d0-40a5-8c9a-85a36c87352c_Name">
    <vt:lpwstr>Unclassified</vt:lpwstr>
  </property>
  <property fmtid="{D5CDD505-2E9C-101B-9397-08002B2CF9AE}" pid="6" name="MSIP_Label_bd9e4d68-54d0-40a5-8c9a-85a36c87352c_SiteId">
    <vt:lpwstr>388728e1-bbd0-4378-98dc-f8682e644300</vt:lpwstr>
  </property>
  <property fmtid="{D5CDD505-2E9C-101B-9397-08002B2CF9AE}" pid="7" name="MSIP_Label_bd9e4d68-54d0-40a5-8c9a-85a36c87352c_ActionId">
    <vt:lpwstr>d43661bd-adec-4dfc-9682-5c3dd5929a25</vt:lpwstr>
  </property>
  <property fmtid="{D5CDD505-2E9C-101B-9397-08002B2CF9AE}" pid="8" name="MSIP_Label_bd9e4d68-54d0-40a5-8c9a-85a36c87352c_ContentBits">
    <vt:lpwstr>0</vt:lpwstr>
  </property>
  <property fmtid="{D5CDD505-2E9C-101B-9397-08002B2CF9AE}" pid="9" name="MSIP_Label_bd9e4d68-54d0-40a5-8c9a-85a36c87352c_Tag">
    <vt:lpwstr>10, 3, 0, 1</vt:lpwstr>
  </property>
</Properties>
</file>