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1FD78" w14:textId="77777777" w:rsidR="00DC02B2" w:rsidRDefault="00DC02B2" w:rsidP="00DC02B2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Pr="005A3FC2">
        <w:rPr>
          <w:b/>
          <w:bCs/>
        </w:rPr>
        <w:t>FIGURES</w:t>
      </w:r>
    </w:p>
    <w:p w14:paraId="5855B8AA" w14:textId="77777777" w:rsidR="00DC02B2" w:rsidRPr="00925DE6" w:rsidRDefault="00DC02B2" w:rsidP="00DC02B2">
      <w:pPr>
        <w:autoSpaceDE w:val="0"/>
        <w:autoSpaceDN w:val="0"/>
        <w:adjustRightInd w:val="0"/>
        <w:jc w:val="center"/>
        <w:rPr>
          <w:b/>
          <w:bCs/>
        </w:rPr>
      </w:pPr>
    </w:p>
    <w:p w14:paraId="6B9A23F4" w14:textId="77777777" w:rsidR="00DC02B2" w:rsidRDefault="00DC02B2" w:rsidP="00DC02B2">
      <w:pPr>
        <w:autoSpaceDE w:val="0"/>
        <w:autoSpaceDN w:val="0"/>
        <w:adjustRightInd w:val="0"/>
      </w:pPr>
      <w:r>
        <w:rPr>
          <w:noProof/>
        </w:rPr>
        <w:drawing>
          <wp:inline distT="0" distB="0" distL="0" distR="0" wp14:anchorId="6A4AEB33" wp14:editId="572DFA23">
            <wp:extent cx="5943600" cy="2245995"/>
            <wp:effectExtent l="0" t="0" r="0" b="1905"/>
            <wp:docPr id="1496981965" name="Picture 3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981965" name="Picture 3" descr="A screenshot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3622B73" w14:textId="77777777" w:rsidR="00DC02B2" w:rsidRDefault="00DC02B2" w:rsidP="00DC02B2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</w:p>
    <w:p w14:paraId="38298C28" w14:textId="77777777" w:rsidR="00DC02B2" w:rsidRPr="00571956" w:rsidRDefault="00DC02B2" w:rsidP="00DC02B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71956">
        <w:rPr>
          <w:b/>
          <w:bCs/>
          <w:sz w:val="20"/>
          <w:szCs w:val="20"/>
        </w:rPr>
        <w:t xml:space="preserve">Extended Data Fig. 1. Monocyte-related interactions exhibited kurtosis. </w:t>
      </w:r>
      <w:r w:rsidRPr="00571956">
        <w:rPr>
          <w:sz w:val="20"/>
          <w:szCs w:val="20"/>
        </w:rPr>
        <w:t>Ratios in which monocytes predominated did not show normal, univariate distributions. Monocyte/neutrophil ratio (</w:t>
      </w:r>
      <w:r w:rsidRPr="00571956">
        <w:rPr>
          <w:b/>
          <w:bCs/>
          <w:sz w:val="20"/>
          <w:szCs w:val="20"/>
        </w:rPr>
        <w:t>a</w:t>
      </w:r>
      <w:r w:rsidRPr="00571956">
        <w:rPr>
          <w:sz w:val="20"/>
          <w:szCs w:val="20"/>
        </w:rPr>
        <w:t>), (monocyte/neutrophil) / (lymphocyte/monocyte) ratio (</w:t>
      </w:r>
      <w:r w:rsidRPr="00571956">
        <w:rPr>
          <w:b/>
          <w:bCs/>
          <w:sz w:val="20"/>
          <w:szCs w:val="20"/>
        </w:rPr>
        <w:t>b</w:t>
      </w:r>
      <w:r w:rsidRPr="00571956">
        <w:rPr>
          <w:sz w:val="20"/>
          <w:szCs w:val="20"/>
        </w:rPr>
        <w:t>), (monocyte/neutrophil) / (neutrophil/monocyte) ratio (</w:t>
      </w:r>
      <w:r w:rsidRPr="00571956">
        <w:rPr>
          <w:b/>
          <w:bCs/>
          <w:sz w:val="20"/>
          <w:szCs w:val="20"/>
        </w:rPr>
        <w:t>c</w:t>
      </w:r>
      <w:r w:rsidRPr="00571956">
        <w:rPr>
          <w:sz w:val="20"/>
          <w:szCs w:val="20"/>
        </w:rPr>
        <w:t>), neutrophil/monocyte) ratio (</w:t>
      </w:r>
      <w:r w:rsidRPr="00571956">
        <w:rPr>
          <w:b/>
          <w:bCs/>
          <w:sz w:val="20"/>
          <w:szCs w:val="20"/>
        </w:rPr>
        <w:t>d</w:t>
      </w:r>
      <w:r w:rsidRPr="00571956">
        <w:rPr>
          <w:sz w:val="20"/>
          <w:szCs w:val="20"/>
        </w:rPr>
        <w:t>), (neutrophil/monocyte) / (monocyte/neutrophil) ratio (</w:t>
      </w:r>
      <w:r w:rsidRPr="00571956">
        <w:rPr>
          <w:b/>
          <w:bCs/>
          <w:sz w:val="20"/>
          <w:szCs w:val="20"/>
        </w:rPr>
        <w:t>e</w:t>
      </w:r>
      <w:r w:rsidRPr="00571956">
        <w:rPr>
          <w:sz w:val="20"/>
          <w:szCs w:val="20"/>
        </w:rPr>
        <w:t>), lymphocyte/monocyte ratio (</w:t>
      </w:r>
      <w:r w:rsidRPr="00571956">
        <w:rPr>
          <w:b/>
          <w:bCs/>
          <w:sz w:val="20"/>
          <w:szCs w:val="20"/>
        </w:rPr>
        <w:t>f</w:t>
      </w:r>
      <w:r w:rsidRPr="00571956">
        <w:rPr>
          <w:sz w:val="20"/>
          <w:szCs w:val="20"/>
        </w:rPr>
        <w:t>), (lymphocyte/monocyte) / (monocyte/lymphocyte) ratio (</w:t>
      </w:r>
      <w:r w:rsidRPr="00571956">
        <w:rPr>
          <w:b/>
          <w:bCs/>
          <w:sz w:val="20"/>
          <w:szCs w:val="20"/>
        </w:rPr>
        <w:t>g</w:t>
      </w:r>
      <w:r w:rsidRPr="00571956">
        <w:rPr>
          <w:sz w:val="20"/>
          <w:szCs w:val="20"/>
        </w:rPr>
        <w:t>).</w:t>
      </w:r>
    </w:p>
    <w:p w14:paraId="2CF2A8E8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</w:p>
    <w:p w14:paraId="7446A5F8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555A0531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79860A6E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264B11CD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28F6B86C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1C0DBDA3" w14:textId="77777777" w:rsidR="00DC02B2" w:rsidRDefault="00DC02B2" w:rsidP="00DC02B2">
      <w:pPr>
        <w:autoSpaceDE w:val="0"/>
        <w:autoSpaceDN w:val="0"/>
        <w:adjustRightInd w:val="0"/>
        <w:ind w:firstLine="720"/>
        <w:jc w:val="center"/>
        <w:rPr>
          <w:sz w:val="20"/>
          <w:szCs w:val="20"/>
        </w:rPr>
      </w:pPr>
    </w:p>
    <w:p w14:paraId="5630C4BF" w14:textId="77777777" w:rsidR="00DC02B2" w:rsidRDefault="00DC02B2" w:rsidP="00DC02B2">
      <w:pPr>
        <w:autoSpaceDE w:val="0"/>
        <w:autoSpaceDN w:val="0"/>
        <w:adjustRightInd w:val="0"/>
      </w:pPr>
      <w:r>
        <w:lastRenderedPageBreak/>
        <w:t xml:space="preserve">           </w:t>
      </w:r>
      <w:r>
        <w:rPr>
          <w:noProof/>
        </w:rPr>
        <w:drawing>
          <wp:inline distT="0" distB="0" distL="0" distR="0" wp14:anchorId="19E1FF29" wp14:editId="0E0697B2">
            <wp:extent cx="5943600" cy="3954145"/>
            <wp:effectExtent l="0" t="0" r="0" b="8255"/>
            <wp:docPr id="1780200139" name="Picture 7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200139" name="Picture 7" descr="A collage of graphs and diagram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8A583" w14:textId="77777777" w:rsidR="00DC02B2" w:rsidRPr="00571956" w:rsidRDefault="00DC02B2" w:rsidP="00DC02B2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71956">
        <w:rPr>
          <w:b/>
          <w:bCs/>
          <w:sz w:val="20"/>
          <w:szCs w:val="20"/>
        </w:rPr>
        <w:t xml:space="preserve">Extended Data Fig. 2. Validation with independent, non-cellular variables. </w:t>
      </w:r>
      <w:r w:rsidRPr="00571956">
        <w:rPr>
          <w:sz w:val="20"/>
          <w:szCs w:val="20"/>
        </w:rPr>
        <w:t xml:space="preserve">The analysis of ferritin and </w:t>
      </w:r>
      <w:r>
        <w:rPr>
          <w:sz w:val="20"/>
          <w:szCs w:val="20"/>
        </w:rPr>
        <w:t>C-reactive protein (</w:t>
      </w:r>
      <w:r w:rsidRPr="00571956">
        <w:rPr>
          <w:sz w:val="20"/>
          <w:szCs w:val="20"/>
        </w:rPr>
        <w:t>CRP</w:t>
      </w:r>
      <w:r>
        <w:rPr>
          <w:sz w:val="20"/>
          <w:szCs w:val="20"/>
        </w:rPr>
        <w:t>)</w:t>
      </w:r>
      <w:r w:rsidRPr="00571956">
        <w:rPr>
          <w:sz w:val="20"/>
          <w:szCs w:val="20"/>
        </w:rPr>
        <w:t xml:space="preserve"> concentrations supported the hypothesis that ‘D’ observations expressed late inflammations not different from early ones. Yet, these proteins were not equally informative: high concentrations of ferritin (</w:t>
      </w:r>
      <w:r w:rsidRPr="00571956">
        <w:rPr>
          <w:b/>
          <w:bCs/>
          <w:sz w:val="20"/>
          <w:szCs w:val="20"/>
        </w:rPr>
        <w:t>a, b</w:t>
      </w:r>
      <w:r w:rsidRPr="00571956">
        <w:rPr>
          <w:sz w:val="20"/>
          <w:szCs w:val="20"/>
        </w:rPr>
        <w:t>) captured more than twice the number of data points CRP (</w:t>
      </w:r>
      <w:r w:rsidRPr="00571956">
        <w:rPr>
          <w:b/>
          <w:bCs/>
          <w:sz w:val="20"/>
          <w:szCs w:val="20"/>
        </w:rPr>
        <w:t>c, d</w:t>
      </w:r>
      <w:r w:rsidRPr="00571956">
        <w:rPr>
          <w:sz w:val="20"/>
          <w:szCs w:val="20"/>
        </w:rPr>
        <w:t>) included in the high-value subset.</w:t>
      </w:r>
      <w:r w:rsidRPr="00571956">
        <w:rPr>
          <w:noProof/>
          <w:sz w:val="20"/>
          <w:szCs w:val="20"/>
        </w:rPr>
        <w:t xml:space="preserve"> </w:t>
      </w:r>
    </w:p>
    <w:p w14:paraId="08F24911" w14:textId="77777777" w:rsidR="00DC02B2" w:rsidRPr="00B55D75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2DF64C4D" wp14:editId="5CD9E822">
            <wp:extent cx="5943600" cy="5883910"/>
            <wp:effectExtent l="0" t="0" r="0" b="2540"/>
            <wp:docPr id="513149148" name="Picture 1" descr="A collage of images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49148" name="Picture 1" descr="A collage of images of graphs and diagram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8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9C6AC" w14:textId="77777777" w:rsidR="00DC02B2" w:rsidRDefault="00DC02B2" w:rsidP="00DC02B2">
      <w:pPr>
        <w:autoSpaceDE w:val="0"/>
        <w:autoSpaceDN w:val="0"/>
        <w:adjustRightInd w:val="0"/>
        <w:rPr>
          <w:noProof/>
        </w:rPr>
      </w:pPr>
    </w:p>
    <w:p w14:paraId="1077A8DA" w14:textId="77777777" w:rsidR="00DC02B2" w:rsidRPr="00571956" w:rsidRDefault="00DC02B2" w:rsidP="00DC02B2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71956">
        <w:rPr>
          <w:b/>
          <w:bCs/>
          <w:sz w:val="20"/>
          <w:szCs w:val="20"/>
        </w:rPr>
        <w:t>Extended Data</w:t>
      </w:r>
      <w:r w:rsidRPr="00571956">
        <w:rPr>
          <w:b/>
          <w:bCs/>
          <w:noProof/>
          <w:sz w:val="20"/>
          <w:szCs w:val="20"/>
        </w:rPr>
        <w:t xml:space="preserve"> Fig. 3. From no differentiation to discovery (research applications). </w:t>
      </w:r>
      <w:r w:rsidRPr="00571956">
        <w:rPr>
          <w:noProof/>
          <w:sz w:val="20"/>
          <w:szCs w:val="20"/>
        </w:rPr>
        <w:t xml:space="preserve">While counts  (total leukocyte counts or TLC) failed to distinguish classes (similar counts were shown across classes, </w:t>
      </w:r>
      <w:r w:rsidRPr="00571956">
        <w:rPr>
          <w:b/>
          <w:bCs/>
          <w:noProof/>
          <w:sz w:val="20"/>
          <w:szCs w:val="20"/>
        </w:rPr>
        <w:t>a</w:t>
      </w:r>
      <w:r w:rsidRPr="00571956">
        <w:rPr>
          <w:noProof/>
          <w:sz w:val="20"/>
          <w:szCs w:val="20"/>
        </w:rPr>
        <w:t>), the same data structure differentiated two groups of data classes when spatial patterns were considered (</w:t>
      </w:r>
      <w:r w:rsidRPr="00571956">
        <w:rPr>
          <w:b/>
          <w:bCs/>
          <w:noProof/>
          <w:sz w:val="20"/>
          <w:szCs w:val="20"/>
        </w:rPr>
        <w:t>b</w:t>
      </w:r>
      <w:r w:rsidRPr="00571956">
        <w:rPr>
          <w:noProof/>
          <w:sz w:val="20"/>
          <w:szCs w:val="20"/>
        </w:rPr>
        <w:t>). Specifically, one perpendicular data inflection (</w:t>
      </w:r>
      <w:r w:rsidRPr="00571956">
        <w:rPr>
          <w:b/>
          <w:bCs/>
          <w:noProof/>
          <w:sz w:val="20"/>
          <w:szCs w:val="20"/>
        </w:rPr>
        <w:t>c, d</w:t>
      </w:r>
      <w:r w:rsidRPr="00571956">
        <w:rPr>
          <w:noProof/>
          <w:sz w:val="20"/>
          <w:szCs w:val="20"/>
        </w:rPr>
        <w:t>) and ona data bifurcation (</w:t>
      </w:r>
      <w:r w:rsidRPr="00571956">
        <w:rPr>
          <w:b/>
          <w:bCs/>
          <w:noProof/>
          <w:sz w:val="20"/>
          <w:szCs w:val="20"/>
        </w:rPr>
        <w:t>e, f</w:t>
      </w:r>
      <w:r w:rsidRPr="00571956">
        <w:rPr>
          <w:noProof/>
          <w:sz w:val="20"/>
          <w:szCs w:val="20"/>
        </w:rPr>
        <w:t>) induced differentiation and/or discovery.</w:t>
      </w:r>
    </w:p>
    <w:p w14:paraId="59956A0B" w14:textId="77777777" w:rsidR="00DC02B2" w:rsidRDefault="00DC02B2" w:rsidP="00DC02B2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71956">
        <w:rPr>
          <w:noProof/>
          <w:sz w:val="20"/>
          <w:szCs w:val="20"/>
        </w:rPr>
        <w:t>Together with percentages, complex indicators that expressed interactions among two or more cell types separated two groups of data –one characterized by low monocyte percentages, which included all ‘C’ observations; and one characterized by high monocyte percentages, which included ‘D’ data points (</w:t>
      </w:r>
      <w:r w:rsidRPr="00571956">
        <w:rPr>
          <w:b/>
          <w:bCs/>
          <w:noProof/>
          <w:sz w:val="20"/>
          <w:szCs w:val="20"/>
        </w:rPr>
        <w:t>c</w:t>
      </w:r>
      <w:r w:rsidRPr="00571956">
        <w:rPr>
          <w:noProof/>
          <w:sz w:val="20"/>
          <w:szCs w:val="20"/>
        </w:rPr>
        <w:t>). Data bifurcations promoted discovery (</w:t>
      </w:r>
      <w:r w:rsidRPr="00571956">
        <w:rPr>
          <w:b/>
          <w:bCs/>
          <w:noProof/>
          <w:sz w:val="20"/>
          <w:szCs w:val="20"/>
        </w:rPr>
        <w:t>d, e</w:t>
      </w:r>
      <w:r w:rsidRPr="00571956">
        <w:rPr>
          <w:noProof/>
          <w:sz w:val="20"/>
          <w:szCs w:val="20"/>
        </w:rPr>
        <w:t>). Such spatial patterns were corroborated by additional data structures, which separated ‘A’ observations into two (‘A1’ and ‘A2’) non-overlapping classes (</w:t>
      </w:r>
      <w:r w:rsidRPr="00571956">
        <w:rPr>
          <w:b/>
          <w:bCs/>
          <w:noProof/>
          <w:sz w:val="20"/>
          <w:szCs w:val="20"/>
        </w:rPr>
        <w:t>f</w:t>
      </w:r>
      <w:r w:rsidRPr="00571956">
        <w:rPr>
          <w:noProof/>
          <w:sz w:val="20"/>
          <w:szCs w:val="20"/>
        </w:rPr>
        <w:t>).</w:t>
      </w:r>
      <w:r>
        <w:rPr>
          <w:noProof/>
          <w:sz w:val="20"/>
          <w:szCs w:val="20"/>
        </w:rPr>
        <w:t xml:space="preserve">   </w:t>
      </w:r>
    </w:p>
    <w:p w14:paraId="54120056" w14:textId="77777777" w:rsidR="00DC02B2" w:rsidRDefault="00DC02B2" w:rsidP="00DC02B2">
      <w:pPr>
        <w:autoSpaceDE w:val="0"/>
        <w:autoSpaceDN w:val="0"/>
        <w:adjustRightInd w:val="0"/>
      </w:pPr>
    </w:p>
    <w:p w14:paraId="51A3C300" w14:textId="77777777" w:rsidR="00DC02B2" w:rsidRDefault="00DC02B2" w:rsidP="00DC02B2">
      <w:pPr>
        <w:autoSpaceDE w:val="0"/>
        <w:autoSpaceDN w:val="0"/>
        <w:adjustRightInd w:val="0"/>
      </w:pPr>
      <w:r>
        <w:t xml:space="preserve">                  </w:t>
      </w:r>
    </w:p>
    <w:p w14:paraId="127CB616" w14:textId="77777777" w:rsidR="00DC02B2" w:rsidRDefault="00DC02B2" w:rsidP="00DC02B2">
      <w:pPr>
        <w:autoSpaceDE w:val="0"/>
        <w:autoSpaceDN w:val="0"/>
        <w:adjustRightInd w:val="0"/>
      </w:pPr>
      <w:r>
        <w:lastRenderedPageBreak/>
        <w:t xml:space="preserve">            </w:t>
      </w:r>
      <w:r>
        <w:rPr>
          <w:noProof/>
        </w:rPr>
        <w:drawing>
          <wp:inline distT="0" distB="0" distL="0" distR="0" wp14:anchorId="2EAB491A" wp14:editId="7C2041BC">
            <wp:extent cx="5480858" cy="6381404"/>
            <wp:effectExtent l="0" t="0" r="5715" b="635"/>
            <wp:docPr id="159448352" name="Picture 9" descr="A collage of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48352" name="Picture 9" descr="A collage of diagram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858" cy="6381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230B9" w14:textId="77777777" w:rsidR="00DC02B2" w:rsidRPr="00571956" w:rsidRDefault="00DC02B2" w:rsidP="00DC02B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571956">
        <w:rPr>
          <w:b/>
          <w:bCs/>
          <w:sz w:val="20"/>
          <w:szCs w:val="20"/>
        </w:rPr>
        <w:t xml:space="preserve">Extended Data Fig. 4. Prevention of false-positives and -negatives (personalized and earlier clinical interventions). </w:t>
      </w:r>
      <w:r w:rsidRPr="00571956">
        <w:rPr>
          <w:sz w:val="20"/>
          <w:szCs w:val="20"/>
        </w:rPr>
        <w:t>While high concentrations of</w:t>
      </w:r>
      <w:r w:rsidRPr="00571956">
        <w:rPr>
          <w:b/>
          <w:bCs/>
          <w:sz w:val="20"/>
          <w:szCs w:val="20"/>
        </w:rPr>
        <w:t xml:space="preserve"> </w:t>
      </w:r>
      <w:r w:rsidRPr="00571956">
        <w:rPr>
          <w:sz w:val="20"/>
          <w:szCs w:val="20"/>
        </w:rPr>
        <w:t>CRP did not detect double risks (</w:t>
      </w:r>
      <w:r w:rsidRPr="00571956">
        <w:rPr>
          <w:b/>
          <w:bCs/>
          <w:sz w:val="20"/>
          <w:szCs w:val="20"/>
        </w:rPr>
        <w:t>a</w:t>
      </w:r>
      <w:r w:rsidRPr="00571956">
        <w:rPr>
          <w:sz w:val="20"/>
          <w:szCs w:val="20"/>
        </w:rPr>
        <w:t>), high-ferritin values identified 50% (10 out of 12) double risks (</w:t>
      </w:r>
      <w:r w:rsidRPr="00571956">
        <w:rPr>
          <w:b/>
          <w:bCs/>
          <w:sz w:val="20"/>
          <w:szCs w:val="20"/>
        </w:rPr>
        <w:t>b</w:t>
      </w:r>
      <w:r w:rsidRPr="00571956">
        <w:rPr>
          <w:sz w:val="20"/>
          <w:szCs w:val="20"/>
        </w:rPr>
        <w:t>), and</w:t>
      </w:r>
      <w:r w:rsidRPr="00571956">
        <w:rPr>
          <w:b/>
          <w:bCs/>
          <w:sz w:val="20"/>
          <w:szCs w:val="20"/>
        </w:rPr>
        <w:t xml:space="preserve"> </w:t>
      </w:r>
      <w:r w:rsidRPr="00571956">
        <w:rPr>
          <w:sz w:val="20"/>
          <w:szCs w:val="20"/>
        </w:rPr>
        <w:t>complex indicators</w:t>
      </w:r>
      <w:r w:rsidRPr="00571956">
        <w:rPr>
          <w:b/>
          <w:bCs/>
          <w:sz w:val="20"/>
          <w:szCs w:val="20"/>
        </w:rPr>
        <w:t xml:space="preserve"> </w:t>
      </w:r>
      <w:r w:rsidRPr="00571956">
        <w:rPr>
          <w:sz w:val="20"/>
          <w:szCs w:val="20"/>
        </w:rPr>
        <w:t>derived from leukocyte data detected 83.3% of all birth-related adverse outcomes (</w:t>
      </w:r>
      <w:r w:rsidRPr="00571956">
        <w:rPr>
          <w:b/>
          <w:bCs/>
          <w:sz w:val="20"/>
          <w:szCs w:val="20"/>
        </w:rPr>
        <w:t>c, d</w:t>
      </w:r>
      <w:r w:rsidRPr="00571956">
        <w:rPr>
          <w:sz w:val="20"/>
          <w:szCs w:val="20"/>
        </w:rPr>
        <w:t>). These findings could prevent errors while promoting personalized and/or earlier clinical interventions: (1) given that a large percentage of double risk-negative observations showed ferritin concentrations within the data range displayed by double risk-positives, if only ferritin were considered, double risk-negatives could be erroneously judged to be positive (</w:t>
      </w:r>
      <w:r w:rsidRPr="00571956">
        <w:rPr>
          <w:b/>
          <w:bCs/>
          <w:sz w:val="20"/>
          <w:szCs w:val="20"/>
        </w:rPr>
        <w:t>e</w:t>
      </w:r>
      <w:r w:rsidRPr="00571956">
        <w:rPr>
          <w:sz w:val="20"/>
          <w:szCs w:val="20"/>
        </w:rPr>
        <w:t xml:space="preserve">); however, tested together, ferritin and leukocyte-derived indicators could prevent type I errors (false-positives, </w:t>
      </w:r>
      <w:r w:rsidRPr="00571956">
        <w:rPr>
          <w:b/>
          <w:bCs/>
          <w:sz w:val="20"/>
          <w:szCs w:val="20"/>
        </w:rPr>
        <w:t>e, f</w:t>
      </w:r>
      <w:r w:rsidRPr="00571956">
        <w:rPr>
          <w:sz w:val="20"/>
          <w:szCs w:val="20"/>
        </w:rPr>
        <w:t>); (2) given their partial interaction with double risks, false-negative results (type II errors) could be prevented if longitudinal monitoring of A2 observations were initiated as soon as A2 patterns are so detected (</w:t>
      </w:r>
      <w:r w:rsidRPr="00571956">
        <w:rPr>
          <w:b/>
          <w:bCs/>
          <w:sz w:val="20"/>
          <w:szCs w:val="20"/>
        </w:rPr>
        <w:t>g, h</w:t>
      </w:r>
      <w:r w:rsidRPr="00571956">
        <w:rPr>
          <w:sz w:val="20"/>
          <w:szCs w:val="20"/>
        </w:rPr>
        <w:t xml:space="preserve">). </w:t>
      </w:r>
    </w:p>
    <w:p w14:paraId="32F41508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</w:p>
    <w:p w14:paraId="58D795FE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7C86BA96" wp14:editId="57B0FEE8">
            <wp:extent cx="5943600" cy="3942715"/>
            <wp:effectExtent l="0" t="0" r="0" b="635"/>
            <wp:docPr id="1293432268" name="Picture 8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432268" name="Picture 8" descr="A screenshot of a computer screen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2130E" w14:textId="77777777" w:rsidR="00DC02B2" w:rsidRPr="00571956" w:rsidRDefault="00DC02B2" w:rsidP="00DC02B2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571956">
        <w:rPr>
          <w:b/>
          <w:bCs/>
          <w:sz w:val="20"/>
          <w:szCs w:val="20"/>
        </w:rPr>
        <w:t xml:space="preserve">Extended Data Fig. 5. Overall biological and statistical validation. </w:t>
      </w:r>
      <w:r w:rsidRPr="00571956">
        <w:rPr>
          <w:sz w:val="20"/>
          <w:szCs w:val="20"/>
        </w:rPr>
        <w:t>While isolated indicators (leukocyte percentages of separate cell types), did not distinguish relevant outcomes</w:t>
      </w:r>
      <w:r w:rsidRPr="00571956">
        <w:rPr>
          <w:b/>
          <w:bCs/>
          <w:sz w:val="20"/>
          <w:szCs w:val="20"/>
        </w:rPr>
        <w:t xml:space="preserve"> (a)</w:t>
      </w:r>
      <w:r w:rsidRPr="00571956">
        <w:rPr>
          <w:sz w:val="20"/>
          <w:szCs w:val="20"/>
        </w:rPr>
        <w:t xml:space="preserve">, the data partitioning method identified five classes that were partially or totally identified by interpretable (although complex) indicators </w:t>
      </w:r>
      <w:r w:rsidRPr="00571956">
        <w:rPr>
          <w:b/>
          <w:bCs/>
          <w:sz w:val="20"/>
          <w:szCs w:val="20"/>
        </w:rPr>
        <w:t>(b, c)</w:t>
      </w:r>
      <w:r w:rsidRPr="00571956">
        <w:rPr>
          <w:sz w:val="20"/>
          <w:szCs w:val="20"/>
        </w:rPr>
        <w:t>. Statistical validity was documented: the medians of subsets A1 and A2 were statistically significantly different (two-sided Mann-Whitney test,</w:t>
      </w:r>
      <w:r w:rsidRPr="00571956">
        <w:rPr>
          <w:i/>
          <w:iCs/>
          <w:sz w:val="20"/>
          <w:szCs w:val="20"/>
        </w:rPr>
        <w:t xml:space="preserve"> p</w:t>
      </w:r>
      <w:r w:rsidRPr="00571956">
        <w:rPr>
          <w:sz w:val="20"/>
          <w:szCs w:val="20"/>
        </w:rPr>
        <w:t xml:space="preserve">&lt;0.01). </w:t>
      </w:r>
    </w:p>
    <w:p w14:paraId="21C1DB80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</w:p>
    <w:p w14:paraId="250E880E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</w:p>
    <w:p w14:paraId="398650A9" w14:textId="77777777" w:rsidR="00DC02B2" w:rsidRDefault="00DC02B2" w:rsidP="00DC02B2">
      <w:pPr>
        <w:autoSpaceDE w:val="0"/>
        <w:autoSpaceDN w:val="0"/>
        <w:adjustRightInd w:val="0"/>
        <w:rPr>
          <w:sz w:val="20"/>
          <w:szCs w:val="20"/>
        </w:rPr>
      </w:pPr>
    </w:p>
    <w:p w14:paraId="70D1397C" w14:textId="77777777" w:rsidR="00DC02B2" w:rsidRDefault="00DC02B2" w:rsidP="00DC02B2">
      <w:pPr>
        <w:autoSpaceDE w:val="0"/>
        <w:autoSpaceDN w:val="0"/>
        <w:adjustRightInd w:val="0"/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3C2FF235" wp14:editId="166BB2A0">
            <wp:extent cx="5943600" cy="1974215"/>
            <wp:effectExtent l="0" t="0" r="0" b="6985"/>
            <wp:docPr id="1790171414" name="Picture 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71414" name="Picture 2" descr="A close-up of a graph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73EF0" w14:textId="77777777" w:rsidR="00DC02B2" w:rsidRPr="00FB372E" w:rsidRDefault="00DC02B2" w:rsidP="00DC02B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B372E">
        <w:rPr>
          <w:b/>
          <w:bCs/>
          <w:sz w:val="20"/>
          <w:szCs w:val="20"/>
        </w:rPr>
        <w:t xml:space="preserve">Extended Data Fig 6. Construct and external validity. </w:t>
      </w:r>
      <w:r w:rsidRPr="00FB372E">
        <w:rPr>
          <w:sz w:val="20"/>
          <w:szCs w:val="20"/>
        </w:rPr>
        <w:t>Construct validity was documented: double risk-related data were not randomly distributed, displaying two data subsets not associated with double risks (</w:t>
      </w:r>
      <w:r w:rsidRPr="00FB372E">
        <w:rPr>
          <w:b/>
          <w:bCs/>
          <w:sz w:val="20"/>
          <w:szCs w:val="20"/>
        </w:rPr>
        <w:t>a</w:t>
      </w:r>
      <w:r w:rsidRPr="00FB372E">
        <w:rPr>
          <w:sz w:val="20"/>
          <w:szCs w:val="20"/>
        </w:rPr>
        <w:t>).</w:t>
      </w:r>
      <w:r w:rsidRPr="00FB372E">
        <w:rPr>
          <w:b/>
          <w:bCs/>
          <w:sz w:val="20"/>
          <w:szCs w:val="20"/>
        </w:rPr>
        <w:t xml:space="preserve"> </w:t>
      </w:r>
      <w:r w:rsidRPr="00FB372E">
        <w:rPr>
          <w:sz w:val="20"/>
          <w:szCs w:val="20"/>
        </w:rPr>
        <w:t xml:space="preserve">External validity was demonstrated because (i) the same data range included all double risks in two both states (red rectangle, </w:t>
      </w:r>
      <w:r w:rsidRPr="00FB372E">
        <w:rPr>
          <w:b/>
          <w:bCs/>
          <w:sz w:val="20"/>
          <w:szCs w:val="20"/>
        </w:rPr>
        <w:t>a, b</w:t>
      </w:r>
      <w:r w:rsidRPr="00FB372E">
        <w:rPr>
          <w:sz w:val="20"/>
          <w:szCs w:val="20"/>
        </w:rPr>
        <w:t>) and, (ii) no double risk was reported in either Delhi or Punjab within the data ranges identified by two blue rectangles (</w:t>
      </w:r>
      <w:r w:rsidRPr="00FB372E">
        <w:rPr>
          <w:b/>
          <w:bCs/>
          <w:sz w:val="20"/>
          <w:szCs w:val="20"/>
        </w:rPr>
        <w:t>a, b</w:t>
      </w:r>
      <w:r w:rsidRPr="00FB372E">
        <w:rPr>
          <w:sz w:val="20"/>
          <w:szCs w:val="20"/>
        </w:rPr>
        <w:t xml:space="preserve">). </w:t>
      </w:r>
    </w:p>
    <w:p w14:paraId="36563E73" w14:textId="77777777" w:rsidR="00DC02B2" w:rsidRDefault="00DC02B2" w:rsidP="00DC02B2">
      <w:pPr>
        <w:rPr>
          <w:sz w:val="20"/>
          <w:szCs w:val="20"/>
        </w:rPr>
      </w:pPr>
    </w:p>
    <w:p w14:paraId="25A6A3A3" w14:textId="77777777" w:rsidR="00DC02B2" w:rsidRDefault="00DC02B2" w:rsidP="00DC02B2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04E0603D" w14:textId="77777777" w:rsidR="00DC02B2" w:rsidRDefault="00DC02B2" w:rsidP="00DC02B2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14:paraId="2ED8A43B" w14:textId="77777777" w:rsidR="00DC02B2" w:rsidRDefault="00DC02B2" w:rsidP="00DC02B2">
      <w:pPr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w:lastRenderedPageBreak/>
        <w:drawing>
          <wp:inline distT="0" distB="0" distL="0" distR="0" wp14:anchorId="3CB04FA9" wp14:editId="52ECCE53">
            <wp:extent cx="5943600" cy="3982085"/>
            <wp:effectExtent l="0" t="0" r="0" b="0"/>
            <wp:docPr id="256541659" name="Picture 10" descr="A collage of graphs showing different types of monocy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541659" name="Picture 10" descr="A collage of graphs showing different types of monocyt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13B62" w14:textId="77777777" w:rsidR="00DC02B2" w:rsidRPr="00FB372E" w:rsidRDefault="00DC02B2" w:rsidP="00DC02B2">
      <w:pPr>
        <w:autoSpaceDE w:val="0"/>
        <w:autoSpaceDN w:val="0"/>
        <w:adjustRightInd w:val="0"/>
        <w:jc w:val="both"/>
        <w:rPr>
          <w:b/>
          <w:bCs/>
          <w:sz w:val="20"/>
          <w:szCs w:val="20"/>
        </w:rPr>
      </w:pPr>
      <w:r w:rsidRPr="00FB372E">
        <w:rPr>
          <w:b/>
          <w:bCs/>
          <w:sz w:val="20"/>
          <w:szCs w:val="20"/>
        </w:rPr>
        <w:t xml:space="preserve">Extended Data Fig. 7. Additional or alternative partitioning. </w:t>
      </w:r>
      <w:r w:rsidRPr="00FB372E">
        <w:rPr>
          <w:sz w:val="20"/>
          <w:szCs w:val="20"/>
        </w:rPr>
        <w:t>Given the combinatorial nature of this non-reductionist methodology, more classes or subclasses are possible.</w:t>
      </w:r>
      <w:r w:rsidRPr="00FB372E">
        <w:rPr>
          <w:b/>
          <w:bCs/>
          <w:sz w:val="20"/>
          <w:szCs w:val="20"/>
        </w:rPr>
        <w:t xml:space="preserve"> </w:t>
      </w:r>
      <w:r w:rsidRPr="00FB372E">
        <w:rPr>
          <w:sz w:val="20"/>
          <w:szCs w:val="20"/>
        </w:rPr>
        <w:t xml:space="preserve">For example, a statistically significant, positive linear relationship (Pearson coefficient </w:t>
      </w:r>
      <w:r w:rsidRPr="00FB372E">
        <w:rPr>
          <w:i/>
          <w:iCs/>
          <w:sz w:val="20"/>
          <w:szCs w:val="20"/>
        </w:rPr>
        <w:t>r</w:t>
      </w:r>
      <w:r w:rsidRPr="00FB372E">
        <w:rPr>
          <w:sz w:val="20"/>
          <w:szCs w:val="20"/>
        </w:rPr>
        <w:t xml:space="preserve">=.88, </w:t>
      </w:r>
      <w:r w:rsidRPr="00FB372E">
        <w:rPr>
          <w:i/>
          <w:iCs/>
          <w:sz w:val="20"/>
          <w:szCs w:val="20"/>
        </w:rPr>
        <w:t>p</w:t>
      </w:r>
      <w:r w:rsidRPr="00FB372E">
        <w:rPr>
          <w:sz w:val="20"/>
          <w:szCs w:val="20"/>
        </w:rPr>
        <w:t xml:space="preserve">&lt;0.01, </w:t>
      </w:r>
      <w:r w:rsidRPr="00FB372E">
        <w:rPr>
          <w:b/>
          <w:bCs/>
          <w:sz w:val="20"/>
          <w:szCs w:val="20"/>
        </w:rPr>
        <w:t>a</w:t>
      </w:r>
      <w:r w:rsidRPr="00FB372E">
        <w:rPr>
          <w:sz w:val="20"/>
          <w:szCs w:val="20"/>
        </w:rPr>
        <w:t>) may include hidden (non-linear) patterns, which emerge when highly complex interactions are considered (</w:t>
      </w:r>
      <w:r w:rsidRPr="00FB372E">
        <w:rPr>
          <w:b/>
          <w:bCs/>
          <w:sz w:val="20"/>
          <w:szCs w:val="20"/>
        </w:rPr>
        <w:t>b-e</w:t>
      </w:r>
      <w:r w:rsidRPr="00FB372E">
        <w:rPr>
          <w:sz w:val="20"/>
          <w:szCs w:val="20"/>
        </w:rPr>
        <w:t>). When ratios include twice the same relationship –in inverse order–, they may amplify previously undetected patterns and, consequently, reveal a quasi-perpendicular data inflection (</w:t>
      </w:r>
      <w:r w:rsidRPr="00FB372E">
        <w:rPr>
          <w:b/>
          <w:bCs/>
          <w:sz w:val="20"/>
          <w:szCs w:val="20"/>
        </w:rPr>
        <w:t>b</w:t>
      </w:r>
      <w:r w:rsidRPr="00FB372E">
        <w:rPr>
          <w:sz w:val="20"/>
          <w:szCs w:val="20"/>
        </w:rPr>
        <w:t>).</w:t>
      </w:r>
      <w:r w:rsidRPr="00FB372E">
        <w:rPr>
          <w:b/>
          <w:bCs/>
          <w:sz w:val="20"/>
          <w:szCs w:val="20"/>
        </w:rPr>
        <w:t xml:space="preserve"> </w:t>
      </w:r>
      <w:r w:rsidRPr="00FB372E">
        <w:rPr>
          <w:sz w:val="20"/>
          <w:szCs w:val="20"/>
        </w:rPr>
        <w:t>Numerous relationships may also be captured simultaneously, which may express a fragmented distribution</w:t>
      </w:r>
      <w:r w:rsidRPr="00FB372E">
        <w:rPr>
          <w:b/>
          <w:bCs/>
          <w:sz w:val="20"/>
          <w:szCs w:val="20"/>
        </w:rPr>
        <w:t xml:space="preserve"> </w:t>
      </w:r>
      <w:r w:rsidRPr="00FB372E">
        <w:rPr>
          <w:sz w:val="20"/>
          <w:szCs w:val="20"/>
        </w:rPr>
        <w:t>(</w:t>
      </w:r>
      <w:r w:rsidRPr="00FB372E">
        <w:rPr>
          <w:b/>
          <w:bCs/>
          <w:sz w:val="20"/>
          <w:szCs w:val="20"/>
        </w:rPr>
        <w:t>d</w:t>
      </w:r>
      <w:r w:rsidRPr="00FB372E">
        <w:rPr>
          <w:sz w:val="20"/>
          <w:szCs w:val="20"/>
        </w:rPr>
        <w:t>). The two subsets so differentiated differed from the previous five classes because (a) two A2 data points are now grouped together with all A1 observations (vertical rectangle), and (b) C observations are now split, with some included in the horizontal rectangle (</w:t>
      </w:r>
      <w:r w:rsidRPr="00FB372E">
        <w:rPr>
          <w:b/>
          <w:bCs/>
          <w:sz w:val="20"/>
          <w:szCs w:val="20"/>
        </w:rPr>
        <w:t>d</w:t>
      </w:r>
      <w:r w:rsidRPr="00FB372E">
        <w:rPr>
          <w:sz w:val="20"/>
          <w:szCs w:val="20"/>
        </w:rPr>
        <w:t>).</w:t>
      </w:r>
      <w:r w:rsidRPr="00FB372E">
        <w:rPr>
          <w:rFonts w:ascii="Segoe UI" w:hAnsi="Segoe UI" w:cs="Segoe UI"/>
          <w:b/>
          <w:bCs/>
          <w:noProof/>
          <w:color w:val="000000"/>
          <w:sz w:val="20"/>
          <w:szCs w:val="20"/>
        </w:rPr>
        <w:t xml:space="preserve"> </w:t>
      </w:r>
    </w:p>
    <w:p w14:paraId="3DEFF12C" w14:textId="77777777" w:rsidR="00DC02B2" w:rsidRDefault="00DC02B2" w:rsidP="00DC02B2">
      <w:pPr>
        <w:rPr>
          <w:rFonts w:ascii="Segoe UI" w:hAnsi="Segoe UI" w:cs="Segoe UI"/>
          <w:b/>
          <w:bCs/>
          <w:noProof/>
          <w:color w:val="000000"/>
          <w:sz w:val="19"/>
          <w:szCs w:val="19"/>
        </w:rPr>
      </w:pPr>
      <w:r>
        <w:rPr>
          <w:rFonts w:ascii="Segoe UI" w:hAnsi="Segoe UI" w:cs="Segoe UI"/>
          <w:b/>
          <w:bCs/>
          <w:noProof/>
          <w:color w:val="000000"/>
          <w:sz w:val="19"/>
          <w:szCs w:val="19"/>
        </w:rPr>
        <w:t xml:space="preserve"> </w:t>
      </w:r>
    </w:p>
    <w:p w14:paraId="39040545" w14:textId="77777777" w:rsidR="00DC02B2" w:rsidRDefault="00DC02B2" w:rsidP="00DC02B2">
      <w:pPr>
        <w:rPr>
          <w:noProof/>
          <w:color w:val="000000"/>
          <w:vertAlign w:val="superscript"/>
        </w:rPr>
      </w:pPr>
    </w:p>
    <w:p w14:paraId="0DA5F15E" w14:textId="77777777" w:rsidR="00755780" w:rsidRDefault="00755780"/>
    <w:sectPr w:rsidR="00755780" w:rsidSect="00DC02B2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144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95671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B42E60" w14:textId="77777777" w:rsidR="00000000" w:rsidRPr="005B4AAC" w:rsidRDefault="00000000">
        <w:pPr>
          <w:pStyle w:val="Footer"/>
          <w:jc w:val="center"/>
        </w:pPr>
        <w:r w:rsidRPr="005B4AAC">
          <w:fldChar w:fldCharType="begin"/>
        </w:r>
        <w:r w:rsidRPr="005B4AAC">
          <w:instrText xml:space="preserve"> PAGE   \* MERGEFORMAT </w:instrText>
        </w:r>
        <w:r w:rsidRPr="005B4AAC">
          <w:fldChar w:fldCharType="separate"/>
        </w:r>
        <w:r>
          <w:rPr>
            <w:noProof/>
          </w:rPr>
          <w:t>19</w:t>
        </w:r>
        <w:r w:rsidRPr="005B4AAC">
          <w:rPr>
            <w:noProof/>
          </w:rPr>
          <w:fldChar w:fldCharType="end"/>
        </w:r>
      </w:p>
    </w:sdtContent>
  </w:sdt>
  <w:p w14:paraId="58640C1D" w14:textId="77777777" w:rsidR="00000000" w:rsidRPr="005B4AAC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2B2"/>
    <w:rsid w:val="00331A6B"/>
    <w:rsid w:val="003D3ECB"/>
    <w:rsid w:val="00755780"/>
    <w:rsid w:val="00857596"/>
    <w:rsid w:val="00DC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E2EA7"/>
  <w15:chartTrackingRefBased/>
  <w15:docId w15:val="{8C73E77B-DCCC-40FD-AC45-60B14730C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2B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02B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2B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2B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2B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2B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2B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2B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2B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2B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2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2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2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2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2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2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2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2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2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2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0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2B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0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2B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02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2B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02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2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2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2B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C02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02B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C0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1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741</Words>
  <Characters>4229</Characters>
  <Application>Microsoft Office Word</Application>
  <DocSecurity>0</DocSecurity>
  <Lines>35</Lines>
  <Paragraphs>9</Paragraphs>
  <ScaleCrop>false</ScaleCrop>
  <Company>Springer Nature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2025-04-01T08:50:00Z</dcterms:created>
  <dcterms:modified xsi:type="dcterms:W3CDTF">2025-04-01T08:50:00Z</dcterms:modified>
</cp:coreProperties>
</file>