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jc w:val="center"/>
        <w:textAlignment w:val="auto"/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From wastes to functions: Preparation of layered double hydroxides 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from 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 w:eastAsia="zh-CN"/>
        </w:rPr>
        <w:t>i</w:t>
      </w:r>
      <w:r>
        <w:rPr>
          <w:rFonts w:hint="default" w:ascii="Times New Roman" w:hAnsi="Times New Roman" w:eastAsia="微软雅黑" w:cs="Times New Roman"/>
          <w:b/>
          <w:bCs/>
          <w:i w:val="0"/>
          <w:color w:val="000000"/>
          <w:spacing w:val="0"/>
          <w:sz w:val="24"/>
          <w:szCs w:val="24"/>
          <w:shd w:val="clear" w:color="auto" w:fill="FFFFFF"/>
        </w:rPr>
        <w:t>ndustrial</w:t>
      </w:r>
      <w:r>
        <w:rPr>
          <w:rFonts w:hint="default" w:ascii="Times New Roman" w:hAnsi="Times New Roman" w:eastAsia="微软雅黑" w:cs="Times New Roman"/>
          <w:b/>
          <w:bCs/>
          <w:i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 xml:space="preserve"> waste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 and its removal performance towards phosphates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jc w:val="center"/>
        <w:textAlignment w:val="auto"/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Liping Xiao</w:t>
      </w:r>
      <w:r>
        <w:rPr>
          <w:rFonts w:hint="default" w:ascii="Times New Roman" w:hAnsi="Times New Roman" w:cs="Times New Roman"/>
          <w:color w:val="000000"/>
          <w:sz w:val="24"/>
          <w:szCs w:val="24"/>
          <w:vertAlign w:val="superscript"/>
          <w:lang w:val="en-US" w:eastAsia="zh-CN"/>
        </w:rPr>
        <w:t>a, *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, Yan Li</w:t>
      </w:r>
      <w:r>
        <w:rPr>
          <w:rFonts w:hint="default" w:ascii="Times New Roman" w:hAnsi="Times New Roman" w:cs="Times New Roman"/>
          <w:color w:val="000000"/>
          <w:sz w:val="24"/>
          <w:szCs w:val="24"/>
          <w:vertAlign w:val="superscript"/>
          <w:lang w:val="en-US" w:eastAsia="zh-CN"/>
        </w:rPr>
        <w:t>b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, Qiaoping Kong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vertAlign w:val="superscript"/>
        </w:rPr>
        <w:t>a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vertAlign w:val="superscript"/>
          <w:lang w:eastAsia="zh-CN"/>
        </w:rPr>
        <w:t>,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vertAlign w:val="superscript"/>
        </w:rPr>
        <w:footnoteReference w:id="0" w:customMarkFollows="1"/>
        <w:t>*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, Yunlong Lan</w:t>
      </w:r>
      <w:r>
        <w:rPr>
          <w:rFonts w:hint="default" w:ascii="Times New Roman" w:hAnsi="Times New Roman" w:cs="Times New Roman"/>
          <w:color w:val="000000"/>
          <w:sz w:val="24"/>
          <w:szCs w:val="24"/>
          <w:vertAlign w:val="superscript"/>
          <w:lang w:val="en-US" w:eastAsia="zh-CN"/>
        </w:rPr>
        <w:t>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default" w:ascii="Times New Roman" w:hAnsi="Times New Roman" w:eastAsia="Microsoft JhengHei Light" w:cs="Times New Roman"/>
          <w:sz w:val="24"/>
          <w:szCs w:val="24"/>
        </w:rPr>
      </w:pPr>
      <w:r>
        <w:rPr>
          <w:rFonts w:hint="default" w:ascii="Times New Roman" w:hAnsi="Times New Roman" w:eastAsia="Microsoft JhengHei Light" w:cs="Times New Roman"/>
          <w:sz w:val="24"/>
          <w:szCs w:val="24"/>
          <w:vertAlign w:val="superscript"/>
        </w:rPr>
        <w:t>a</w:t>
      </w:r>
      <w:r>
        <w:rPr>
          <w:rFonts w:hint="default" w:ascii="Times New Roman" w:hAnsi="Times New Roman" w:eastAsia="Microsoft JhengHei Light" w:cs="Times New Roman"/>
          <w:sz w:val="24"/>
          <w:szCs w:val="24"/>
        </w:rPr>
        <w:t xml:space="preserve"> School of Environmental and Municipal Engineering, Qingdao University of Technology, Qingdao 266033, PR 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default" w:ascii="Times New Roman" w:hAnsi="Times New Roman" w:eastAsia="Microsoft JhengHei Light" w:cs="Times New Roman"/>
          <w:sz w:val="24"/>
          <w:szCs w:val="24"/>
        </w:rPr>
      </w:pPr>
      <w:r>
        <w:rPr>
          <w:rFonts w:hint="default" w:ascii="Times New Roman" w:hAnsi="Times New Roman" w:eastAsia="Microsoft JhengHei Light" w:cs="Times New Roman"/>
          <w:sz w:val="24"/>
          <w:szCs w:val="24"/>
          <w:vertAlign w:val="superscript"/>
        </w:rPr>
        <w:t>b</w:t>
      </w:r>
      <w:r>
        <w:rPr>
          <w:rFonts w:hint="default" w:ascii="Times New Roman" w:hAnsi="Times New Roman" w:eastAsia="Microsoft JhengHei Light" w:cs="Times New Roman"/>
          <w:sz w:val="24"/>
          <w:szCs w:val="24"/>
        </w:rPr>
        <w:t xml:space="preserve"> School of Civil Engineering, Liaoning Technical University,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Fuxin 123000</w:t>
      </w:r>
      <w:r>
        <w:rPr>
          <w:rFonts w:hint="default" w:ascii="Times New Roman" w:hAnsi="Times New Roman" w:eastAsia="Microsoft JhengHei Light" w:cs="Times New Roman"/>
          <w:sz w:val="24"/>
          <w:szCs w:val="24"/>
        </w:rPr>
        <w:t>, PR China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outlineLvl w:val="9"/>
        <w:rPr>
          <w:rFonts w:hint="default" w:ascii="Times New Roman" w:hAnsi="Times New Roman" w:eastAsia="宋体" w:cs="Times New Roman"/>
          <w:b/>
          <w:i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i/>
          <w:sz w:val="24"/>
          <w:szCs w:val="24"/>
        </w:rPr>
        <w:t>Supporting information for “</w:t>
      </w:r>
      <w:r>
        <w:rPr>
          <w:rStyle w:val="10"/>
          <w:rFonts w:hint="default" w:ascii="Times New Roman" w:hAnsi="Times New Roman" w:cs="Times New Roman"/>
          <w:b/>
          <w:bCs/>
          <w:color w:val="auto"/>
          <w:sz w:val="24"/>
          <w:szCs w:val="24"/>
        </w:rPr>
        <w:t>2.1. Chemicals and materials</w:t>
      </w:r>
      <w:r>
        <w:rPr>
          <w:rFonts w:hint="default" w:ascii="Times New Roman" w:hAnsi="Times New Roman" w:eastAsia="宋体" w:cs="Times New Roman"/>
          <w:b/>
          <w:i/>
          <w:sz w:val="24"/>
          <w:szCs w:val="24"/>
        </w:rPr>
        <w:t>”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4741545" cy="1972310"/>
            <wp:effectExtent l="0" t="0" r="13335" b="8890"/>
            <wp:docPr id="6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1"/>
                    <pic:cNvPicPr>
                      <a:picLocks noChangeAspect="1"/>
                    </pic:cNvPicPr>
                  </pic:nvPicPr>
                  <pic:blipFill>
                    <a:blip r:embed="rId5"/>
                    <a:srcRect r="1582"/>
                    <a:stretch>
                      <a:fillRect/>
                    </a:stretch>
                  </pic:blipFill>
                  <pic:spPr>
                    <a:xfrm>
                      <a:off x="0" y="0"/>
                      <a:ext cx="4741545" cy="197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color w:val="auto"/>
          <w:spacing w:val="11"/>
          <w:sz w:val="24"/>
          <w:szCs w:val="24"/>
          <w:highlight w:val="none"/>
          <w:lang w:val="en-US" w:eastAsia="zh-CN"/>
        </w:rPr>
        <w:t>Fig. S1 The picture of raw c</w:t>
      </w:r>
      <w:r>
        <w:rPr>
          <w:rFonts w:hint="default" w:ascii="Times New Roman" w:hAnsi="Times New Roman" w:eastAsia="微软雅黑" w:cs="Times New Roman"/>
          <w:i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</w:rPr>
        <w:t>alcium carbide slag</w:t>
      </w:r>
      <w:r>
        <w:rPr>
          <w:rFonts w:hint="default" w:ascii="Times New Roman" w:hAnsi="Times New Roman" w:eastAsia="微软雅黑" w:cs="Times New Roman"/>
          <w:i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powder (a) and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red mud powder.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微软雅黑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Tab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le S1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The chemical composition of c</w:t>
      </w:r>
      <w:r>
        <w:rPr>
          <w:rFonts w:hint="default" w:ascii="Times New Roman" w:hAnsi="Times New Roman" w:eastAsia="微软雅黑" w:cs="Times New Roman"/>
          <w:i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</w:rPr>
        <w:t>alcium carbide slag</w:t>
      </w:r>
      <w:r>
        <w:rPr>
          <w:rFonts w:hint="default" w:ascii="Times New Roman" w:hAnsi="Times New Roman" w:eastAsia="微软雅黑" w:cs="Times New Roman"/>
          <w:i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.</w:t>
      </w:r>
    </w:p>
    <w:tbl>
      <w:tblPr>
        <w:tblStyle w:val="4"/>
        <w:tblW w:w="8201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1062"/>
        <w:gridCol w:w="1062"/>
        <w:gridCol w:w="1062"/>
        <w:gridCol w:w="1062"/>
        <w:gridCol w:w="1062"/>
        <w:gridCol w:w="131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omponent</w:t>
            </w:r>
          </w:p>
        </w:tc>
        <w:tc>
          <w:tcPr>
            <w:tcW w:w="1062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CaO</w:t>
            </w:r>
          </w:p>
        </w:tc>
        <w:tc>
          <w:tcPr>
            <w:tcW w:w="1062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Al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vertAlign w:val="subscript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vertAlign w:val="subscript"/>
              </w:rPr>
              <w:t>3</w:t>
            </w:r>
          </w:p>
        </w:tc>
        <w:tc>
          <w:tcPr>
            <w:tcW w:w="1062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MgO</w:t>
            </w:r>
          </w:p>
        </w:tc>
        <w:tc>
          <w:tcPr>
            <w:tcW w:w="1062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SiO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vertAlign w:val="subscript"/>
              </w:rPr>
              <w:t>2</w:t>
            </w:r>
          </w:p>
        </w:tc>
        <w:tc>
          <w:tcPr>
            <w:tcW w:w="1062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Fe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vertAlign w:val="subscript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vertAlign w:val="subscript"/>
              </w:rPr>
              <w:t>3</w:t>
            </w:r>
          </w:p>
        </w:tc>
        <w:tc>
          <w:tcPr>
            <w:tcW w:w="1317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  <w:t>Others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dxa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omposition（</w:t>
            </w:r>
            <w:r>
              <w:rPr>
                <w:rFonts w:hint="default" w:ascii="Times New Roman" w:hAnsi="Times New Roman" w:cs="Times New Roman"/>
                <w:i/>
                <w:color w:val="auto"/>
                <w:spacing w:val="11"/>
                <w:sz w:val="24"/>
                <w:szCs w:val="24"/>
                <w:highlight w:val="none"/>
              </w:rPr>
              <w:t>w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/%）</w:t>
            </w:r>
          </w:p>
        </w:tc>
        <w:tc>
          <w:tcPr>
            <w:tcW w:w="1062" w:type="dxa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  <w:t>89.94</w:t>
            </w:r>
          </w:p>
        </w:tc>
        <w:tc>
          <w:tcPr>
            <w:tcW w:w="1062" w:type="dxa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  <w:t>2.81</w:t>
            </w:r>
          </w:p>
        </w:tc>
        <w:tc>
          <w:tcPr>
            <w:tcW w:w="1062" w:type="dxa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  <w:t>0.14</w:t>
            </w:r>
          </w:p>
        </w:tc>
        <w:tc>
          <w:tcPr>
            <w:tcW w:w="1062" w:type="dxa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  <w:t>5.69</w:t>
            </w:r>
          </w:p>
        </w:tc>
        <w:tc>
          <w:tcPr>
            <w:tcW w:w="1062" w:type="dxa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  <w:t>0.29</w:t>
            </w:r>
          </w:p>
        </w:tc>
        <w:tc>
          <w:tcPr>
            <w:tcW w:w="1317" w:type="dxa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  <w:t>1.13</w:t>
            </w:r>
          </w:p>
        </w:tc>
      </w:tr>
    </w:tbl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Tab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le S2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The chemical composition of red mud.</w:t>
      </w:r>
    </w:p>
    <w:tbl>
      <w:tblPr>
        <w:tblStyle w:val="4"/>
        <w:tblW w:w="8180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065"/>
        <w:gridCol w:w="1050"/>
        <w:gridCol w:w="1080"/>
        <w:gridCol w:w="1065"/>
        <w:gridCol w:w="1065"/>
        <w:gridCol w:w="1320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5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omponent</w:t>
            </w:r>
          </w:p>
        </w:tc>
        <w:tc>
          <w:tcPr>
            <w:tcW w:w="1065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CaO</w:t>
            </w:r>
          </w:p>
        </w:tc>
        <w:tc>
          <w:tcPr>
            <w:tcW w:w="1050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Al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vertAlign w:val="subscript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vertAlign w:val="subscript"/>
              </w:rPr>
              <w:t>3</w:t>
            </w:r>
          </w:p>
        </w:tc>
        <w:tc>
          <w:tcPr>
            <w:tcW w:w="1080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  <w:t>Na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vertAlign w:val="subscript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O</w:t>
            </w:r>
          </w:p>
        </w:tc>
        <w:tc>
          <w:tcPr>
            <w:tcW w:w="1065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SiO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vertAlign w:val="subscript"/>
              </w:rPr>
              <w:t>2</w:t>
            </w:r>
          </w:p>
        </w:tc>
        <w:tc>
          <w:tcPr>
            <w:tcW w:w="1065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Fe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vertAlign w:val="subscript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vertAlign w:val="subscript"/>
              </w:rPr>
              <w:t>3</w:t>
            </w:r>
          </w:p>
        </w:tc>
        <w:tc>
          <w:tcPr>
            <w:tcW w:w="1320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  <w:t>Others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5" w:type="dxa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omposition（</w:t>
            </w:r>
            <w:r>
              <w:rPr>
                <w:rFonts w:hint="default" w:ascii="Times New Roman" w:hAnsi="Times New Roman" w:cs="Times New Roman"/>
                <w:i/>
                <w:color w:val="auto"/>
                <w:spacing w:val="11"/>
                <w:sz w:val="24"/>
                <w:szCs w:val="24"/>
                <w:highlight w:val="none"/>
              </w:rPr>
              <w:t>w</w:t>
            </w: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</w:rPr>
              <w:t>/%）</w:t>
            </w:r>
          </w:p>
        </w:tc>
        <w:tc>
          <w:tcPr>
            <w:tcW w:w="1065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  <w:t>4.48</w:t>
            </w:r>
          </w:p>
        </w:tc>
        <w:tc>
          <w:tcPr>
            <w:tcW w:w="1050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  <w:t>16.91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  <w:t>3.06</w:t>
            </w:r>
          </w:p>
        </w:tc>
        <w:tc>
          <w:tcPr>
            <w:tcW w:w="1065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  <w:t>6.60</w:t>
            </w:r>
          </w:p>
        </w:tc>
        <w:tc>
          <w:tcPr>
            <w:tcW w:w="1065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  <w:t>46.41</w:t>
            </w:r>
          </w:p>
        </w:tc>
        <w:tc>
          <w:tcPr>
            <w:tcW w:w="1320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11"/>
                <w:sz w:val="24"/>
                <w:szCs w:val="24"/>
                <w:highlight w:val="none"/>
                <w:lang w:val="en-US" w:eastAsia="zh-CN"/>
              </w:rPr>
              <w:t>22.54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i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i/>
          <w:sz w:val="24"/>
          <w:szCs w:val="24"/>
        </w:rPr>
        <w:t>Supporting information for “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2.2. Preparation of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CR-LDH</w:t>
      </w:r>
      <w:r>
        <w:rPr>
          <w:rFonts w:hint="default" w:ascii="Times New Roman" w:hAnsi="Times New Roman" w:eastAsia="宋体" w:cs="Times New Roman"/>
          <w:b/>
          <w:i/>
          <w:sz w:val="24"/>
          <w:szCs w:val="24"/>
        </w:rPr>
        <w:t>”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drawing>
          <wp:inline distT="0" distB="0" distL="114300" distR="114300">
            <wp:extent cx="2042795" cy="1800225"/>
            <wp:effectExtent l="0" t="0" r="14605" b="13335"/>
            <wp:docPr id="3" name="图片 36" descr="CR-LDH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6" descr="CR-LDHs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4279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6" w:line="48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</w:rPr>
        <w:t>Fig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. S2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Picture of CR-LDHs.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i/>
          <w:sz w:val="24"/>
          <w:szCs w:val="24"/>
        </w:rPr>
        <w:t>Supporting information for “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3.2.7 Application of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CR-LDH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to practical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phosphate-containing wastewater</w:t>
      </w:r>
      <w:r>
        <w:rPr>
          <w:rFonts w:hint="default" w:ascii="Times New Roman" w:hAnsi="Times New Roman" w:eastAsia="宋体" w:cs="Times New Roman"/>
          <w:b/>
          <w:i/>
          <w:sz w:val="24"/>
          <w:szCs w:val="24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center"/>
        <w:textAlignment w:val="auto"/>
        <w:outlineLvl w:val="9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541020</wp:posOffset>
            </wp:positionH>
            <wp:positionV relativeFrom="paragraph">
              <wp:posOffset>205740</wp:posOffset>
            </wp:positionV>
            <wp:extent cx="4123055" cy="2357755"/>
            <wp:effectExtent l="0" t="0" r="6985" b="4445"/>
            <wp:wrapTopAndBottom/>
            <wp:docPr id="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23055" cy="235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auto"/>
        <w:jc w:val="center"/>
        <w:textAlignment w:val="auto"/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</w:rPr>
        <w:t>Fig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. S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Photos of practical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highlight w:val="none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phosphate-containing wastewater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highlight w:val="none"/>
          <w:lang w:val="en-US" w:eastAsia="zh-CN" w:bidi="ar"/>
        </w:rPr>
        <w:t xml:space="preserve"> before CR-LDH adsorption (a) and after CR-LDH adsorption (b).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80" w:lineRule="auto"/>
        <w:ind w:leftChars="0"/>
        <w:textAlignment w:val="auto"/>
        <w:outlineLvl w:val="9"/>
        <w:rPr>
          <w:rFonts w:hint="default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i/>
          <w:sz w:val="24"/>
          <w:szCs w:val="24"/>
        </w:rPr>
        <w:t>Supporting information for “</w:t>
      </w:r>
      <w:r>
        <w:rPr>
          <w:rFonts w:hint="eastAsia" w:ascii="Times New Roman" w:hAnsi="Times New Roman" w:cs="Times New Roman"/>
          <w:b/>
          <w:i/>
          <w:sz w:val="24"/>
          <w:szCs w:val="24"/>
          <w:lang w:val="en-US" w:eastAsia="zh-CN"/>
        </w:rPr>
        <w:t xml:space="preserve">3.3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Adsorption mechanism</w:t>
      </w:r>
      <w:r>
        <w:rPr>
          <w:rFonts w:hint="default" w:ascii="Times New Roman" w:hAnsi="Times New Roman" w:eastAsia="宋体" w:cs="Times New Roman"/>
          <w:b/>
          <w:i/>
          <w:sz w:val="24"/>
          <w:szCs w:val="24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5273675" cy="4035425"/>
            <wp:effectExtent l="0" t="0" r="14605" b="3175"/>
            <wp:docPr id="43" name="图片 43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03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Fig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>. S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>4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FT-IR pattern of 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>CR-LDH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 xml:space="preserve">before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and after adsorption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 xml:space="preserve"> of phosphate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>.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6" w:line="48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ascii="Times New Roman" w:hAnsi="Times New Roman" w:cs="Times New Roman"/>
          <w:sz w:val="24"/>
        </w:rPr>
      </w:pPr>
      <w:r>
        <w:rPr>
          <w:rStyle w:val="7"/>
          <w:sz w:val="24"/>
        </w:rPr>
        <w:t>*</w:t>
      </w:r>
      <w:r>
        <w:rPr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Corresponding author at: School of Environmental and Municipal Engineering, Qingdao University of Technology, Qingdao 266033, PR China.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sz w:val="24"/>
          <w:lang w:val="fr-FR"/>
        </w:rPr>
        <w:t>mail address:</w:t>
      </w:r>
      <w:r>
        <w:rPr>
          <w:rFonts w:hint="default" w:ascii="Times New Roman" w:hAnsi="Times New Roman" w:cs="Times New Roman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fldChar w:fldCharType="begin"/>
      </w:r>
      <w:r>
        <w:rPr>
          <w:rFonts w:hint="default" w:ascii="Times New Roman" w:hAnsi="Times New Roman" w:cs="Times New Roman"/>
          <w:sz w:val="24"/>
        </w:rPr>
        <w:instrText xml:space="preserve"> HYPERLINK "mailto:xxllpp11@126.com;" </w:instrText>
      </w:r>
      <w:r>
        <w:rPr>
          <w:rFonts w:hint="default" w:ascii="Times New Roman" w:hAnsi="Times New Roman" w:cs="Times New Roman"/>
          <w:sz w:val="24"/>
        </w:rPr>
        <w:fldChar w:fldCharType="separate"/>
      </w:r>
      <w:r>
        <w:rPr>
          <w:rStyle w:val="6"/>
          <w:rFonts w:hint="default" w:ascii="Times New Roman" w:hAnsi="Times New Roman" w:cs="Times New Roman"/>
          <w:sz w:val="24"/>
        </w:rPr>
        <w:t>xxllpp11@126.com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Style w:val="6"/>
          <w:rFonts w:hint="default" w:ascii="Times New Roman" w:hAnsi="Times New Roman" w:cs="Times New Roman"/>
          <w:color w:val="auto"/>
          <w:sz w:val="24"/>
          <w:u w:val="none"/>
        </w:rPr>
        <w:t>(</w:t>
      </w:r>
      <w:r>
        <w:rPr>
          <w:rStyle w:val="6"/>
          <w:rFonts w:hint="eastAsia" w:ascii="Times New Roman" w:hAnsi="Times New Roman" w:cs="Times New Roman"/>
          <w:color w:val="auto"/>
          <w:sz w:val="24"/>
          <w:u w:val="none"/>
          <w:lang w:val="en-US" w:eastAsia="zh-CN"/>
        </w:rPr>
        <w:t>L</w:t>
      </w:r>
      <w:r>
        <w:rPr>
          <w:rStyle w:val="6"/>
          <w:rFonts w:hint="default" w:ascii="Times New Roman" w:hAnsi="Times New Roman" w:cs="Times New Roman"/>
          <w:color w:val="auto"/>
          <w:sz w:val="24"/>
          <w:u w:val="none"/>
        </w:rPr>
        <w:t xml:space="preserve">. P. </w:t>
      </w:r>
      <w:r>
        <w:rPr>
          <w:rStyle w:val="6"/>
          <w:rFonts w:hint="eastAsia" w:ascii="Times New Roman" w:hAnsi="Times New Roman" w:cs="Times New Roman"/>
          <w:color w:val="auto"/>
          <w:sz w:val="24"/>
          <w:u w:val="none"/>
          <w:lang w:val="en-US" w:eastAsia="zh-CN"/>
        </w:rPr>
        <w:t>Xiao</w:t>
      </w:r>
      <w:r>
        <w:rPr>
          <w:rStyle w:val="6"/>
          <w:rFonts w:hint="default" w:ascii="Times New Roman" w:hAnsi="Times New Roman" w:cs="Times New Roman"/>
          <w:color w:val="auto"/>
          <w:sz w:val="24"/>
          <w:u w:val="none"/>
        </w:rPr>
        <w:t>)</w:t>
      </w:r>
      <w:r>
        <w:rPr>
          <w:rStyle w:val="6"/>
          <w:rFonts w:hint="eastAsia" w:ascii="Times New Roman" w:hAnsi="Times New Roman" w:cs="Times New Roman"/>
          <w:color w:val="auto"/>
          <w:sz w:val="24"/>
          <w:u w:val="none"/>
          <w:lang w:val="en-US" w:eastAsia="zh-CN"/>
        </w:rPr>
        <w:t>;</w:t>
      </w:r>
      <w:r>
        <w:rPr>
          <w:rFonts w:hint="default" w:ascii="Times New Roman" w:hAnsi="Times New Roman" w:cs="Times New Roman"/>
          <w:sz w:val="24"/>
        </w:rPr>
        <w:fldChar w:fldCharType="end"/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4"/>
          <w:lang w:val="en-US" w:eastAsia="zh-CN"/>
        </w:rPr>
        <w:instrText xml:space="preserve"> HYPERLINK "mailto:kongqiaoping@qut.edu.cn" </w:instrText>
      </w:r>
      <w:r>
        <w:rPr>
          <w:rFonts w:hint="default" w:ascii="Times New Roman" w:hAnsi="Times New Roman" w:cs="Times New Roman"/>
          <w:sz w:val="24"/>
          <w:lang w:val="en-US" w:eastAsia="zh-CN"/>
        </w:rPr>
        <w:fldChar w:fldCharType="separate"/>
      </w:r>
      <w:r>
        <w:rPr>
          <w:rStyle w:val="6"/>
          <w:rFonts w:hint="default" w:ascii="Times New Roman" w:hAnsi="Times New Roman" w:cs="Times New Roman"/>
          <w:sz w:val="24"/>
          <w:lang w:val="en-US" w:eastAsia="zh-CN"/>
        </w:rPr>
        <w:t>kongqiaoping@qut.edu.cn</w:t>
      </w:r>
      <w:r>
        <w:rPr>
          <w:rFonts w:hint="default" w:ascii="Times New Roman" w:hAnsi="Times New Roman" w:cs="Times New Roman"/>
          <w:sz w:val="24"/>
          <w:lang w:val="en-US" w:eastAsia="zh-CN"/>
        </w:rPr>
        <w:fldChar w:fldCharType="end"/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lang w:val="en-US" w:eastAsia="zh-CN"/>
        </w:rPr>
        <w:t>(Q. P. Kong)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0C5C4F"/>
    <w:multiLevelType w:val="singleLevel"/>
    <w:tmpl w:val="C60C5C4F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A4D65"/>
    <w:rsid w:val="0FF14BBF"/>
    <w:rsid w:val="106D06B9"/>
    <w:rsid w:val="12131553"/>
    <w:rsid w:val="1A196BA1"/>
    <w:rsid w:val="23CE4A43"/>
    <w:rsid w:val="318A65EB"/>
    <w:rsid w:val="33D165A1"/>
    <w:rsid w:val="356938A8"/>
    <w:rsid w:val="415A4DF2"/>
    <w:rsid w:val="43E2481B"/>
    <w:rsid w:val="46024A15"/>
    <w:rsid w:val="53F673D1"/>
    <w:rsid w:val="540A6A70"/>
    <w:rsid w:val="71E53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jc w:val="both"/>
    </w:pPr>
    <w:rPr>
      <w:rFonts w:ascii="Times New Roman" w:hAnsi="Times New Roman" w:eastAsia="宋体" w:cs="Times New Roman"/>
      <w:sz w:val="24"/>
      <w:szCs w:val="21"/>
    </w:rPr>
  </w:style>
  <w:style w:type="paragraph" w:styleId="3">
    <w:name w:val="footnote text"/>
    <w:basedOn w:val="1"/>
    <w:qFormat/>
    <w:uiPriority w:val="0"/>
    <w:rPr>
      <w:sz w:val="18"/>
    </w:rPr>
  </w:style>
  <w:style w:type="character" w:styleId="6">
    <w:name w:val="Hyperlink"/>
    <w:unhideWhenUsed/>
    <w:qFormat/>
    <w:uiPriority w:val="99"/>
    <w:rPr>
      <w:color w:val="0000FF"/>
      <w:u w:val="single"/>
    </w:rPr>
  </w:style>
  <w:style w:type="character" w:styleId="7">
    <w:name w:val="footnote reference"/>
    <w:qFormat/>
    <w:uiPriority w:val="0"/>
    <w:rPr>
      <w:vertAlign w:val="superscript"/>
    </w:rPr>
  </w:style>
  <w:style w:type="paragraph" w:customStyle="1" w:styleId="8">
    <w:name w:val="表格英文"/>
    <w:qFormat/>
    <w:uiPriority w:val="0"/>
    <w:pPr>
      <w:jc w:val="center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customStyle="1" w:styleId="9">
    <w:name w:val="图片英文"/>
    <w:qFormat/>
    <w:uiPriority w:val="0"/>
    <w:pPr>
      <w:spacing w:after="50" w:afterLines="50"/>
      <w:jc w:val="center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customStyle="1" w:styleId="10">
    <w:name w:val="fontstyle21"/>
    <w:qFormat/>
    <w:uiPriority w:val="0"/>
    <w:rPr>
      <w:rFonts w:hint="eastAsia" w:ascii="宋体" w:hAnsi="宋体" w:eastAsia="宋体" w:cs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tiff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gxukq</dc:creator>
  <cp:lastModifiedBy>kqp</cp:lastModifiedBy>
  <dcterms:modified xsi:type="dcterms:W3CDTF">2021-06-17T06:43:05Z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169B2295E0ED4C17B4921A339C5739DF</vt:lpwstr>
  </property>
</Properties>
</file>